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720" w:hanging="244"/>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720" w:hanging="24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001-39434</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NAUTILUS BIOTECHNOLOGY,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63" w:lineRule="exact"/>
        <w:rPr>
          <w:sz w:val="24"/>
          <w:szCs w:val="24"/>
          <w:color w:val="auto"/>
        </w:rPr>
      </w:pPr>
    </w:p>
    <w:tbl>
      <w:tblPr>
        <w:tblLayout w:type="fixed"/>
        <w:tblInd w:w="700" w:type="dxa"/>
        <w:tblCellMar>
          <w:top w:w="0" w:type="dxa"/>
          <w:left w:w="0" w:type="dxa"/>
          <w:bottom w:w="0" w:type="dxa"/>
          <w:right w:w="0" w:type="dxa"/>
        </w:tblCellMar>
      </w:tblPr>
      <w:tr>
        <w:trPr>
          <w:trHeight w:val="186"/>
        </w:trPr>
        <w:tc>
          <w:tcPr>
            <w:tcW w:w="370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Delaware</w:t>
            </w:r>
          </w:p>
        </w:tc>
        <w:tc>
          <w:tcPr>
            <w:tcW w:w="5220" w:type="dxa"/>
            <w:vAlign w:val="bottom"/>
          </w:tcPr>
          <w:p>
            <w:pPr>
              <w:jc w:val="right"/>
              <w:ind w:right="128"/>
              <w:spacing w:after="0"/>
              <w:rPr>
                <w:sz w:val="20"/>
                <w:szCs w:val="20"/>
                <w:color w:val="auto"/>
              </w:rPr>
            </w:pPr>
            <w:r>
              <w:rPr>
                <w:rFonts w:ascii="Arial" w:cs="Arial" w:eastAsia="Arial" w:hAnsi="Arial"/>
                <w:sz w:val="14"/>
                <w:szCs w:val="14"/>
                <w:b w:val="1"/>
                <w:bCs w:val="1"/>
                <w:color w:val="auto"/>
              </w:rPr>
              <w:t>98-1541723</w:t>
            </w:r>
          </w:p>
        </w:tc>
      </w:tr>
      <w:tr>
        <w:trPr>
          <w:trHeight w:val="169"/>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5"/>
              </w:rPr>
              <w:t>(State or other jurisdiction of</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7"/>
              </w:rPr>
              <w:t>(I.R.S. Employer</w:t>
            </w:r>
          </w:p>
        </w:tc>
      </w:tr>
      <w:tr>
        <w:trPr>
          <w:trHeight w:val="182"/>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4"/>
              </w:rPr>
              <w:t>incorporation or organization)</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9"/>
              </w:rPr>
              <w:t>Identification No.)</w:t>
            </w:r>
          </w:p>
        </w:tc>
      </w:tr>
      <w:tr>
        <w:trPr>
          <w:trHeight w:val="769"/>
        </w:trPr>
        <w:tc>
          <w:tcPr>
            <w:tcW w:w="3700" w:type="dxa"/>
            <w:vAlign w:val="bottom"/>
          </w:tcPr>
          <w:p>
            <w:pPr>
              <w:jc w:val="center"/>
              <w:ind w:right="708"/>
              <w:spacing w:after="0"/>
              <w:rPr>
                <w:sz w:val="20"/>
                <w:szCs w:val="20"/>
                <w:color w:val="auto"/>
              </w:rPr>
            </w:pPr>
            <w:r>
              <w:rPr>
                <w:rFonts w:ascii="Arial" w:cs="Arial" w:eastAsia="Arial" w:hAnsi="Arial"/>
                <w:sz w:val="14"/>
                <w:szCs w:val="14"/>
                <w:b w:val="1"/>
                <w:bCs w:val="1"/>
                <w:color w:val="auto"/>
                <w:w w:val="91"/>
              </w:rPr>
              <w:t>2701 Eastlake Avenue East Seattle, Washington</w:t>
            </w:r>
          </w:p>
        </w:tc>
        <w:tc>
          <w:tcPr>
            <w:tcW w:w="5220" w:type="dxa"/>
            <w:vAlign w:val="bottom"/>
          </w:tcPr>
          <w:p>
            <w:pPr>
              <w:jc w:val="right"/>
              <w:ind w:right="288"/>
              <w:spacing w:after="0"/>
              <w:rPr>
                <w:sz w:val="20"/>
                <w:szCs w:val="20"/>
                <w:color w:val="auto"/>
              </w:rPr>
            </w:pPr>
            <w:r>
              <w:rPr>
                <w:rFonts w:ascii="Arial" w:cs="Arial" w:eastAsia="Arial" w:hAnsi="Arial"/>
                <w:sz w:val="14"/>
                <w:szCs w:val="14"/>
                <w:b w:val="1"/>
                <w:bCs w:val="1"/>
                <w:color w:val="auto"/>
              </w:rPr>
              <w:t>98102</w:t>
            </w:r>
          </w:p>
        </w:tc>
      </w:tr>
      <w:tr>
        <w:trPr>
          <w:trHeight w:val="378"/>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5"/>
              </w:rPr>
              <w:t>(Address of principal executive offices)</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6"/>
              </w:rPr>
              <w:t>(Zip Code)</w:t>
            </w:r>
          </w:p>
        </w:tc>
      </w:tr>
      <w:tr>
        <w:trPr>
          <w:trHeight w:val="216"/>
        </w:trPr>
        <w:tc>
          <w:tcPr>
            <w:tcW w:w="3700" w:type="dxa"/>
            <w:vAlign w:val="bottom"/>
          </w:tcPr>
          <w:p>
            <w:pPr>
              <w:spacing w:after="0"/>
              <w:rPr>
                <w:sz w:val="18"/>
                <w:szCs w:val="18"/>
                <w:color w:val="auto"/>
              </w:rPr>
            </w:pPr>
          </w:p>
        </w:tc>
        <w:tc>
          <w:tcPr>
            <w:tcW w:w="5220" w:type="dxa"/>
            <w:vAlign w:val="bottom"/>
          </w:tcPr>
          <w:p>
            <w:pPr>
              <w:jc w:val="right"/>
              <w:ind w:right="3488"/>
              <w:spacing w:after="0"/>
              <w:rPr>
                <w:sz w:val="20"/>
                <w:szCs w:val="20"/>
                <w:color w:val="auto"/>
              </w:rPr>
            </w:pPr>
            <w:r>
              <w:rPr>
                <w:rFonts w:ascii="Arial" w:cs="Arial" w:eastAsia="Arial" w:hAnsi="Arial"/>
                <w:sz w:val="14"/>
                <w:szCs w:val="14"/>
                <w:b w:val="1"/>
                <w:bCs w:val="1"/>
                <w:color w:val="auto"/>
              </w:rPr>
              <w:t>(206) 333-2001</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48"/>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tcBorders>
              <w:bottom w:val="single" w:sz="8" w:color="auto"/>
            </w:tcBorders>
          </w:tcPr>
          <w:p>
            <w:pPr>
              <w:jc w:val="center"/>
              <w:ind w:left="59"/>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tcBorders>
              <w:bottom w:val="single" w:sz="8" w:color="auto"/>
            </w:tcBorders>
          </w:tcPr>
          <w:p>
            <w:pPr>
              <w:jc w:val="center"/>
              <w:ind w:left="99"/>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184"/>
        </w:trPr>
        <w:tc>
          <w:tcPr>
            <w:tcW w:w="3480" w:type="dxa"/>
            <w:vAlign w:val="bottom"/>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60" w:type="dxa"/>
            <w:vAlign w:val="bottom"/>
          </w:tcPr>
          <w:p>
            <w:pPr>
              <w:jc w:val="center"/>
              <w:ind w:left="59"/>
              <w:spacing w:after="0"/>
              <w:rPr>
                <w:sz w:val="20"/>
                <w:szCs w:val="20"/>
                <w:color w:val="auto"/>
              </w:rPr>
            </w:pPr>
            <w:r>
              <w:rPr>
                <w:rFonts w:ascii="Arial" w:cs="Arial" w:eastAsia="Arial" w:hAnsi="Arial"/>
                <w:sz w:val="14"/>
                <w:szCs w:val="14"/>
                <w:color w:val="auto"/>
              </w:rPr>
              <w:t>NAUT</w:t>
            </w:r>
          </w:p>
        </w:tc>
        <w:tc>
          <w:tcPr>
            <w:tcW w:w="3860" w:type="dxa"/>
            <w:vAlign w:val="bottom"/>
          </w:tcPr>
          <w:p>
            <w:pPr>
              <w:jc w:val="center"/>
              <w:ind w:left="99"/>
              <w:spacing w:after="0"/>
              <w:rPr>
                <w:sz w:val="20"/>
                <w:szCs w:val="20"/>
                <w:color w:val="auto"/>
              </w:rPr>
            </w:pPr>
            <w:r>
              <w:rPr>
                <w:rFonts w:ascii="Arial" w:cs="Arial" w:eastAsia="Arial" w:hAnsi="Arial"/>
                <w:sz w:val="14"/>
                <w:szCs w:val="14"/>
                <w:color w:val="auto"/>
                <w:w w:val="94"/>
              </w:rPr>
              <w:t>The Nasdaq Stock Market LLC</w:t>
            </w:r>
          </w:p>
        </w:tc>
      </w:tr>
    </w:tbl>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10" w:lineRule="exact"/>
        <w:rPr>
          <w:sz w:val="24"/>
          <w:szCs w:val="24"/>
          <w:color w:val="auto"/>
        </w:rPr>
      </w:pPr>
    </w:p>
    <w:p>
      <w:pPr>
        <w:ind w:right="20"/>
        <w:spacing w:after="0" w:line="222"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3"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41"/>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4" w:lineRule="exact"/>
        <w:rPr>
          <w:sz w:val="24"/>
          <w:szCs w:val="24"/>
          <w:color w:val="auto"/>
        </w:rPr>
      </w:pPr>
    </w:p>
    <w:p>
      <w:pPr>
        <w:ind w:right="14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right="1340" w:firstLine="324"/>
        <w:spacing w:after="0" w:line="49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October 27, 2023, the registrant had 124,945,774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30" w:right="37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10"/>
          </w:tcPr>
          <w:p>
            <w:pPr>
              <w:jc w:val="center"/>
              <w:ind w:right="2480"/>
              <w:spacing w:after="0"/>
              <w:rPr>
                <w:sz w:val="20"/>
                <w:szCs w:val="20"/>
                <w:color w:val="auto"/>
              </w:rPr>
            </w:pPr>
            <w:r>
              <w:rPr>
                <w:rFonts w:ascii="Arial" w:cs="Arial" w:eastAsia="Arial" w:hAnsi="Arial"/>
                <w:sz w:val="18"/>
                <w:szCs w:val="18"/>
                <w:b w:val="1"/>
                <w:bCs w:val="1"/>
                <w:color w:val="auto"/>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10"/>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22"/>
          </w:tcPr>
          <w:p>
            <w:pPr>
              <w:spacing w:after="0"/>
              <w:rPr>
                <w:sz w:val="20"/>
                <w:szCs w:val="20"/>
                <w:color w:val="auto"/>
              </w:rPr>
            </w:pPr>
            <w:r>
              <w:rPr>
                <w:rFonts w:ascii="Arial" w:cs="Arial" w:eastAsia="Arial" w:hAnsi="Arial"/>
                <w:sz w:val="18"/>
                <w:szCs w:val="18"/>
                <w:color w:val="0000FF"/>
              </w:rPr>
              <w:t>PART I. FINANCIAL INFORMATION</w:t>
            </w:r>
          </w:p>
        </w:tc>
        <w:tc>
          <w:tcPr>
            <w:tcW w:w="32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Arial" w:cs="Arial" w:eastAsia="Arial" w:hAnsi="Arial"/>
                <w:sz w:val="18"/>
                <w:szCs w:val="18"/>
                <w:color w:val="0000FF"/>
              </w:rPr>
              <w:t>iii</w:t>
            </w: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Financial Statements</w:t>
            </w:r>
          </w:p>
        </w:tc>
        <w:tc>
          <w:tcPr>
            <w:tcW w:w="748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Financial Statements (Unaudited)</w:t>
            </w:r>
          </w:p>
        </w:tc>
        <w:tc>
          <w:tcPr>
            <w:tcW w:w="5080" w:type="dxa"/>
            <w:vAlign w:val="bottom"/>
            <w:gridSpan w:val="9"/>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2"/>
              </w:rPr>
              <w:t>iii</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 (unaudited)</w:t>
            </w:r>
          </w:p>
        </w:tc>
        <w:tc>
          <w:tcPr>
            <w:tcW w:w="460" w:type="dxa"/>
            <w:vAlign w:val="bottom"/>
            <w:gridSpan w:val="3"/>
          </w:tcPr>
          <w:p>
            <w:pPr>
              <w:jc w:val="center"/>
              <w:ind w:left="170"/>
              <w:spacing w:after="0"/>
              <w:rPr>
                <w:sz w:val="20"/>
                <w:szCs w:val="20"/>
                <w:color w:val="auto"/>
              </w:rPr>
            </w:pPr>
            <w:r>
              <w:rPr>
                <w:rFonts w:ascii="Arial" w:cs="Arial" w:eastAsia="Arial" w:hAnsi="Arial"/>
                <w:sz w:val="18"/>
                <w:szCs w:val="18"/>
                <w:color w:val="0000FF"/>
                <w:w w:val="79"/>
              </w:rPr>
              <w:t>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1"/>
          </w:tcPr>
          <w:p>
            <w:pPr>
              <w:spacing w:after="0"/>
              <w:rPr>
                <w:sz w:val="20"/>
                <w:szCs w:val="20"/>
                <w:color w:val="auto"/>
              </w:rPr>
            </w:pPr>
            <w:r>
              <w:rPr>
                <w:rFonts w:ascii="Arial" w:cs="Arial" w:eastAsia="Arial" w:hAnsi="Arial"/>
                <w:sz w:val="18"/>
                <w:szCs w:val="18"/>
                <w:color w:val="0000FF"/>
                <w:w w:val="96"/>
              </w:rPr>
              <w:t>Condensed Consolidated Statements of Operations for the Three and Nine Months Ended September 30, 2023 and 2022</w:t>
            </w:r>
          </w:p>
        </w:tc>
        <w:tc>
          <w:tcPr>
            <w:tcW w:w="46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0000FF"/>
                <w:w w:val="79"/>
              </w:rPr>
              <w:t>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8"/>
              </w:rPr>
              <w:t>(unaudited)</w:t>
            </w: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340" w:type="dxa"/>
            <w:vAlign w:val="bottom"/>
            <w:gridSpan w:val="21"/>
            <w:vMerge w:val="restart"/>
          </w:tcPr>
          <w:p>
            <w:pPr>
              <w:spacing w:after="0"/>
              <w:rPr>
                <w:sz w:val="20"/>
                <w:szCs w:val="20"/>
                <w:color w:val="auto"/>
              </w:rPr>
            </w:pPr>
            <w:r>
              <w:rPr>
                <w:rFonts w:ascii="Arial" w:cs="Arial" w:eastAsia="Arial" w:hAnsi="Arial"/>
                <w:sz w:val="18"/>
                <w:szCs w:val="18"/>
                <w:color w:val="0000FF"/>
                <w:w w:val="93"/>
              </w:rPr>
              <w:t>Condensed Consolidated Statements of Comprehensive Loss for the Three and Nine Months Ended September 30, 2023 and</w:t>
            </w: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340" w:type="dxa"/>
            <w:vAlign w:val="bottom"/>
            <w:gridSpan w:val="21"/>
            <w:vMerge w:val="continue"/>
          </w:tcPr>
          <w:p>
            <w:pPr>
              <w:spacing w:after="0"/>
              <w:rPr>
                <w:sz w:val="22"/>
                <w:szCs w:val="22"/>
                <w:color w:val="auto"/>
              </w:rPr>
            </w:pPr>
          </w:p>
        </w:tc>
        <w:tc>
          <w:tcPr>
            <w:tcW w:w="46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0000FF"/>
                <w:w w:val="79"/>
              </w:rPr>
              <w:t>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2022 (unaudited)</w:t>
            </w: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gridSpan w:val="3"/>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340" w:type="dxa"/>
            <w:vAlign w:val="bottom"/>
            <w:gridSpan w:val="21"/>
            <w:vMerge w:val="restart"/>
          </w:tcPr>
          <w:p>
            <w:pPr>
              <w:spacing w:after="0"/>
              <w:rPr>
                <w:sz w:val="20"/>
                <w:szCs w:val="20"/>
                <w:color w:val="auto"/>
              </w:rPr>
            </w:pPr>
            <w:r>
              <w:rPr>
                <w:rFonts w:ascii="Arial" w:cs="Arial" w:eastAsia="Arial" w:hAnsi="Arial"/>
                <w:sz w:val="18"/>
                <w:szCs w:val="18"/>
                <w:color w:val="0000FF"/>
                <w:w w:val="93"/>
              </w:rPr>
              <w:t>Condensed Consolidated Statements of Stockholders’ Equity for the Three and Nine Months Ended September 30, 2023 and</w:t>
            </w: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340" w:type="dxa"/>
            <w:vAlign w:val="bottom"/>
            <w:gridSpan w:val="21"/>
            <w:vMerge w:val="continue"/>
          </w:tcPr>
          <w:p>
            <w:pPr>
              <w:spacing w:after="0"/>
              <w:rPr>
                <w:sz w:val="22"/>
                <w:szCs w:val="22"/>
                <w:color w:val="auto"/>
              </w:rPr>
            </w:pPr>
          </w:p>
        </w:tc>
        <w:tc>
          <w:tcPr>
            <w:tcW w:w="46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0000FF"/>
                <w:w w:val="79"/>
              </w:rPr>
              <w:t>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32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2022 (unaudited)</w:t>
            </w:r>
          </w:p>
        </w:tc>
        <w:tc>
          <w:tcPr>
            <w:tcW w:w="7660" w:type="dxa"/>
            <w:vAlign w:val="bottom"/>
            <w:tcBorders>
              <w:top w:val="single" w:sz="8" w:color="0000FF"/>
            </w:tcBorders>
            <w:gridSpan w:val="14"/>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8800" w:type="dxa"/>
            <w:vAlign w:val="bottom"/>
            <w:gridSpan w:val="18"/>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2023 and 2022 (unaudited)</w:t>
            </w:r>
          </w:p>
        </w:tc>
        <w:tc>
          <w:tcPr>
            <w:tcW w:w="540" w:type="dxa"/>
            <w:vAlign w:val="bottom"/>
            <w:gridSpan w:val="3"/>
          </w:tcPr>
          <w:p>
            <w:pPr>
              <w:spacing w:after="0"/>
              <w:rPr>
                <w:sz w:val="23"/>
                <w:szCs w:val="23"/>
                <w:color w:val="auto"/>
              </w:rPr>
            </w:pPr>
          </w:p>
        </w:tc>
        <w:tc>
          <w:tcPr>
            <w:tcW w:w="460" w:type="dxa"/>
            <w:vAlign w:val="bottom"/>
            <w:gridSpan w:val="3"/>
          </w:tcPr>
          <w:p>
            <w:pPr>
              <w:jc w:val="center"/>
              <w:ind w:left="170"/>
              <w:spacing w:after="0"/>
              <w:rPr>
                <w:sz w:val="20"/>
                <w:szCs w:val="20"/>
                <w:color w:val="auto"/>
              </w:rPr>
            </w:pPr>
            <w:r>
              <w:rPr>
                <w:rFonts w:ascii="Arial" w:cs="Arial" w:eastAsia="Arial" w:hAnsi="Arial"/>
                <w:sz w:val="18"/>
                <w:szCs w:val="18"/>
                <w:color w:val="0000FF"/>
                <w:w w:val="79"/>
              </w:rPr>
              <w:t>6</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80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540" w:type="dxa"/>
            <w:vAlign w:val="bottom"/>
            <w:gridSpan w:val="3"/>
          </w:tcPr>
          <w:p>
            <w:pPr>
              <w:spacing w:after="0"/>
              <w:rPr>
                <w:sz w:val="22"/>
                <w:szCs w:val="22"/>
                <w:color w:val="auto"/>
              </w:rPr>
            </w:pPr>
          </w:p>
        </w:tc>
        <w:tc>
          <w:tcPr>
            <w:tcW w:w="460" w:type="dxa"/>
            <w:vAlign w:val="bottom"/>
            <w:gridSpan w:val="3"/>
          </w:tcPr>
          <w:p>
            <w:pPr>
              <w:jc w:val="center"/>
              <w:ind w:left="170"/>
              <w:spacing w:after="0"/>
              <w:rPr>
                <w:sz w:val="20"/>
                <w:szCs w:val="20"/>
                <w:color w:val="auto"/>
              </w:rPr>
            </w:pPr>
            <w:r>
              <w:rPr>
                <w:rFonts w:ascii="Arial" w:cs="Arial" w:eastAsia="Arial" w:hAnsi="Arial"/>
                <w:sz w:val="18"/>
                <w:szCs w:val="18"/>
                <w:color w:val="0000FF"/>
                <w:w w:val="79"/>
              </w:rPr>
              <w:t>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00" w:type="dxa"/>
            <w:vAlign w:val="bottom"/>
            <w:gridSpan w:val="6"/>
          </w:tcPr>
          <w:p>
            <w:pPr>
              <w:spacing w:after="0"/>
              <w:rPr>
                <w:sz w:val="22"/>
                <w:szCs w:val="22"/>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2"/>
          </w:tcPr>
          <w:p>
            <w:pPr>
              <w:spacing w:after="0"/>
              <w:rPr>
                <w:sz w:val="18"/>
                <w:szCs w:val="18"/>
                <w:color w:val="auto"/>
              </w:rPr>
            </w:pPr>
          </w:p>
        </w:tc>
        <w:tc>
          <w:tcPr>
            <w:tcW w:w="2900" w:type="dxa"/>
            <w:vAlign w:val="bottom"/>
            <w:gridSpan w:val="6"/>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5000" w:type="dxa"/>
            <w:vAlign w:val="bottom"/>
            <w:gridSpan w:val="8"/>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PART II - OTHER INFORMATION</w:t>
            </w:r>
          </w:p>
        </w:tc>
        <w:tc>
          <w:tcPr>
            <w:tcW w:w="77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6"/>
          </w:tcPr>
          <w:p>
            <w:pPr>
              <w:spacing w:after="0"/>
              <w:rPr>
                <w:sz w:val="20"/>
                <w:szCs w:val="20"/>
                <w:color w:val="auto"/>
              </w:rPr>
            </w:pPr>
            <w:r>
              <w:rPr>
                <w:rFonts w:ascii="Arial" w:cs="Arial" w:eastAsia="Arial" w:hAnsi="Arial"/>
                <w:sz w:val="18"/>
                <w:szCs w:val="18"/>
                <w:color w:val="0000FF"/>
                <w:w w:val="85"/>
              </w:rPr>
              <w:t>Legal Proceedings</w:t>
            </w:r>
          </w:p>
        </w:tc>
        <w:tc>
          <w:tcPr>
            <w:tcW w:w="8020" w:type="dxa"/>
            <w:vAlign w:val="bottom"/>
            <w:gridSpan w:val="15"/>
          </w:tcPr>
          <w:p>
            <w:pPr>
              <w:spacing w:after="0"/>
              <w:rPr>
                <w:sz w:val="24"/>
                <w:szCs w:val="24"/>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8020" w:type="dxa"/>
            <w:vAlign w:val="bottom"/>
            <w:gridSpan w:val="1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sz w:val="20"/>
                <w:szCs w:val="20"/>
                <w:color w:val="auto"/>
              </w:rPr>
            </w:pPr>
            <w:r>
              <w:rPr>
                <w:rFonts w:ascii="Arial" w:cs="Arial" w:eastAsia="Arial" w:hAnsi="Arial"/>
                <w:sz w:val="18"/>
                <w:szCs w:val="18"/>
                <w:color w:val="0000FF"/>
              </w:rPr>
              <w:t>Defaults Upon Senior Securities</w:t>
            </w:r>
          </w:p>
        </w:tc>
        <w:tc>
          <w:tcPr>
            <w:tcW w:w="5000" w:type="dxa"/>
            <w:vAlign w:val="bottom"/>
            <w:gridSpan w:val="8"/>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0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1"/>
          </w:tcPr>
          <w:p>
            <w:pPr>
              <w:spacing w:after="0"/>
              <w:rPr>
                <w:sz w:val="20"/>
                <w:szCs w:val="20"/>
                <w:color w:val="auto"/>
              </w:rPr>
            </w:pPr>
            <w:r>
              <w:rPr>
                <w:rFonts w:ascii="Arial" w:cs="Arial" w:eastAsia="Arial" w:hAnsi="Arial"/>
                <w:sz w:val="18"/>
                <w:szCs w:val="18"/>
                <w:color w:val="0000FF"/>
              </w:rPr>
              <w:t>Mine Safety Disclosures</w:t>
            </w:r>
          </w:p>
        </w:tc>
        <w:tc>
          <w:tcPr>
            <w:tcW w:w="7020" w:type="dxa"/>
            <w:vAlign w:val="bottom"/>
            <w:gridSpan w:val="10"/>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6"/>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gridSpan w:val="3"/>
          </w:tcPr>
          <w:p>
            <w:pPr>
              <w:spacing w:after="0"/>
              <w:rPr>
                <w:sz w:val="18"/>
                <w:szCs w:val="18"/>
                <w:color w:val="auto"/>
              </w:rPr>
            </w:pPr>
          </w:p>
        </w:tc>
        <w:tc>
          <w:tcPr>
            <w:tcW w:w="7580" w:type="dxa"/>
            <w:vAlign w:val="bottom"/>
            <w:gridSpan w:val="12"/>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gridSpan w:val="4"/>
          </w:tcPr>
          <w:p>
            <w:pPr>
              <w:spacing w:after="0"/>
              <w:rPr>
                <w:sz w:val="18"/>
                <w:szCs w:val="18"/>
                <w:color w:val="auto"/>
              </w:rPr>
            </w:pPr>
          </w:p>
        </w:tc>
        <w:tc>
          <w:tcPr>
            <w:tcW w:w="8020" w:type="dxa"/>
            <w:vAlign w:val="bottom"/>
            <w:gridSpan w:val="1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1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77</w:t>
            </w: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4" w:lineRule="exact"/>
        <w:rPr>
          <w:sz w:val="20"/>
          <w:szCs w:val="20"/>
          <w:color w:val="auto"/>
        </w:rPr>
      </w:pPr>
    </w:p>
    <w:p>
      <w:pPr>
        <w:ind w:right="50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functionality of the Nautilus platform;</w:t>
      </w:r>
    </w:p>
    <w:p>
      <w:pPr>
        <w:spacing w:after="0" w:line="171" w:lineRule="exact"/>
        <w:rPr>
          <w:rFonts w:ascii="Arial" w:cs="Arial" w:eastAsia="Arial" w:hAnsi="Arial"/>
          <w:sz w:val="18"/>
          <w:szCs w:val="18"/>
          <w:color w:val="auto"/>
        </w:rPr>
      </w:pPr>
    </w:p>
    <w:p>
      <w:pPr>
        <w:ind w:right="8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right="320" w:firstLine="332"/>
        <w:spacing w:after="0" w:line="311" w:lineRule="auto"/>
        <w:tabs>
          <w:tab w:leader="none" w:pos="643"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partners,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rFonts w:ascii="Arial" w:cs="Arial" w:eastAsia="Arial" w:hAnsi="Arial"/>
          <w:sz w:val="18"/>
          <w:szCs w:val="18"/>
          <w:color w:val="auto"/>
        </w:rPr>
      </w:pPr>
    </w:p>
    <w:p>
      <w:pPr>
        <w:ind w:firstLine="332"/>
        <w:spacing w:after="0" w:line="263"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 including the COVID-19 pandemic, the conflicts in Eastern Europe and the Middle East, increasing interest rates, instability in the global financial markets, and general economic downturns, on the foregoing;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1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8"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September 30, 2023 and December 31,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6"/>
        </w:trPr>
        <w:tc>
          <w:tcPr>
            <w:tcW w:w="8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74,104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114,523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69,948</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187,209</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350,052</w:t>
            </w: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3"/>
        </w:trPr>
        <w:tc>
          <w:tcPr>
            <w:tcW w:w="84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28,337</w:t>
            </w:r>
          </w:p>
        </w:tc>
        <w:tc>
          <w:tcPr>
            <w:tcW w:w="0" w:type="dxa"/>
            <w:vAlign w:val="bottom"/>
          </w:tcPr>
          <w:p>
            <w:pPr>
              <w:spacing w:after="0"/>
              <w:rPr>
                <w:sz w:val="1"/>
                <w:szCs w:val="1"/>
                <w:color w:val="auto"/>
              </w:rPr>
            </w:pPr>
          </w:p>
        </w:tc>
      </w:tr>
      <w:tr>
        <w:trPr>
          <w:trHeight w:val="223"/>
        </w:trPr>
        <w:tc>
          <w:tcPr>
            <w:tcW w:w="846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8)</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00"/>
              <w:spacing w:after="0" w:line="176" w:lineRule="exact"/>
              <w:rPr>
                <w:sz w:val="20"/>
                <w:szCs w:val="20"/>
                <w:color w:val="auto"/>
              </w:rPr>
            </w:pPr>
            <w:r>
              <w:rPr>
                <w:rFonts w:ascii="Arial" w:cs="Arial" w:eastAsia="Arial" w:hAnsi="Arial"/>
                <w:sz w:val="18"/>
                <w:szCs w:val="18"/>
                <w:color w:val="auto"/>
                <w:w w:val="92"/>
              </w:rPr>
              <w:t>Preferred stock, $0.0001 par value, 200,000,000 authorized as of September 30, 2023 and December 31, 2022; 0</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shares issued and outstanding as of September 30, 2023 and December 31, 2022</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Common stock, $0.0001 par value, 1,000,000,000 shares authorized as of September 30, 2023 and December 31,</w:t>
            </w: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6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w w:val="90"/>
              </w:rPr>
              <w:t>2022; 124,940,774 and 124,865,485 shares issued and outstanding as of September 30, 2023 and December 31,</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2022, respectively</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464,509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455,330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(138,564)</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314,924</w:t>
            </w:r>
          </w:p>
        </w:tc>
        <w:tc>
          <w:tcPr>
            <w:tcW w:w="0" w:type="dxa"/>
            <w:vAlign w:val="bottom"/>
          </w:tcPr>
          <w:p>
            <w:pPr>
              <w:spacing w:after="0"/>
              <w:rPr>
                <w:sz w:val="1"/>
                <w:szCs w:val="1"/>
                <w:color w:val="auto"/>
              </w:rPr>
            </w:pPr>
          </w:p>
        </w:tc>
      </w:tr>
      <w:tr>
        <w:trPr>
          <w:trHeight w:val="223"/>
        </w:trPr>
        <w:tc>
          <w:tcPr>
            <w:tcW w:w="84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350,052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30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11,996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34,785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28,085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47,314</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Net loss per share attributable to common stockholders,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0"/>
                <w:szCs w:val="10"/>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1"/>
        </w:trPr>
        <w:tc>
          <w:tcPr>
            <w:tcW w:w="42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loss per</w:t>
            </w:r>
          </w:p>
        </w:tc>
        <w:tc>
          <w:tcPr>
            <w:tcW w:w="3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5"/>
              </w:rPr>
              <w:t>share attributable to common stockholders, basic and</w:t>
            </w:r>
          </w:p>
        </w:tc>
        <w:tc>
          <w:tcPr>
            <w:tcW w:w="3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124,933,837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124,651,318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124,896,975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124,522,164</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securities available-for-sale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Three Months Ended September 30, 2023</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top w:val="single" w:sz="8" w:color="auto"/>
            </w:tcBorders>
          </w:tcPr>
          <w:p>
            <w:pPr>
              <w:spacing w:after="0"/>
              <w:rPr>
                <w:sz w:val="6"/>
                <w:szCs w:val="6"/>
                <w:color w:val="auto"/>
              </w:rPr>
            </w:pPr>
          </w:p>
        </w:tc>
        <w:tc>
          <w:tcPr>
            <w:tcW w:w="2180" w:type="dxa"/>
            <w:vAlign w:val="bottom"/>
          </w:tcPr>
          <w:p>
            <w:pPr>
              <w:spacing w:after="0"/>
              <w:rPr>
                <w:sz w:val="6"/>
                <w:szCs w:val="6"/>
                <w:color w:val="auto"/>
              </w:rPr>
            </w:pPr>
          </w:p>
        </w:tc>
        <w:tc>
          <w:tcPr>
            <w:tcW w:w="190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gridSpan w:val="2"/>
            <w:vMerge w:val="restart"/>
          </w:tcPr>
          <w:p>
            <w:pPr>
              <w:jc w:val="center"/>
              <w:ind w:right="300"/>
              <w:spacing w:after="0" w:line="108" w:lineRule="exact"/>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9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Paid-in Capital</w:t>
            </w:r>
          </w:p>
        </w:tc>
        <w:tc>
          <w:tcPr>
            <w:tcW w:w="2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6"/>
                <w:szCs w:val="16"/>
                <w:color w:val="auto"/>
              </w:rPr>
            </w:pPr>
          </w:p>
        </w:tc>
        <w:tc>
          <w:tcPr>
            <w:tcW w:w="82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June 30,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124,930,899</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461,387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(169,337)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289,673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exercise of vested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9,875</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Balances at September 30, 2023</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124,940,774</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464,509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Three Months Ended September 30, 2022</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tcBorders>
              <w:top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188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80"/>
              <w:spacing w:after="0" w:line="99"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80"/>
              <w:spacing w:after="0" w:line="13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38" w:lineRule="exact"/>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June 30,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124,562,745</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449,406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exercise of vested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160,780</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Balances at September 30,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124,723,525</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452,362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(125,155)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325,338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Nine Months Ended September 30, 2023</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00" w:type="dxa"/>
            <w:vAlign w:val="bottom"/>
            <w:tcBorders>
              <w:top w:val="single" w:sz="8" w:color="auto"/>
            </w:tcBorders>
          </w:tcPr>
          <w:p>
            <w:pPr>
              <w:spacing w:after="0"/>
              <w:rPr>
                <w:sz w:val="6"/>
                <w:szCs w:val="6"/>
                <w:color w:val="auto"/>
              </w:rPr>
            </w:pPr>
          </w:p>
        </w:tc>
        <w:tc>
          <w:tcPr>
            <w:tcW w:w="2200" w:type="dxa"/>
            <w:vAlign w:val="bottom"/>
          </w:tcPr>
          <w:p>
            <w:pPr>
              <w:spacing w:after="0"/>
              <w:rPr>
                <w:sz w:val="6"/>
                <w:szCs w:val="6"/>
                <w:color w:val="auto"/>
              </w:rPr>
            </w:pPr>
          </w:p>
        </w:tc>
        <w:tc>
          <w:tcPr>
            <w:tcW w:w="188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124,865,485</w:t>
            </w:r>
          </w:p>
        </w:tc>
        <w:tc>
          <w:tcPr>
            <w:tcW w:w="8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455,330</w:t>
            </w: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(138,564)</w:t>
            </w: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exercise of vested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15,782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Issuance of common stock under employee stock purchase</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plan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59,507</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9,064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(46,651)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(46,651)</w:t>
            </w:r>
          </w:p>
        </w:tc>
        <w:tc>
          <w:tcPr>
            <w:tcW w:w="0" w:type="dxa"/>
            <w:vAlign w:val="bottom"/>
          </w:tcPr>
          <w:p>
            <w:pPr>
              <w:spacing w:after="0"/>
              <w:rPr>
                <w:sz w:val="1"/>
                <w:szCs w:val="1"/>
                <w:color w:val="auto"/>
              </w:rPr>
            </w:pP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124,940,774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464,509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(185,215)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Nine Months Ended September 30, 2022</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00" w:type="dxa"/>
            <w:vAlign w:val="bottom"/>
            <w:tcBorders>
              <w:top w:val="single" w:sz="8" w:color="auto"/>
            </w:tcBorders>
          </w:tcPr>
          <w:p>
            <w:pPr>
              <w:spacing w:after="0"/>
              <w:rPr>
                <w:sz w:val="5"/>
                <w:szCs w:val="5"/>
                <w:color w:val="auto"/>
              </w:rPr>
            </w:pPr>
          </w:p>
        </w:tc>
        <w:tc>
          <w:tcPr>
            <w:tcW w:w="2200" w:type="dxa"/>
            <w:vAlign w:val="bottom"/>
          </w:tcPr>
          <w:p>
            <w:pPr>
              <w:spacing w:after="0"/>
              <w:rPr>
                <w:sz w:val="5"/>
                <w:szCs w:val="5"/>
                <w:color w:val="auto"/>
              </w:rPr>
            </w:pPr>
          </w:p>
        </w:tc>
        <w:tc>
          <w:tcPr>
            <w:tcW w:w="188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80"/>
              <w:spacing w:after="0" w:line="99"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80"/>
              <w:spacing w:after="0" w:line="13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38" w:lineRule="exact"/>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124,303,083</w:t>
            </w:r>
          </w:p>
        </w:tc>
        <w:tc>
          <w:tcPr>
            <w:tcW w:w="8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exercise of vested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372,089</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Issuance of common stock under employee stock purchase</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plan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48,353</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(44,515)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(44,515)</w:t>
            </w:r>
          </w:p>
        </w:tc>
        <w:tc>
          <w:tcPr>
            <w:tcW w:w="0" w:type="dxa"/>
            <w:vAlign w:val="bottom"/>
          </w:tcPr>
          <w:p>
            <w:pPr>
              <w:spacing w:after="0"/>
              <w:rPr>
                <w:sz w:val="1"/>
                <w:szCs w:val="1"/>
                <w:color w:val="auto"/>
              </w:rPr>
            </w:pP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124,723,525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452,362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(125,155)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Nine Months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(accretion) of premium (discount) on securities,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142,075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38,315</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0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June 9, 2021,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September 30, 2023, the results of its operations for the three and nine months ended September 30, 2023 and its cash flows for the nine months ended September 30, 2023 and 2022. The results of operations for the three and nine months ended September 30, 2023 are not necessarily indicative of the results that may be expected for the year ending December 31, 2023. These financial statements and accompanying notes should be read in conjunction with the consolidated financial statements and notes thereto in the Company’s Annual Report on Form 10-K for the fiscal year ended December 31, 2022 on file with the SEC. The Company’s reporting currency is the U.S. dollar.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inception and expects this to continue for the foreseeable future. As of September 30, 2023, the Company had an accumulated deficit of $185.2 million.</w:t>
      </w:r>
    </w:p>
    <w:p>
      <w:pPr>
        <w:spacing w:after="0" w:line="19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$183.3 million as of September 30, 2023. As of the date on which these condensed consolidated financial statements were issued, the Company believes that its cash, cash equivalents, and short-term investments will be sufficient to fund its operations for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COVID-19 pandemic has already had an adverse effect on the global economy. Additionally, concerns over the economic impact of COVID-19 have caused extreme volatility in financial and other capital markets, which may adversely affect the Company’s ability to access capital markets in the future. The level and nature of the disruption caused by COVID-19 is unpredictable, may be cyclical and long-lasting, and may again in the future adversely affect the Company's operating results.</w:t>
      </w:r>
    </w:p>
    <w:p>
      <w:pPr>
        <w:spacing w:after="0" w:line="12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Credit risk represents the accounting loss that would be recognized as of the reporting date if counterparties failed to perform as contracted.</w:t>
      </w:r>
    </w:p>
    <w:p>
      <w:pPr>
        <w:spacing w:after="0" w:line="18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0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considers all highly-liquid investments with an original maturity of three months or less as of the date of acquisition to be cash equivalents.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 No credit-related losses or allowance for credit losses were necessary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Comprehensive loss consists of net loss and other gains or losses affecting stockholders’ equity that, under U.S. GAAP are excluded from net loss. For the three and nine months ended September 30, 2023 and 2022, net unrealized gains and losses on marketable debt securities were included as a component of comprehensive income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June 2016, the FASB issued ASU No.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adopted this ASU on January 1, 2023 and the adoption did not have a material impact on its consolidated financial statements.</w:t>
      </w:r>
    </w:p>
    <w:p>
      <w:pPr>
        <w:spacing w:after="0" w:line="11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September 30, 2023 and December 31,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ind w:left="26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Reported as: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6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63,570</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37,683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23,863</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125,563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63,672</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213,984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68,576</w:t>
            </w:r>
          </w:p>
        </w:tc>
        <w:tc>
          <w:tcPr>
            <w:tcW w:w="0" w:type="dxa"/>
            <w:vAlign w:val="bottom"/>
          </w:tcPr>
          <w:p>
            <w:pPr>
              <w:spacing w:after="0"/>
              <w:rPr>
                <w:sz w:val="1"/>
                <w:szCs w:val="1"/>
                <w:color w:val="auto"/>
              </w:rPr>
            </w:pPr>
          </w:p>
        </w:tc>
      </w:tr>
      <w:tr>
        <w:trPr>
          <w:trHeight w:val="223"/>
        </w:trPr>
        <w:tc>
          <w:tcPr>
            <w:tcW w:w="2640" w:type="dxa"/>
            <w:vAlign w:val="bottom"/>
          </w:tcPr>
          <w:p>
            <w:pPr>
              <w:ind w:left="260"/>
              <w:spacing w:after="0"/>
              <w:rPr>
                <w:sz w:val="20"/>
                <w:szCs w:val="20"/>
                <w:color w:val="auto"/>
              </w:rPr>
            </w:pPr>
            <w:r>
              <w:rPr>
                <w:rFonts w:ascii="Arial" w:cs="Arial" w:eastAsia="Arial" w:hAnsi="Arial"/>
                <w:sz w:val="18"/>
                <w:szCs w:val="18"/>
                <w:color w:val="auto"/>
              </w:rPr>
              <w:t>Total Level 1 and Level 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277,554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Reported as: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6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Short-term</w:t>
            </w:r>
          </w:p>
        </w:tc>
        <w:tc>
          <w:tcPr>
            <w:tcW w:w="180" w:type="dxa"/>
            <w:vAlign w:val="bottom"/>
          </w:tcPr>
          <w:p>
            <w:pPr>
              <w:spacing w:after="0"/>
              <w:rPr>
                <w:sz w:val="11"/>
                <w:szCs w:val="11"/>
                <w:color w:val="auto"/>
              </w:rPr>
            </w:pPr>
          </w:p>
        </w:tc>
        <w:tc>
          <w:tcPr>
            <w:tcW w:w="108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6"/>
                <w:szCs w:val="16"/>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53,807</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156,419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113,402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73,267</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80,126</w:t>
            </w:r>
          </w:p>
        </w:tc>
        <w:tc>
          <w:tcPr>
            <w:tcW w:w="0" w:type="dxa"/>
            <w:vAlign w:val="bottom"/>
          </w:tcPr>
          <w:p>
            <w:pPr>
              <w:spacing w:after="0"/>
              <w:rPr>
                <w:sz w:val="1"/>
                <w:szCs w:val="1"/>
                <w:color w:val="auto"/>
              </w:rPr>
            </w:pPr>
          </w:p>
        </w:tc>
      </w:tr>
      <w:tr>
        <w:trPr>
          <w:trHeight w:val="223"/>
        </w:trPr>
        <w:tc>
          <w:tcPr>
            <w:tcW w:w="2640" w:type="dxa"/>
            <w:vAlign w:val="bottom"/>
          </w:tcPr>
          <w:p>
            <w:pPr>
              <w:ind w:left="260"/>
              <w:spacing w:after="0"/>
              <w:rPr>
                <w:sz w:val="20"/>
                <w:szCs w:val="20"/>
                <w:color w:val="auto"/>
              </w:rPr>
            </w:pPr>
            <w:r>
              <w:rPr>
                <w:rFonts w:ascii="Arial" w:cs="Arial" w:eastAsia="Arial" w:hAnsi="Arial"/>
                <w:sz w:val="18"/>
                <w:szCs w:val="18"/>
                <w:color w:val="auto"/>
              </w:rPr>
              <w:t>Total Level 1 and Level 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315,494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Contractual maturities of short-term investments as of September 30, 2023 and December 31, 2022 are due in one year or less. Contractual maturities of long-term investments as of September 30, 2023 and December 31, 2022 are due after 1 year through 2 years.</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unrealized losses and fair values of available-for-sale securities that have been in an unrealized loss position for a period of less than and greater than 12 months as of September 30, 2023 and December 31, 2022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Securities in Unrealized Loss Position</w:t>
            </w:r>
          </w:p>
        </w:tc>
        <w:tc>
          <w:tcPr>
            <w:tcW w:w="140" w:type="dxa"/>
            <w:vAlign w:val="bottom"/>
          </w:tcPr>
          <w:p>
            <w:pPr>
              <w:spacing w:after="0"/>
              <w:rPr>
                <w:sz w:val="14"/>
                <w:szCs w:val="14"/>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Securities in Unrealized Loss Position</w:t>
            </w:r>
          </w:p>
        </w:tc>
        <w:tc>
          <w:tcPr>
            <w:tcW w:w="160" w:type="dxa"/>
            <w:vAlign w:val="bottom"/>
          </w:tcPr>
          <w:p>
            <w:pPr>
              <w:spacing w:after="0"/>
              <w:rPr>
                <w:sz w:val="14"/>
                <w:szCs w:val="14"/>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0"/>
              </w:rPr>
              <w:t>Less than 12 months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Greater than 12 months</w:t>
            </w:r>
          </w:p>
        </w:tc>
        <w:tc>
          <w:tcPr>
            <w:tcW w:w="16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3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6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55"/>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8"/>
        </w:trPr>
        <w:tc>
          <w:tcPr>
            <w:tcW w:w="33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September 30, 2023</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Market Value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Market Value</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3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7"/>
                <w:szCs w:val="17"/>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28,690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32,856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61,546</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81,457</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124,281</w:t>
            </w:r>
          </w:p>
        </w:tc>
        <w:tc>
          <w:tcPr>
            <w:tcW w:w="0" w:type="dxa"/>
            <w:vAlign w:val="bottom"/>
          </w:tcPr>
          <w:p>
            <w:pPr>
              <w:spacing w:after="0"/>
              <w:rPr>
                <w:sz w:val="1"/>
                <w:szCs w:val="1"/>
                <w:color w:val="auto"/>
              </w:rPr>
            </w:pPr>
          </w:p>
        </w:tc>
      </w:tr>
      <w:tr>
        <w:trPr>
          <w:trHeight w:val="223"/>
        </w:trPr>
        <w:tc>
          <w:tcPr>
            <w:tcW w:w="334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207,457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274,151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3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Securities in Unrealized Loss Position</w:t>
            </w:r>
          </w:p>
        </w:tc>
        <w:tc>
          <w:tcPr>
            <w:tcW w:w="140" w:type="dxa"/>
            <w:vAlign w:val="bottom"/>
          </w:tcPr>
          <w:p>
            <w:pPr>
              <w:spacing w:after="0"/>
              <w:rPr>
                <w:sz w:val="24"/>
                <w:szCs w:val="24"/>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Securities in Unrealized Loss Position</w:t>
            </w:r>
          </w:p>
        </w:tc>
        <w:tc>
          <w:tcPr>
            <w:tcW w:w="160" w:type="dxa"/>
            <w:vAlign w:val="bottom"/>
          </w:tcPr>
          <w:p>
            <w:pPr>
              <w:spacing w:after="0"/>
              <w:rPr>
                <w:sz w:val="24"/>
                <w:szCs w:val="24"/>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0"/>
              </w:rPr>
              <w:t>Less than 12 months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Greater than 12 months</w:t>
            </w: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13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center"/>
              <w:ind w:right="55"/>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8"/>
        </w:trPr>
        <w:tc>
          <w:tcPr>
            <w:tcW w:w="334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Market Value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Market Value</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49,114</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151,354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151,354</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Agency securities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59,418</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257,858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273,969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review our investment portfolio based on the underlying risk profile of the securities and have a no loss expectation for these investments. We also regularly review the securities in an unrealized loss position and evaluate the current expected credit loss by considering factors such as historical experience, market data, issuer-specific factors, and current economic conditions. We recognized no credit losses on our investments during the three and nine months ended September 30, 2023 and 2022, and had no allowance for credit losses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660" w:firstLine="8"/>
        <w:spacing w:after="0" w:line="440" w:lineRule="auto"/>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4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Prototype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recorded depreciation expense of $0.5 million and $1.3 million for the three and nine months ended September 30, 2023 and $0.3 million and $0.9 million for the three and nine months ended September 30, 2022, respectively, which was primarily allocated to research and development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long-term assets (Note 8)</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Other long-term assets consisted of $1.0 million of restricted cash and $0.2 million of deposits as of September 30, 2023, and $0.9 million of restricted cash and $0.2 million of deposits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124,940,774 shares issued and outstanding as of September 30,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Shares available for grant under 2021</w:t>
            </w: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20,374,783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17,298,043</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w w:val="91"/>
              </w:rPr>
              <w:t>Stock options issued and outstanding</w:t>
            </w:r>
          </w:p>
        </w:tc>
        <w:tc>
          <w:tcPr>
            <w:tcW w:w="5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14,636,195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11,485,443</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Shares available for grant under 2021</w:t>
            </w: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3,577,882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2,388,735</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38,588,860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31,172,221</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nine months ended September 30, 2023 and 2022, no income tax expense or benefit was recognized, primarily due to a full valuation allowance recorded against its deferred tax assets.</w:t>
      </w:r>
    </w:p>
    <w:p>
      <w:pPr>
        <w:spacing w:after="0" w:line="200" w:lineRule="exact"/>
        <w:rPr>
          <w:sz w:val="20"/>
          <w:szCs w:val="20"/>
          <w:color w:val="auto"/>
        </w:rPr>
      </w:pPr>
    </w:p>
    <w:p>
      <w:pPr>
        <w:spacing w:after="0" w:line="323"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and Stock-based Compensation</w:t>
      </w:r>
    </w:p>
    <w:p>
      <w:pPr>
        <w:spacing w:after="0" w:line="17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On June 8, 2021, the stockholders of the Company approved the 2021 Equity Incentive Plan (“2021 Plan”) and the 2021 Employee Stock Purchase Plan (“2021 ESPP”). As of September 30, 2023, 20,374,783 and 3,577,882 shares were available for grant under the 2021 Plan and 2021 ESPP,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ind w:right="160" w:firstLine="324"/>
        <w:spacing w:after="0" w:line="284" w:lineRule="auto"/>
        <w:rPr>
          <w:sz w:val="20"/>
          <w:szCs w:val="20"/>
          <w:color w:val="auto"/>
        </w:rPr>
      </w:pPr>
      <w:r>
        <w:rPr>
          <w:rFonts w:ascii="Arial" w:cs="Arial" w:eastAsia="Arial" w:hAnsi="Arial"/>
          <w:sz w:val="16"/>
          <w:szCs w:val="16"/>
          <w:color w:val="auto"/>
        </w:rPr>
        <w:t>Under the 2021 ESPP, the Company can grant stock options to employees to purchase shares of Common Stock at a purchase price which is equal to 85% of the fair market value of common stock on the enrollment date or on the exercise date, whichever is lower.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w:t>
      </w:r>
    </w:p>
    <w:p>
      <w:pPr>
        <w:spacing w:after="0" w:line="1" w:lineRule="exact"/>
        <w:rPr>
          <w:sz w:val="20"/>
          <w:szCs w:val="20"/>
          <w:color w:val="auto"/>
        </w:rPr>
      </w:pPr>
    </w:p>
    <w:p>
      <w:pPr>
        <w:ind w:right="340" w:firstLine="8"/>
        <w:spacing w:after="0" w:line="260"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number of shares determined by the Administrator no later than the last day of the immediately preceding fiscal year. On January 1, 2023, the number of shares available under the 2021 ESPP increased by 1,248,654 shares pursuant to this feature.</w:t>
      </w:r>
    </w:p>
    <w:p>
      <w:pPr>
        <w:spacing w:after="0" w:line="13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first offering period was from October 1, 2021 through June 1, 2022. For subsequent offering periods, the Company offers a six month purchase period. As of September 30, 2023, 158,702 shares of common stock were purchased under the 2021 ESPP.</w:t>
      </w: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2023, the number of shares available under the 2021 Plan increased by 6,243,274 shares pursuant to this feature.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determining the compensation cost of the option awards, the fair value for each option award has been estimated using the Black Scholes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these calculations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4120" w:type="dxa"/>
            <w:vAlign w:val="bottom"/>
            <w:gridSpan w:val="4"/>
          </w:tcPr>
          <w:p>
            <w:pPr>
              <w:ind w:left="900"/>
              <w:spacing w:after="0"/>
              <w:rPr>
                <w:sz w:val="20"/>
                <w:szCs w:val="20"/>
                <w:color w:val="auto"/>
              </w:rPr>
            </w:pPr>
            <w:r>
              <w:rPr>
                <w:rFonts w:ascii="Arial" w:cs="Arial" w:eastAsia="Arial" w:hAnsi="Arial"/>
                <w:sz w:val="14"/>
                <w:szCs w:val="14"/>
                <w:b w:val="1"/>
                <w:bCs w:val="1"/>
                <w:color w:val="auto"/>
              </w:rPr>
              <w:t>Three Months Ended September 30,</w:t>
            </w:r>
          </w:p>
        </w:tc>
        <w:tc>
          <w:tcPr>
            <w:tcW w:w="4040" w:type="dxa"/>
            <w:vAlign w:val="bottom"/>
            <w:gridSpan w:val="3"/>
          </w:tcPr>
          <w:p>
            <w:pPr>
              <w:jc w:val="right"/>
              <w:ind w:right="854"/>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30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9"/>
        </w:trPr>
        <w:tc>
          <w:tcPr>
            <w:tcW w:w="30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2022</w:t>
            </w: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5.3 - 6.4</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5.3 - 6.1</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jc w:val="right"/>
              <w:spacing w:after="0"/>
              <w:rPr>
                <w:sz w:val="20"/>
                <w:szCs w:val="20"/>
                <w:color w:val="auto"/>
              </w:rPr>
            </w:pPr>
            <w:r>
              <w:rPr>
                <w:rFonts w:ascii="Arial" w:cs="Arial" w:eastAsia="Arial" w:hAnsi="Arial"/>
                <w:sz w:val="18"/>
                <w:szCs w:val="18"/>
                <w:color w:val="auto"/>
              </w:rPr>
              <w:t>103.4% - 103.7%</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109.3% - 110.2%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102.7% - 107.5%</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105.2% - 110.2%</w:t>
            </w: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60" w:type="dxa"/>
            <w:vAlign w:val="bottom"/>
          </w:tcPr>
          <w:p>
            <w:pPr>
              <w:jc w:val="right"/>
              <w:spacing w:after="0"/>
              <w:rPr>
                <w:sz w:val="20"/>
                <w:szCs w:val="20"/>
                <w:color w:val="auto"/>
              </w:rPr>
            </w:pPr>
            <w:r>
              <w:rPr>
                <w:rFonts w:ascii="Arial" w:cs="Arial" w:eastAsia="Arial" w:hAnsi="Arial"/>
                <w:sz w:val="18"/>
                <w:szCs w:val="18"/>
                <w:color w:val="auto"/>
              </w:rPr>
              <w:t>3.99% - 4.44%</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2.81% - 3.69%</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3.50% - 4.44%</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1.73% - 3.69%</w:t>
            </w:r>
          </w:p>
        </w:tc>
      </w:tr>
    </w:tbl>
    <w:p>
      <w:pPr>
        <w:spacing w:after="0" w:line="20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3" w:lineRule="exact"/>
        <w:rPr>
          <w:sz w:val="20"/>
          <w:szCs w:val="20"/>
          <w:color w:val="auto"/>
        </w:rPr>
      </w:pPr>
    </w:p>
    <w:p>
      <w:pPr>
        <w:ind w:right="60" w:firstLine="324"/>
        <w:spacing w:after="0" w:line="220" w:lineRule="exact"/>
        <w:rPr>
          <w:sz w:val="20"/>
          <w:szCs w:val="20"/>
          <w:color w:val="auto"/>
        </w:rPr>
      </w:pPr>
      <w:r>
        <w:rPr>
          <w:rFonts w:ascii="Arial" w:cs="Arial" w:eastAsia="Arial" w:hAnsi="Arial"/>
          <w:sz w:val="16"/>
          <w:szCs w:val="16"/>
          <w:color w:val="auto"/>
        </w:rPr>
        <w:t>Expected volatility: Historically, the Company has been a private company and lacked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dividend yield: The expected dividend rate is zero as the Company has no history or expectation of declaring dividends on its common stock.</w:t>
      </w:r>
    </w:p>
    <w:p>
      <w:pPr>
        <w:spacing w:after="0" w:line="1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award activity during the nine months ended September 30,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4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11,485,443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3,627,375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(460,841)</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14,636,195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w w:val="92"/>
              </w:rPr>
              <w:t>Options vested and expected to vest as of September 30, 2023</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14,636,195</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3.63</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September 30,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6,870,884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September 30, 2023, there was $21.7 million of total unrecognized compensation expense expected to be recognized over a weighted average-period of 2.2 years. Aggregate intrinsic value represents the difference between the fair market value of the common stock and the exercise price of outstanding, in-the-money options.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sets forth the total stock-based compensation expense included in the Company’s condensed consolidated statement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580" w:firstLine="324"/>
        <w:spacing w:after="0" w:line="301" w:lineRule="auto"/>
        <w:rPr>
          <w:sz w:val="20"/>
          <w:szCs w:val="20"/>
          <w:color w:val="auto"/>
        </w:rPr>
      </w:pPr>
      <w:r>
        <w:rPr>
          <w:rFonts w:ascii="Arial" w:cs="Arial" w:eastAsia="Arial" w:hAnsi="Arial"/>
          <w:sz w:val="16"/>
          <w:szCs w:val="16"/>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September 30, 2023 as the Company had not yet received the related goods or services. As of September 30, 2023, the Company had open purchase commitments for goods and services of $1.4 million, of which $1.2 million are expected to be received through the next 12 months.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is obligated under certain non-cancellable operating leases for office space and laboratory space. This space includes operating leases in Seattle, Washington, San Carlos, California, and San Diego,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Seattle Lease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San Carlos Leases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16"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December 2021, the Company entered into another lease in San Carlos, California for nine years commencing in March 2023. The Company can terminate this lease after five years from the commencement date without bearing any significant termination penalties and therefore the Company concluded that the lease term is five years with total minimum lease payments of $7.2 million. The Company utilized $2.0 million from the landlord with an interest rate of 7% to finance its tenant improvements. The principal and interest payments are included in the payments used to measure the lease liability.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San Diego Lease</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November 2022, the Company entered into a lease in San Diego, California for 39 months commencing in December 2022. Total non-cancellable payments under this lease aggregate $2.1 million through March 2026.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lease costs, which were included in operating expenses in condensed consolidated statements of operations,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the nine months ended September 30, 2023 and 2022, cash paid for amounts included in the measurement of operating lease liabilities included in cash flows used in operating activities was $4.5 million and $2.8 million, respectively.</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September 30, 2023, the weighted-average remaining lease term and weighted-average discount rate for operating leases was 6.9 years and 9.1%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future principal contractual obligations for operating lease commitments as of September 30, 2023:</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Lease Obligations</w:t>
            </w:r>
          </w:p>
        </w:tc>
      </w:tr>
      <w:tr>
        <w:trPr>
          <w:trHeight w:val="26"/>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ending December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6,992</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6,878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19,028</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issued a cash-collateralized letter of credit in lieu of security deposit of $0.2 million. In conjunction with the San Diego lease agreement entered in November 2022, the Company issued a cash-collateralized letter of credit in lieu of a security deposit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and nine months ended September 30, 2023 and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(15,878)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(46,651)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(44,515)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80" w:type="dxa"/>
            <w:vAlign w:val="bottom"/>
          </w:tcPr>
          <w:p>
            <w:pPr>
              <w:ind w:left="20"/>
              <w:spacing w:after="0" w:line="156" w:lineRule="exact"/>
              <w:rPr>
                <w:sz w:val="20"/>
                <w:szCs w:val="20"/>
                <w:color w:val="auto"/>
              </w:rPr>
            </w:pPr>
            <w:r>
              <w:rPr>
                <w:rFonts w:ascii="Arial" w:cs="Arial" w:eastAsia="Arial" w:hAnsi="Arial"/>
                <w:sz w:val="18"/>
                <w:szCs w:val="18"/>
                <w:color w:val="auto"/>
                <w:w w:val="95"/>
              </w:rPr>
              <w:t>Weighted average shares used in computing net loss per share</w:t>
            </w:r>
          </w:p>
        </w:tc>
        <w:tc>
          <w:tcPr>
            <w:tcW w:w="2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124,933,837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124,651,318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124,896,975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124,522,164</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8"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Three and Nine Months</w:t>
      </w:r>
    </w:p>
    <w:p>
      <w:pPr>
        <w:spacing w:after="0" w:line="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14,636,195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11,515,123</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74,407</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54,733</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14,710,602</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11,569,856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3" w:name="page24"/>
    <w:bookmarkEnd w:id="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2022 and the related notes included in the Company’s Annual Report on Form 10-K filed with the SEC on February 23, 2023.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16"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early access engagements and associated revenue in 2024. We expect this second phase to lead into the third phase of broad commercialization and launch of our proteome analysis platform in 2024.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3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June 9, 2021,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0"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gross proceeds of approximately $345.5 million from PIPE Investors and the Business Combination, offset by approximately $18.2 million of transaction costs and underwriters’ fees relating to the closing of the Business Combination. As of September 30, 2023, we had cash, cash equivalents and short-term investments of $183.3 million. Based on this, we believe that our existing cash, cash equivalents, and short-term investments will enable us to fund our planned operating expenses and capital expenditures through at least the next 12 months.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incurred significant losses since the commencement of our operations. Our net loss was $46.7 million during the nine months ended September 30, 2023, and we expect to continue to incur significant losses for the foreseeable future as we continue our research and development activities and planned commercialization of our proteomics platform. As of September 30, 2023, we had an accumulated deficit of $185.2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17" w:lineRule="exact"/>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Negative Global or National Events</w:t>
      </w:r>
    </w:p>
    <w:p>
      <w:pPr>
        <w:spacing w:after="0" w:line="175" w:lineRule="exact"/>
        <w:rPr>
          <w:sz w:val="20"/>
          <w:szCs w:val="20"/>
          <w:color w:val="auto"/>
        </w:rPr>
      </w:pPr>
    </w:p>
    <w:p>
      <w:pPr>
        <w:jc w:val="both"/>
        <w:ind w:right="360" w:firstLine="324"/>
        <w:spacing w:after="0" w:line="301" w:lineRule="auto"/>
        <w:rPr>
          <w:sz w:val="20"/>
          <w:szCs w:val="20"/>
          <w:color w:val="auto"/>
        </w:rPr>
      </w:pPr>
      <w:r>
        <w:rPr>
          <w:rFonts w:ascii="Arial" w:cs="Arial" w:eastAsia="Arial" w:hAnsi="Arial"/>
          <w:sz w:val="16"/>
          <w:szCs w:val="16"/>
          <w:color w:val="auto"/>
        </w:rPr>
        <w:t>Businesses have been and will continue to be impacted by a number of challenging global and national events and circumstances that continue to evolve, including the COVID-19 pandemic, extreme weather conditions, increased economic uncertainty, inflation, rising interest rates, recent and any potential future financial institution failures, and conflicts in Eastern Europe, the Middle East and in other countries. The extent of the impact of these events and circumstances on our business, operations and development timelines and plans remains uncertain,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We continue to employ hygiene protocols; controls for social distancing; enhanced cleaning, disinfecting, decontamination, and ventilation protocols; health policies; and usage of personal protective equipment, in all cases where appropriate. While we have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3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ultimate impact of these global and national events and circumstances, either individually or in aggregate, is highly uncertain and subject to change. In April 2023, President Biden signed legislation that ended the COVID-19 national emergency on May 11, 2023. The full impact of this termination of the national emergency and the wind-down of the public health emergency on FDA and other regulatory policies and operations are unclear. To the extent possible, we are conducting business as usual, with necessary or advisable modifications to mitigate potentially negative impacts to our business. For example, during the COVID-19 pandemic, we made certain modifications to employee travel, with masking and vaccination requirements in our offices, and with our employees working remotely fully or intermittently as able from March 2020 until August 2022.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director and officer insurance, and allocated expenses for technology and facilities. We expense general and administrative expenses in the periods in which they are incurred.</w:t>
      </w:r>
    </w:p>
    <w:p>
      <w:pPr>
        <w:spacing w:after="0" w:line="133"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Other income (expense) consists primarily of interest income on our cash, cash equivalents and investments (including accretion and amortization of discounts and premiums on marketable debt securities), gains and losses on foreign currency transactions, and other miscellaneous nonrecurring expenses such as gains or losses on disposal of property and equipment.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to the Three Months Ended September 30,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57"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32385</wp:posOffset>
            </wp:positionV>
            <wp:extent cx="20142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46990</wp:posOffset>
            </wp:positionV>
            <wp:extent cx="19545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15" w:lineRule="exact"/>
        <w:rPr>
          <w:sz w:val="20"/>
          <w:szCs w:val="20"/>
          <w:color w:val="auto"/>
        </w:rPr>
      </w:pPr>
    </w:p>
    <w:p>
      <w:pPr>
        <w:ind w:left="140"/>
        <w:spacing w:after="0"/>
        <w:tabs>
          <w:tab w:leader="none" w:pos="17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00" w:space="720"/>
            <w:col w:w="2700"/>
          </w:cols>
          <w:pgMar w:left="320" w:top="1440" w:right="45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11,996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9,571</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4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w:t>
            </w: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Borders>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82 %</w:t>
            </w:r>
          </w:p>
        </w:tc>
      </w:tr>
      <w:tr>
        <w:trPr>
          <w:trHeight w:val="248"/>
        </w:trPr>
        <w:tc>
          <w:tcPr>
            <w:tcW w:w="4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Research and development expenses were $12.0 million for the three months ended September 30, 2023, compared to $9.6 million for the three months ended September 30, 2022, an increase of $2.4 million, or 25%. The increase was primarily due to a $1.4 million increase in salaries, related benefits, and stock-based compensation, a $1.1 million increase in laboratory supplies and equipment expense, and a $0.9 million increase in facilities costs. These increases were primarily caused by increased hiring during 2023 and our new leases. These increases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28" w:name="page29"/>
    <w:bookmarkEnd w:id="2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 decrease of $1.0 million in costs for external development services as more development efforts were performed by the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General and administrative expenses were $7.1 million for the three months ended September 30, 2023, compared to $6.2 million for the three months ended September 30, 2022, an increase of $0.8 million, or 13%. The increase was primarily due to a $0.8 million increase in salaries, related benefits, and stock-based compensation, primarily attributable to increased hiring in 2023, and a $0.1 million increase in marketing costs. These increases were partially offset by a $0.2 million decrease in insurance costs and a $0.1 million decrease in professional services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17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Other income (expense) for the three months ended September 30, 2023 as compared to the three months ended September 30, 2022 increased primarily due to higher interest income from marketable debt securities driven by higher interest rates.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Nine Months Ended September 30, 2023 to the Nine Months Ended September 30,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32385</wp:posOffset>
            </wp:positionV>
            <wp:extent cx="20142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46990</wp:posOffset>
            </wp:positionV>
            <wp:extent cx="1954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15" w:lineRule="exact"/>
        <w:rPr>
          <w:sz w:val="20"/>
          <w:szCs w:val="20"/>
          <w:color w:val="auto"/>
        </w:rPr>
      </w:pPr>
    </w:p>
    <w:p>
      <w:pPr>
        <w:ind w:left="140"/>
        <w:spacing w:after="0"/>
        <w:tabs>
          <w:tab w:leader="none" w:pos="17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34,785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28,085</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225 %</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income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239 %</w:t>
            </w:r>
          </w:p>
        </w:tc>
      </w:tr>
      <w:tr>
        <w:trPr>
          <w:trHeight w:val="248"/>
        </w:trPr>
        <w:tc>
          <w:tcPr>
            <w:tcW w:w="4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Research and development expenses were $34.8 million for the nine months ended September 30, 2023, compared to $28.1 million for the nine months ended September 30, 2022, an increase of $6.7 million, or 24%. The increase was primarily due to a $4.1 million increase in salaries, related benefits, and stock-based compensation, a $2.4 million increase in facilities costs, a $2.0 million increase in laboratory supplies and equipment expense, $0.4 million increase in depreciation, and a $0.3 million increase for professional services. These increases were primarily caused by increased hiring in 2023 and our new leases. These increases were partially offset by decreases of $2.3 million in costs for external development services as more development efforts were performed by the Company.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560" w:firstLine="324"/>
        <w:spacing w:after="0" w:line="263" w:lineRule="auto"/>
        <w:rPr>
          <w:sz w:val="20"/>
          <w:szCs w:val="20"/>
          <w:color w:val="auto"/>
        </w:rPr>
      </w:pPr>
      <w:r>
        <w:rPr>
          <w:rFonts w:ascii="Arial" w:cs="Arial" w:eastAsia="Arial" w:hAnsi="Arial"/>
          <w:sz w:val="18"/>
          <w:szCs w:val="18"/>
          <w:color w:val="auto"/>
        </w:rPr>
        <w:t>General and administrative expenses were $21.4 million for the nine months ended September 30, 2023, compared to $19.2 million for the nine months ended September 30, 2022, an increase of $2.1 million, or 11%. The increase was primarily due to a $3.3 million increase in salaries, related benefits, and stock-based compensation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result of increased headcount, and a $0.2 million increase in marketing costs. These increases were partially offset by a $0.9 million decrease in insurance costs and a $0.9 million decrease in professional services costs.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Other income (expense) for the nine months ended September 30, 2023 as compared to the nine months ended September 30, 2022 increased primarily due to higher interest income from marketable debt securities driven by higher interest rates.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Our net loss was $46.7 million for the nine months ended September 30, 2023. As of September 30, 2023, we had an accumulated deficit of $185.2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September 30, 2023, we had cash, cash equivalents and investments of $275.7 million.</w:t>
      </w:r>
    </w:p>
    <w:p>
      <w:pPr>
        <w:spacing w:after="0" w:line="112"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5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impact of the COVID-19 pandemic; and other items affecting our forecasted level of expenditures and use of cash resources including potential acquisitions.</w:t>
      </w:r>
    </w:p>
    <w:p>
      <w:pPr>
        <w:spacing w:after="0" w:line="116" w:lineRule="exact"/>
        <w:rPr>
          <w:sz w:val="20"/>
          <w:szCs w:val="20"/>
          <w:color w:val="auto"/>
        </w:rPr>
      </w:pPr>
    </w:p>
    <w:p>
      <w:pPr>
        <w:ind w:right="40" w:firstLine="324"/>
        <w:spacing w:after="0" w:line="218" w:lineRule="exact"/>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recent and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5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Nine Months Ended September 30, 2023 and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nine months ended September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194"/>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38,315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nine months ended September 30, 2023, net cash used in operating activities was $37.8 million, primarily resulting from our net loss of</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$46.7 million and decrease in net changes in assets and liabilities aggregating $2.3 million. Net cash used in operating activities was partially offset by non-cash charges aggregating $11.1 million, which primarily included $9.1 million of stock-based compensation, $2.8 million of amortization of operating lease right-of-use assets, and $1.3 million of depreciation. These non-cash charges were partially offset by $2.0 million of net accretion of discounts on securities.</w:t>
      </w:r>
    </w:p>
    <w:p>
      <w:pPr>
        <w:spacing w:after="0" w:line="13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During the nine months ended September 30, 2022, net cash used in operating activities was $35.4 million, primarily resulting from our net loss of $44.5 million and decrease in net changes in assets and liabilities aggregating $0.6 million. The decrease in net changes in assets and liabilities was primarily driven by a $0.9 million decrease in accounts payable, and a $0.9 million decrease in lease liabilities. These decreases were partially offset by a $0.9 million increase in accrued liabilities, and a $0.2 million decrease in prepaid expenses and other assets. Net cash used in operating activities was partially offset by non-cash charges aggregating $9.7 million, which primarily included $7.5 million of stock-based compensation and $1.6 million amortization of operating lease right-of-use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During the nine months ended September 30, 2023, net cash used in investing activities was $2.7 million, primarily resulting from $51.9 million in purchases of securities, and $2.0 million in purchases of property and equipment, partially offset by $51.2 million in proceeds from the maturity of securities.</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During the nine months ended September 30, 2022, net cash provided by investing activities was $38.3 million, primarily resulting from $142.1 million in proceeds from maturities of securities, partially offset by $101.7 million in purchases of securities and $2.1 million in purchases of property and equipment.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nine months ended September 30, 2023, cash provided by financing activities was comprised of $0.1 million of proceeds from exercise of stock options and issuance of common stock under the employee stock purchase plan.</w:t>
      </w:r>
    </w:p>
    <w:p>
      <w:pPr>
        <w:spacing w:after="0" w:line="11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the nine months ended September 30, 2022, net cash provided by financing activities was $0.4 million of proceeds from exercise of stock options and issuance of common stock under the employee stock purchase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a discussion of our contractual obligations and commitments, refer to Part I, Item 1, Note 8, “Commitments and Contingencies,” in our notes to condensed consolidated financial statements in this Quarterly Report on Form 10-Q.</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2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2022 and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market risk exposure is primarily a result of fluctuations in interest rates and inflation. We do not hold or issue financial instruments for trading purposes.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had cash, cash equivalents and investments of $275.7 million as of September 30, 2023.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September 30, 2023, the effect of a hypothetical 1.00% (100 basis point) change in interest rates would have changed the fair value of our marketable debt securities by $1.7 million. Such change would only be realized if we sold the marketable debt securities prior to maturity.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September 30, 2023.</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2023 that has materially affected, or is reasonably likely to materially affect, our internal control over financial reporting.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5" w:name="page36"/>
    <w:bookmarkEnd w:id="3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as more fully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and uncertainties that make investing in our company risky include, among others: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0" w:firstLine="332"/>
        <w:spacing w:after="0" w:line="277" w:lineRule="auto"/>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6" w:lineRule="exact"/>
        <w:rPr>
          <w:rFonts w:ascii="Arial" w:cs="Arial" w:eastAsia="Arial" w:hAnsi="Arial"/>
          <w:sz w:val="18"/>
          <w:szCs w:val="18"/>
          <w:color w:val="auto"/>
        </w:rPr>
      </w:pPr>
    </w:p>
    <w:p>
      <w:pPr>
        <w:ind w:right="240" w:firstLine="332"/>
        <w:spacing w:after="0" w:line="308" w:lineRule="auto"/>
        <w:tabs>
          <w:tab w:leader="none" w:pos="6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171" w:lineRule="exact"/>
        <w:rPr>
          <w:rFonts w:ascii="Arial" w:cs="Arial" w:eastAsia="Arial" w:hAnsi="Arial"/>
          <w:sz w:val="18"/>
          <w:szCs w:val="18"/>
          <w:color w:val="auto"/>
        </w:rPr>
      </w:pPr>
    </w:p>
    <w:p>
      <w:pPr>
        <w:ind w:right="160" w:firstLine="332"/>
        <w:spacing w:after="0" w:line="277" w:lineRule="auto"/>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6" w:lineRule="exact"/>
        <w:rPr>
          <w:rFonts w:ascii="Arial" w:cs="Arial" w:eastAsia="Arial" w:hAnsi="Arial"/>
          <w:sz w:val="18"/>
          <w:szCs w:val="18"/>
          <w:color w:val="auto"/>
        </w:rPr>
      </w:pPr>
    </w:p>
    <w:p>
      <w:pPr>
        <w:ind w:right="860" w:firstLine="332"/>
        <w:spacing w:after="0" w:line="277" w:lineRule="auto"/>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6" w:lineRule="exact"/>
        <w:rPr>
          <w:rFonts w:ascii="Arial" w:cs="Arial" w:eastAsia="Arial" w:hAnsi="Arial"/>
          <w:sz w:val="18"/>
          <w:szCs w:val="18"/>
          <w:color w:val="auto"/>
        </w:rPr>
      </w:pPr>
    </w:p>
    <w:p>
      <w:pPr>
        <w:ind w:right="260" w:firstLine="332"/>
        <w:spacing w:after="0" w:line="277" w:lineRule="auto"/>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480" w:firstLine="332"/>
        <w:spacing w:after="0" w:line="342" w:lineRule="auto"/>
        <w:tabs>
          <w:tab w:leader="none" w:pos="6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144" w:lineRule="exact"/>
        <w:rPr>
          <w:sz w:val="20"/>
          <w:szCs w:val="20"/>
          <w:color w:val="auto"/>
        </w:rPr>
      </w:pPr>
    </w:p>
    <w:p>
      <w:pPr>
        <w:ind w:left="620" w:hanging="32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Litigation</w:t>
      </w:r>
    </w:p>
    <w:p>
      <w:pPr>
        <w:spacing w:after="0" w:line="175" w:lineRule="exact"/>
        <w:rPr>
          <w:sz w:val="20"/>
          <w:szCs w:val="20"/>
          <w:color w:val="auto"/>
        </w:rPr>
      </w:pPr>
    </w:p>
    <w:p>
      <w:pPr>
        <w:ind w:left="-40" w:right="40" w:firstLine="332"/>
        <w:spacing w:after="0" w:line="277" w:lineRule="auto"/>
        <w:tabs>
          <w:tab w:leader="none" w:pos="6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116" w:lineRule="exact"/>
        <w:rPr>
          <w:rFonts w:ascii="Arial" w:cs="Arial" w:eastAsia="Arial" w:hAnsi="Arial"/>
          <w:sz w:val="18"/>
          <w:szCs w:val="18"/>
          <w:color w:val="auto"/>
        </w:rPr>
      </w:pPr>
    </w:p>
    <w:p>
      <w:pPr>
        <w:ind w:left="620" w:hanging="32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71" w:lineRule="exact"/>
        <w:rPr>
          <w:rFonts w:ascii="Arial" w:cs="Arial" w:eastAsia="Arial" w:hAnsi="Arial"/>
          <w:sz w:val="18"/>
          <w:szCs w:val="18"/>
          <w:color w:val="auto"/>
        </w:rPr>
      </w:pPr>
    </w:p>
    <w:p>
      <w:pPr>
        <w:ind w:left="-40" w:firstLine="332"/>
        <w:spacing w:after="0" w:line="277" w:lineRule="auto"/>
        <w:tabs>
          <w:tab w:leader="none" w:pos="6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16" w:lineRule="exact"/>
        <w:rPr>
          <w:rFonts w:ascii="Arial" w:cs="Arial" w:eastAsia="Arial" w:hAnsi="Arial"/>
          <w:sz w:val="18"/>
          <w:szCs w:val="18"/>
          <w:color w:val="auto"/>
        </w:rPr>
      </w:pPr>
    </w:p>
    <w:p>
      <w:pPr>
        <w:ind w:left="-40" w:right="660" w:firstLine="332"/>
        <w:spacing w:after="0" w:line="277" w:lineRule="auto"/>
        <w:tabs>
          <w:tab w:leader="none" w:pos="6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16" w:lineRule="exact"/>
        <w:rPr>
          <w:rFonts w:ascii="Arial" w:cs="Arial" w:eastAsia="Arial" w:hAnsi="Arial"/>
          <w:sz w:val="18"/>
          <w:szCs w:val="18"/>
          <w:color w:val="auto"/>
        </w:rPr>
      </w:pPr>
    </w:p>
    <w:p>
      <w:pPr>
        <w:ind w:left="-40" w:right="240" w:firstLine="332"/>
        <w:spacing w:after="0" w:line="277" w:lineRule="auto"/>
        <w:tabs>
          <w:tab w:leader="none" w:pos="6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16" w:lineRule="exact"/>
        <w:rPr>
          <w:rFonts w:ascii="Arial" w:cs="Arial" w:eastAsia="Arial" w:hAnsi="Arial"/>
          <w:sz w:val="18"/>
          <w:szCs w:val="18"/>
          <w:color w:val="auto"/>
        </w:rPr>
      </w:pPr>
    </w:p>
    <w:p>
      <w:pPr>
        <w:ind w:left="-40" w:right="80" w:firstLine="332"/>
        <w:spacing w:after="0" w:line="277" w:lineRule="auto"/>
        <w:tabs>
          <w:tab w:leader="none" w:pos="6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71" w:lineRule="exact"/>
        <w:rPr>
          <w:rFonts w:ascii="Arial" w:cs="Arial" w:eastAsia="Arial" w:hAnsi="Arial"/>
          <w:sz w:val="18"/>
          <w:szCs w:val="18"/>
          <w:color w:val="auto"/>
        </w:rPr>
      </w:pPr>
    </w:p>
    <w:p>
      <w:pPr>
        <w:ind w:left="-40" w:right="420" w:firstLine="332"/>
        <w:spacing w:after="0" w:line="277" w:lineRule="auto"/>
        <w:tabs>
          <w:tab w:leader="none" w:pos="6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16" w:lineRule="exact"/>
        <w:rPr>
          <w:rFonts w:ascii="Arial" w:cs="Arial" w:eastAsia="Arial" w:hAnsi="Arial"/>
          <w:sz w:val="18"/>
          <w:szCs w:val="18"/>
          <w:color w:val="auto"/>
        </w:rPr>
      </w:pPr>
    </w:p>
    <w:p>
      <w:pPr>
        <w:ind w:left="-40" w:right="380" w:firstLine="332"/>
        <w:spacing w:after="0" w:line="277" w:lineRule="auto"/>
        <w:tabs>
          <w:tab w:leader="none" w:pos="6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global and national events, such as the COVID-19 pandemic, conflicts in Eastern Europe and the Middle East, and general economic downturns.</w:t>
      </w:r>
    </w:p>
    <w:p>
      <w:pPr>
        <w:spacing w:after="0" w:line="116" w:lineRule="exact"/>
        <w:rPr>
          <w:rFonts w:ascii="Arial" w:cs="Arial" w:eastAsia="Arial" w:hAnsi="Arial"/>
          <w:sz w:val="18"/>
          <w:szCs w:val="18"/>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40" w:right="40" w:firstLine="332"/>
        <w:spacing w:after="0" w:line="277" w:lineRule="auto"/>
        <w:tabs>
          <w:tab w:leader="none" w:pos="6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620" w:hanging="32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continue to incur significant increased costs and management resources as a result of operating as a public company.</w:t>
      </w:r>
    </w:p>
    <w:p>
      <w:pPr>
        <w:spacing w:after="0" w:line="171" w:lineRule="exact"/>
        <w:rPr>
          <w:rFonts w:ascii="Arial" w:cs="Arial" w:eastAsia="Arial" w:hAnsi="Arial"/>
          <w:sz w:val="18"/>
          <w:szCs w:val="18"/>
          <w:color w:val="auto"/>
        </w:rPr>
      </w:pPr>
    </w:p>
    <w:p>
      <w:pPr>
        <w:ind w:left="-40" w:right="20" w:firstLine="332"/>
        <w:spacing w:after="0" w:line="277" w:lineRule="auto"/>
        <w:tabs>
          <w:tab w:leader="none" w:pos="6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16" w:lineRule="exact"/>
        <w:rPr>
          <w:rFonts w:ascii="Arial" w:cs="Arial" w:eastAsia="Arial" w:hAnsi="Arial"/>
          <w:sz w:val="18"/>
          <w:szCs w:val="18"/>
          <w:color w:val="auto"/>
        </w:rPr>
      </w:pPr>
    </w:p>
    <w:p>
      <w:pPr>
        <w:ind w:left="-40" w:right="160" w:firstLine="332"/>
        <w:spacing w:after="0" w:line="277" w:lineRule="auto"/>
        <w:tabs>
          <w:tab w:leader="none" w:pos="6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7" w:name="page38"/>
    <w:bookmarkEnd w:id="37"/>
    <w:p>
      <w:pPr>
        <w:spacing w:after="0" w:line="14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$15.9 million and $46.7 million during the three and nine months ended September 30, 2023 and $14.1 million and $44.5 million during the three and nine months ended September 30, 2022, respectively. As of September 30, 2023, we had an accumulated deficit of $185.2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continue to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1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3"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anticipate commercializing our Nautilus platform in three phases involving first collaboration with biopharmaceutical companies and key opinion leaders to validate the performance and utility of our product,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early access engagements and associated revenue in 2024. We expect this second phase to lead into the third phase of broad commercialization and launch of our proteome analysis platform in 2024.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1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3"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23" w:lineRule="exact"/>
        <w:rPr>
          <w:rFonts w:ascii="Arial" w:cs="Arial" w:eastAsia="Arial" w:hAnsi="Arial"/>
          <w:sz w:val="18"/>
          <w:szCs w:val="18"/>
          <w:color w:val="auto"/>
        </w:rPr>
      </w:pPr>
    </w:p>
    <w:p>
      <w:pPr>
        <w:ind w:right="320"/>
        <w:spacing w:after="0" w:line="260" w:lineRule="auto"/>
        <w:rPr>
          <w:rFonts w:ascii="Arial" w:cs="Arial" w:eastAsia="Arial" w:hAnsi="Arial"/>
          <w:sz w:val="18"/>
          <w:szCs w:val="18"/>
          <w:color w:val="auto"/>
        </w:rPr>
      </w:pPr>
      <w:r>
        <w:rPr>
          <w:rFonts w:ascii="Arial" w:cs="Arial" w:eastAsia="Arial" w:hAnsi="Arial"/>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1" w:lineRule="exact"/>
        <w:rPr>
          <w:rFonts w:ascii="Arial" w:cs="Arial" w:eastAsia="Arial" w:hAnsi="Arial"/>
          <w:sz w:val="18"/>
          <w:szCs w:val="18"/>
          <w:color w:val="auto"/>
        </w:rPr>
      </w:pPr>
    </w:p>
    <w:p>
      <w:pPr>
        <w:ind w:right="4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right="4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6" w:lineRule="exact"/>
        <w:rPr>
          <w:rFonts w:ascii="Arial" w:cs="Arial" w:eastAsia="Arial" w:hAnsi="Arial"/>
          <w:sz w:val="18"/>
          <w:szCs w:val="18"/>
          <w:color w:val="auto"/>
        </w:rPr>
      </w:pPr>
    </w:p>
    <w:p>
      <w:pPr>
        <w:ind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rFonts w:ascii="Arial" w:cs="Arial" w:eastAsia="Arial" w:hAnsi="Arial"/>
          <w:sz w:val="18"/>
          <w:szCs w:val="18"/>
          <w:color w:val="auto"/>
        </w:rPr>
      </w:pPr>
    </w:p>
    <w:p>
      <w:pPr>
        <w:ind w:firstLine="332"/>
        <w:spacing w:after="0" w:line="263"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color w:val="auto"/>
        </w:rPr>
      </w:pPr>
    </w:p>
    <w:p>
      <w:pPr>
        <w:ind w:right="52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right="8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6" w:lineRule="exact"/>
        <w:rPr>
          <w:rFonts w:ascii="Arial" w:cs="Arial" w:eastAsia="Arial" w:hAnsi="Arial"/>
          <w:sz w:val="18"/>
          <w:szCs w:val="18"/>
          <w:color w:val="auto"/>
        </w:rPr>
      </w:pPr>
    </w:p>
    <w:p>
      <w:pPr>
        <w:ind w:right="32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206"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0" w:name="page41"/>
    <w:bookmarkEnd w:id="40"/>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requirements for product performance and accuracy. If widespread adoption of our Nautilus platform takes longer than anticipated or does not occur, our business will be materially and adversely affected.</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71" w:lineRule="exact"/>
        <w:rPr>
          <w:rFonts w:ascii="Arial" w:cs="Arial" w:eastAsia="Arial" w:hAnsi="Arial"/>
          <w:sz w:val="18"/>
          <w:szCs w:val="18"/>
          <w:color w:val="auto"/>
        </w:rPr>
      </w:pPr>
    </w:p>
    <w:p>
      <w:pPr>
        <w:ind w:right="220" w:firstLine="332"/>
        <w:spacing w:after="0" w:line="277"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firstLine="332"/>
        <w:spacing w:after="0" w:line="277"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 instruments and consumables;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0" w:lineRule="exact"/>
        <w:rPr>
          <w:sz w:val="20"/>
          <w:szCs w:val="20"/>
          <w:color w:val="auto"/>
        </w:rPr>
      </w:pPr>
    </w:p>
    <w:p>
      <w:pPr>
        <w:ind w:right="140" w:firstLine="324"/>
        <w:spacing w:after="0" w:line="285" w:lineRule="auto"/>
        <w:rPr>
          <w:sz w:val="20"/>
          <w:szCs w:val="20"/>
          <w:color w:val="auto"/>
        </w:rPr>
      </w:pPr>
      <w:r>
        <w:rPr>
          <w:rFonts w:ascii="Arial" w:cs="Arial" w:eastAsia="Arial" w:hAnsi="Arial"/>
          <w:sz w:val="16"/>
          <w:szCs w:val="16"/>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2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71" w:lineRule="exact"/>
        <w:rPr>
          <w:sz w:val="20"/>
          <w:szCs w:val="20"/>
          <w:color w:val="auto"/>
        </w:rPr>
      </w:pPr>
    </w:p>
    <w:p>
      <w:pPr>
        <w:ind w:right="40" w:firstLine="332"/>
        <w:spacing w:after="0" w:line="263"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third-party partners, are not successful, our Nautilus platform may not gain market acceptance, which could materially impact our business and results of operations.</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also rely, and expect to continue to rely, on third-party manufacturers and, in many cases, single third-party manufacturers for the production of certain reagents and antibodies needed to generate the deep proteomic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1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1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ind w:right="740" w:firstLine="324"/>
        <w:spacing w:after="0" w:line="381" w:lineRule="auto"/>
        <w:rPr>
          <w:sz w:val="20"/>
          <w:szCs w:val="20"/>
          <w:color w:val="auto"/>
        </w:rPr>
      </w:pPr>
      <w:r>
        <w:rPr>
          <w:rFonts w:ascii="Arial" w:cs="Arial" w:eastAsia="Arial" w:hAnsi="Arial"/>
          <w:sz w:val="15"/>
          <w:szCs w:val="15"/>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2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3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1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71" w:lineRule="exact"/>
        <w:rPr>
          <w:rFonts w:ascii="Arial" w:cs="Arial" w:eastAsia="Arial" w:hAnsi="Arial"/>
          <w:sz w:val="18"/>
          <w:szCs w:val="18"/>
          <w:color w:val="auto"/>
        </w:rPr>
      </w:pPr>
    </w:p>
    <w:p>
      <w:pPr>
        <w:ind w:right="340" w:firstLine="332"/>
        <w:spacing w:after="0" w:line="277" w:lineRule="auto"/>
        <w:tabs>
          <w:tab w:leader="none" w:pos="6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economic conditions, including recessionary effects, inflationary pressures and instability in the global financial markets, including with respect to any future financial institution failures;</w:t>
      </w:r>
    </w:p>
    <w:p>
      <w:pPr>
        <w:spacing w:after="0" w:line="116" w:lineRule="exact"/>
        <w:rPr>
          <w:rFonts w:ascii="Arial" w:cs="Arial" w:eastAsia="Arial" w:hAnsi="Arial"/>
          <w:sz w:val="18"/>
          <w:szCs w:val="18"/>
          <w:color w:val="auto"/>
        </w:rPr>
      </w:pPr>
    </w:p>
    <w:p>
      <w:pPr>
        <w:ind w:right="120" w:firstLine="332"/>
        <w:spacing w:after="0" w:line="277" w:lineRule="auto"/>
        <w:tabs>
          <w:tab w:leader="none" w:pos="6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our Nautilus platform;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6" w:lineRule="exact"/>
        <w:rPr>
          <w:sz w:val="20"/>
          <w:szCs w:val="20"/>
          <w:color w:val="auto"/>
        </w:rPr>
      </w:pPr>
    </w:p>
    <w:p>
      <w:pPr>
        <w:ind w:right="160" w:firstLine="332"/>
        <w:spacing w:after="0" w:line="277" w:lineRule="auto"/>
        <w:tabs>
          <w:tab w:leader="none" w:pos="6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71" w:lineRule="exact"/>
        <w:rPr>
          <w:rFonts w:ascii="Arial" w:cs="Arial" w:eastAsia="Arial" w:hAnsi="Arial"/>
          <w:sz w:val="18"/>
          <w:szCs w:val="18"/>
          <w:color w:val="auto"/>
        </w:rPr>
      </w:pPr>
    </w:p>
    <w:p>
      <w:pPr>
        <w:ind w:right="340" w:firstLine="332"/>
        <w:spacing w:after="0" w:line="277" w:lineRule="auto"/>
        <w:tabs>
          <w:tab w:leader="none" w:pos="6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jc w:val="both"/>
        <w:ind w:right="220" w:firstLine="332"/>
        <w:spacing w:after="0" w:line="263" w:lineRule="auto"/>
        <w:tabs>
          <w:tab w:leader="none" w:pos="6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the COVID-19 pandemic, the conflicts in Eastern Europe and the Middle East, recent and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9" w:lineRule="exact"/>
        <w:rPr>
          <w:rFonts w:ascii="Arial" w:cs="Arial" w:eastAsia="Arial" w:hAnsi="Arial"/>
          <w:sz w:val="18"/>
          <w:szCs w:val="18"/>
          <w:color w:val="auto"/>
        </w:rPr>
      </w:pPr>
    </w:p>
    <w:p>
      <w:pPr>
        <w:ind w:right="380" w:firstLine="332"/>
        <w:spacing w:after="0" w:line="277" w:lineRule="auto"/>
        <w:tabs>
          <w:tab w:leader="none" w:pos="6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1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w:t>
      </w:r>
    </w:p>
    <w:p>
      <w:pPr>
        <w:spacing w:after="0" w:line="2"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0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expect that we will need to raise additional capital in the future to expand our business, to pursue strategic investments, to take advantage of financing or acquisition opportunities or for other reasons,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increasing our sales and marketing and other commercialization efforts to drive market adoption of our Nautilus platform, once commercialized;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firstLine="324"/>
        <w:spacing w:after="0" w:line="219" w:lineRule="exact"/>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8"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past and may in the future lead to market-wide liquidity problems. For example, the collapse of Silicon Valley Bank and other financial institutions in March 2023 has caused and could continue to cause instability in the global financial markets.</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future licensing arrangements with third parties, these patents and applications may not be prosecuted and enforced by such third parties in a manner consistent with the best interests of our business.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14"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10"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9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4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2" w:lineRule="exact"/>
        <w:rPr>
          <w:sz w:val="20"/>
          <w:szCs w:val="20"/>
          <w:color w:val="auto"/>
        </w:rPr>
      </w:pPr>
    </w:p>
    <w:p>
      <w:pPr>
        <w:ind w:right="920" w:firstLine="324"/>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46"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right="200" w:firstLine="332"/>
        <w:spacing w:after="0" w:line="277" w:lineRule="auto"/>
        <w:tabs>
          <w:tab w:leader="none" w:pos="6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right="180" w:firstLine="332"/>
        <w:spacing w:after="0" w:line="277"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left="340" w:right="720"/>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Litigation</w:t>
      </w:r>
    </w:p>
    <w:p>
      <w:pPr>
        <w:spacing w:after="0" w:line="1" w:lineRule="exact"/>
        <w:rPr>
          <w:sz w:val="20"/>
          <w:szCs w:val="20"/>
          <w:color w:val="auto"/>
        </w:rPr>
      </w:pPr>
    </w:p>
    <w:p>
      <w:pPr>
        <w:ind w:right="20" w:firstLine="324"/>
        <w:spacing w:after="0" w:line="34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7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07"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340" w:right="40" w:hanging="8"/>
        <w:spacing w:after="0" w:line="493" w:lineRule="auto"/>
        <w:tabs>
          <w:tab w:leader="none" w:pos="659"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34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7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3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9" w:name="page60"/>
    <w:bookmarkEnd w:id="59"/>
    <w:p>
      <w:pPr>
        <w:spacing w:after="0" w:line="14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which are scheduled to go into effect by July 2024. In July 2023, MHRA updated its guidance to reflect that the government now aims to delay implementation of the core aspects of the regulations to July 2025.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100" w:firstLine="324"/>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The FDA has historically exercised enforcement discretion in not enforcing the medical device regulations against laboratories offering LDTs. FDA recently issued a proposed rule that, if finalized, will amend FDA’s regulations to make explicit that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diagnostis (“IVDs”) are devices under the Federal Food, Drug, and Cosmetic Act, including when the manufacturer of the IVD is a laboratory and will phase out its enforcement discretion for LDTs. It is unclear how this proposed rule, if finalized, as well as future legislation by the government will impact the industry, including our business and that of our customers. Any restrictions on LDTs by the FDA, Congress, or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12"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2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17" w:lineRule="exact"/>
        <w:rPr>
          <w:sz w:val="20"/>
          <w:szCs w:val="20"/>
          <w:color w:val="auto"/>
        </w:rPr>
      </w:pPr>
    </w:p>
    <w:p>
      <w:pPr>
        <w:ind w:right="500" w:firstLine="324"/>
        <w:spacing w:after="0" w:line="257"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4" w:lineRule="exact"/>
        <w:rPr>
          <w:sz w:val="20"/>
          <w:szCs w:val="20"/>
          <w:color w:val="auto"/>
        </w:rPr>
      </w:pPr>
    </w:p>
    <w:p>
      <w:pPr>
        <w:ind w:right="60" w:firstLine="324"/>
        <w:spacing w:after="0" w:line="267"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Most substantive provisions in CPRA are effective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Utah, Connecticut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92"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right="440" w:firstLine="332"/>
        <w:spacing w:after="0" w:line="277" w:lineRule="auto"/>
        <w:tabs>
          <w:tab w:leader="none" w:pos="6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foreign currency exchange, longer payment cycles and difficulties in enforcing agreements and collecting receivables through certain foreign legal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systems;</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right="20" w:firstLine="332"/>
        <w:spacing w:after="0" w:line="286" w:lineRule="auto"/>
        <w:tabs>
          <w:tab w:leader="none" w:pos="6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right="340" w:firstLine="332"/>
        <w:spacing w:after="0" w:line="277" w:lineRule="auto"/>
        <w:tabs>
          <w:tab w:leader="none" w:pos="6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compliance with diverse and complex local employment laws and practices;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33"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1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3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responsible. Further, as we increase our international sales and business, our risks under these laws may increase and expanded programs to maintain compliance with such laws may be costly and may not be effective.</w:t>
      </w:r>
    </w:p>
    <w:p>
      <w:pPr>
        <w:spacing w:after="0" w:line="11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1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2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116" w:lineRule="exact"/>
        <w:rPr>
          <w:sz w:val="20"/>
          <w:szCs w:val="20"/>
          <w:color w:val="auto"/>
        </w:rPr>
      </w:pPr>
    </w:p>
    <w:p>
      <w:pPr>
        <w:ind w:right="200" w:firstLine="324"/>
        <w:spacing w:after="0" w:line="285"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ransomware or other malicious software, or other disruptive events, including, but not limited to, natural disasters and catastrophes. 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2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2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2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7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September 30, 2023, we had 160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11"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1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This competition has become exacerbated by the increase in employee resignations in 2022 reported by employers nationwide and continued high rates of employee turnover in 2023.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2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3"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b w:val="1"/>
          <w:bCs w:val="1"/>
          <w:i w:val="1"/>
          <w:iCs w:val="1"/>
          <w:color w:val="auto"/>
        </w:rPr>
        <w:t>Unfavorable U.S. or global economic conditions as a result of multiple global events, including the COVID-19 pandemic, the conflicts in Eastern Europe and the Middle East, increasing interest rates, instability in the global financial markets, and general economic downturns, could adversely affect our ability to raise capital and our business, results of operations and financial condition.</w:t>
      </w:r>
    </w:p>
    <w:p>
      <w:pPr>
        <w:spacing w:after="0" w:line="11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While the potential economic impact brought by multiple adverse global circumstances, such as the COVID-19 pandemic, conflicts in Eastern Europe and the Middle East, potential uncertainty related to Taiwan and its relationship with China, increasing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w:t>
      </w:r>
    </w:p>
    <w:p>
      <w:pPr>
        <w:spacing w:after="0" w:line="11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September 30, 2023, we had cash, cash equivalents and investments of $275.7 million, consisting of U.S. treasury securities, mutual funds, commercial paper, corporate debt securities, and agency securities. Any default by the U.S. government or credit downgrade of the securities we hold could impact the liquidity or valuation of our investments.</w:t>
      </w:r>
    </w:p>
    <w:p>
      <w:pPr>
        <w:spacing w:after="0" w:line="107"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r>
        <w:rPr>
          <w:rFonts w:ascii="Arial" w:cs="Arial" w:eastAsia="Arial" w:hAnsi="Arial"/>
          <w:sz w:val="18"/>
          <w:szCs w:val="18"/>
          <w:b w:val="1"/>
          <w:bCs w:val="1"/>
          <w:color w:val="auto"/>
        </w:rPr>
        <w:t>.</w:t>
      </w:r>
    </w:p>
    <w:p>
      <w:pPr>
        <w:spacing w:after="0" w:line="17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may be subject to supply chain interruptions. Current or future supply chain interruptions that could be exacerbated by global political tensions, such as the situation in Eastern Europe, increased conflict in the Middle East, and uncertainty related to Taiwan and its relationship with China, could negatively impact our ability to further develop our products or to manufacture and deliver our products or services, which could negatively impact our timelines and business results. For example, as discussed in the risk factor above entitled “</w:t>
      </w:r>
      <w:r>
        <w:rPr>
          <w:rFonts w:ascii="Arial" w:cs="Arial" w:eastAsia="Arial" w:hAnsi="Arial"/>
          <w:sz w:val="16"/>
          <w:szCs w:val="16"/>
          <w:i w:val="1"/>
          <w:iCs w:val="1"/>
          <w:color w:val="auto"/>
        </w:rPr>
        <w:t>The COVID-19 pandemic and efforts to reduce its spread have</w:t>
      </w:r>
      <w:r>
        <w:rPr>
          <w:rFonts w:ascii="Arial" w:cs="Arial" w:eastAsia="Arial" w:hAnsi="Arial"/>
          <w:sz w:val="16"/>
          <w:szCs w:val="16"/>
          <w:color w:val="auto"/>
        </w:rPr>
        <w:t xml:space="preserve"> </w:t>
      </w:r>
      <w:r>
        <w:rPr>
          <w:rFonts w:ascii="Arial" w:cs="Arial" w:eastAsia="Arial" w:hAnsi="Arial"/>
          <w:sz w:val="16"/>
          <w:szCs w:val="16"/>
          <w:i w:val="1"/>
          <w:iCs w:val="1"/>
          <w:color w:val="auto"/>
        </w:rPr>
        <w:t>adversely impacted and are expected to continue to materially and adversely impact, our business and operations</w:t>
      </w:r>
      <w:r>
        <w:rPr>
          <w:rFonts w:ascii="Arial" w:cs="Arial" w:eastAsia="Arial" w:hAnsi="Arial"/>
          <w:sz w:val="16"/>
          <w:szCs w:val="16"/>
          <w:color w:val="auto"/>
        </w:rPr>
        <w:t>,” we have experienced some supply</w:t>
      </w:r>
      <w:r>
        <w:rPr>
          <w:rFonts w:ascii="Arial" w:cs="Arial" w:eastAsia="Arial" w:hAnsi="Arial"/>
          <w:sz w:val="16"/>
          <w:szCs w:val="16"/>
          <w:i w:val="1"/>
          <w:iCs w:val="1"/>
          <w:color w:val="auto"/>
        </w:rPr>
        <w:t xml:space="preserve"> </w:t>
      </w:r>
      <w:r>
        <w:rPr>
          <w:rFonts w:ascii="Arial" w:cs="Arial" w:eastAsia="Arial" w:hAnsi="Arial"/>
          <w:sz w:val="16"/>
          <w:szCs w:val="16"/>
          <w:color w:val="auto"/>
        </w:rPr>
        <w:t>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1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1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Our facilities in Seattle, San Carlos and San Diego are vulnerable to natural disasters, public health crises, including the impact of the COVID-19 pandemic,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38"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which could result in substantial losses for investors.</w:t>
      </w:r>
    </w:p>
    <w:p>
      <w:pPr>
        <w:spacing w:after="0" w:line="19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71" w:lineRule="exact"/>
        <w:rPr>
          <w:sz w:val="20"/>
          <w:szCs w:val="20"/>
          <w:color w:val="auto"/>
        </w:rPr>
      </w:pPr>
    </w:p>
    <w:p>
      <w:pPr>
        <w:ind w:right="80" w:firstLine="332"/>
        <w:spacing w:after="0" w:line="277" w:lineRule="auto"/>
        <w:tabs>
          <w:tab w:leader="none" w:pos="6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right="320" w:firstLine="332"/>
        <w:spacing w:after="0" w:line="277"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right="40" w:firstLine="332"/>
        <w:spacing w:after="0" w:line="263"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right="180" w:firstLine="332"/>
        <w:spacing w:after="0" w:line="277" w:lineRule="auto"/>
        <w:tabs>
          <w:tab w:leader="none" w:pos="6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September 30, 2023, our directors, executive officers, holders of more than 5% of our outstanding shares of Common Stock and their respective affiliates beneficially owned, collectively, approximately 69.0%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3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92"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3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4" w:lineRule="exact"/>
        <w:rPr>
          <w:sz w:val="20"/>
          <w:szCs w:val="20"/>
          <w:color w:val="auto"/>
        </w:rPr>
      </w:pPr>
    </w:p>
    <w:p>
      <w:pPr>
        <w:ind w:right="240" w:firstLine="332"/>
        <w:spacing w:after="0" w:line="308" w:lineRule="auto"/>
        <w:tabs>
          <w:tab w:leader="none" w:pos="643"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92" w:lineRule="exact"/>
        <w:rPr>
          <w:rFonts w:ascii="Arial" w:cs="Arial" w:eastAsia="Arial" w:hAnsi="Arial"/>
          <w:sz w:val="17"/>
          <w:szCs w:val="17"/>
          <w:color w:val="auto"/>
        </w:rPr>
      </w:pPr>
    </w:p>
    <w:p>
      <w:pPr>
        <w:ind w:right="360" w:firstLine="332"/>
        <w:spacing w:after="0" w:line="277"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right="280" w:firstLine="332"/>
        <w:spacing w:after="0" w:line="277"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71" w:lineRule="exact"/>
        <w:rPr>
          <w:rFonts w:ascii="Arial" w:cs="Arial" w:eastAsia="Arial" w:hAnsi="Arial"/>
          <w:sz w:val="18"/>
          <w:szCs w:val="18"/>
          <w:color w:val="auto"/>
        </w:rPr>
      </w:pPr>
    </w:p>
    <w:p>
      <w:pPr>
        <w:ind w:right="320" w:firstLine="332"/>
        <w:spacing w:after="0" w:line="277"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will continue to incur significant increased costs and management resources as a result of operating as a public company.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34"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27" w:lineRule="exact"/>
        <w:rPr>
          <w:sz w:val="20"/>
          <w:szCs w:val="20"/>
          <w:color w:val="auto"/>
        </w:rPr>
      </w:pPr>
    </w:p>
    <w:p>
      <w:pPr>
        <w:ind w:left="340" w:right="60"/>
        <w:spacing w:after="0" w:line="423" w:lineRule="auto"/>
        <w:rPr>
          <w:sz w:val="20"/>
          <w:szCs w:val="20"/>
          <w:color w:val="auto"/>
        </w:rPr>
      </w:pPr>
      <w:r>
        <w:rPr>
          <w:rFonts w:ascii="Arial" w:cs="Arial" w:eastAsia="Arial" w:hAnsi="Arial"/>
          <w:sz w:val="15"/>
          <w:szCs w:val="15"/>
          <w:b w:val="1"/>
          <w:bCs w:val="1"/>
          <w:i w:val="1"/>
          <w:iCs w:val="1"/>
          <w:color w:val="auto"/>
        </w:rPr>
        <w:t xml:space="preserve">We have broad discretion in the use of the net proceeds from the Business Combination and the PIPE Financing and may not use them effectively. </w:t>
      </w:r>
      <w:r>
        <w:rPr>
          <w:rFonts w:ascii="Arial" w:cs="Arial" w:eastAsia="Arial" w:hAnsi="Arial"/>
          <w:sz w:val="15"/>
          <w:szCs w:val="15"/>
          <w:color w:val="auto"/>
        </w:rPr>
        <w:t>We cannot specify with certainty the particular uses of the net proceeds we received from the Business Combination and the PIPE Financing. Our</w:t>
      </w:r>
    </w:p>
    <w:p>
      <w:pPr>
        <w:ind w:right="100"/>
        <w:spacing w:after="0" w:line="277" w:lineRule="auto"/>
        <w:rPr>
          <w:sz w:val="20"/>
          <w:szCs w:val="20"/>
          <w:color w:val="auto"/>
        </w:rPr>
      </w:pPr>
      <w:r>
        <w:rPr>
          <w:rFonts w:ascii="Arial" w:cs="Arial" w:eastAsia="Arial" w:hAnsi="Arial"/>
          <w:sz w:val="17"/>
          <w:szCs w:val="17"/>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Business Combination and the PIPE Financing in a manner that does not produce income or that loses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of December 31, 2022, we had U.S. federal and state net operating loss carryforwards, or NOLs, of $0.5 million for federal purposes and $21.1 million for state purposes, which if not utilized will expire in 2037. Federal NOLs of $51.5 million that arose after the 2017 tax year will carry forward indefinitely and will be subject to the 80% of taxable income limitation.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Changes in tax laws could have a material adverse effect on our future business, cash flows, results of operations or financial condition.</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excise tax on certain stock buybacks effective January 1, 2023. Further, on January 1, 2022, a provision of the Tax Cuts and Jobs Act of 2017 went into effect that eliminates the option to deduct domestic research and development costs in the year incurred and instead requires taxpayers to amortize such costs over five years. Such changes, among others, may adversely affect our future effective tax rate, business, cash flows, results of operations and financial condition.</w:t>
      </w:r>
    </w:p>
    <w:p>
      <w:pPr>
        <w:spacing w:after="0" w:line="11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improvement. Ineffective internal controls could also cause investors to lose confidence in our reported financial information, which could have a negative effect on the trading price of our Common Stock.</w:t>
      </w:r>
    </w:p>
    <w:p>
      <w:pPr>
        <w:spacing w:after="0" w:line="11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1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18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2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8" w:name="page79"/>
    <w:bookmarkEnd w:id="7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Exhibit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700" w:type="dxa"/>
            <w:vAlign w:val="bottom"/>
            <w:gridSpan w:val="16"/>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70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 w:type="dxa"/>
            <w:vAlign w:val="bottom"/>
            <w:gridSpan w:val="2"/>
          </w:tcPr>
          <w:p>
            <w:pPr>
              <w:ind w:left="20"/>
              <w:spacing w:after="0" w:line="175" w:lineRule="exact"/>
              <w:rPr>
                <w:rFonts w:ascii="Arial" w:cs="Arial" w:eastAsia="Arial" w:hAnsi="Arial"/>
                <w:sz w:val="16"/>
                <w:szCs w:val="16"/>
                <w:color w:val="0000FF"/>
                <w:w w:val="80"/>
              </w:rPr>
            </w:pPr>
            <w:hyperlink r:id="rId114">
              <w:r>
                <w:rPr>
                  <w:rFonts w:ascii="Arial" w:cs="Arial" w:eastAsia="Arial" w:hAnsi="Arial"/>
                  <w:sz w:val="16"/>
                  <w:szCs w:val="16"/>
                  <w:color w:val="0000FF"/>
                  <w:w w:val="80"/>
                </w:rPr>
                <w:t>3.</w:t>
              </w:r>
              <w:r>
                <w:rPr>
                  <w:rFonts w:ascii="Arial" w:cs="Arial" w:eastAsia="Arial" w:hAnsi="Arial"/>
                  <w:sz w:val="16"/>
                  <w:szCs w:val="16"/>
                  <w:u w:val="single" w:color="auto"/>
                  <w:color w:val="0000FF"/>
                  <w:w w:val="80"/>
                </w:rPr>
                <w:t>1</w:t>
              </w:r>
            </w:hyperlink>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60" w:type="dxa"/>
            <w:vAlign w:val="bottom"/>
            <w:gridSpan w:val="25"/>
          </w:tcPr>
          <w:p>
            <w:pPr>
              <w:spacing w:after="0" w:line="176"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Certificate of Incorporation of Nautilus Biotechnology, Inc. (incorporated by reference to Exhibit 3.1 to the Company’s Current Report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Form 8-K filed with the SEC on June 10, 2021)</w:t>
              </w:r>
            </w:hyperlink>
          </w:p>
        </w:tc>
        <w:tc>
          <w:tcPr>
            <w:tcW w:w="65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20" w:type="dxa"/>
            <w:vAlign w:val="bottom"/>
            <w:gridSpan w:val="2"/>
          </w:tcPr>
          <w:p>
            <w:pPr>
              <w:ind w:left="20"/>
              <w:spacing w:after="0"/>
              <w:rPr>
                <w:rFonts w:ascii="Arial" w:cs="Arial" w:eastAsia="Arial" w:hAnsi="Arial"/>
                <w:sz w:val="16"/>
                <w:szCs w:val="16"/>
                <w:color w:val="0000FF"/>
                <w:w w:val="80"/>
              </w:rPr>
            </w:pPr>
            <w:hyperlink r:id="rId115">
              <w:r>
                <w:rPr>
                  <w:rFonts w:ascii="Arial" w:cs="Arial" w:eastAsia="Arial" w:hAnsi="Arial"/>
                  <w:sz w:val="16"/>
                  <w:szCs w:val="16"/>
                  <w:color w:val="0000FF"/>
                  <w:w w:val="80"/>
                </w:rPr>
                <w:t>3.</w:t>
              </w:r>
              <w:r>
                <w:rPr>
                  <w:rFonts w:ascii="Arial" w:cs="Arial" w:eastAsia="Arial" w:hAnsi="Arial"/>
                  <w:sz w:val="16"/>
                  <w:szCs w:val="16"/>
                  <w:u w:val="single" w:color="auto"/>
                  <w:color w:val="0000FF"/>
                  <w:w w:val="80"/>
                </w:rPr>
                <w:t>2</w:t>
              </w:r>
            </w:hyperlink>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60" w:type="dxa"/>
            <w:vAlign w:val="bottom"/>
            <w:gridSpan w:val="25"/>
          </w:tcPr>
          <w:p>
            <w:pPr>
              <w:spacing w:after="0" w:line="196"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Amended and Restated Bylaws of Nautilus Biotechnology, Inc. (incorporated by reference to Exhibit 3.2 to the Company’s Quarterly</w:t>
              </w:r>
            </w:hyperlink>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580" w:type="dxa"/>
            <w:vAlign w:val="bottom"/>
            <w:tcBorders>
              <w:top w:val="single" w:sz="8" w:color="0000FF"/>
            </w:tcBorders>
            <w:gridSpan w:val="11"/>
          </w:tcPr>
          <w:p>
            <w:pPr>
              <w:spacing w:after="0" w:line="162" w:lineRule="exact"/>
              <w:rPr>
                <w:rFonts w:ascii="Arial" w:cs="Arial" w:eastAsia="Arial" w:hAnsi="Arial"/>
                <w:sz w:val="18"/>
                <w:szCs w:val="18"/>
                <w:color w:val="0000FF"/>
              </w:rPr>
            </w:pPr>
            <w:hyperlink r:id="rId115">
              <w:r>
                <w:rPr>
                  <w:rFonts w:ascii="Arial" w:cs="Arial" w:eastAsia="Arial" w:hAnsi="Arial"/>
                  <w:sz w:val="18"/>
                  <w:szCs w:val="18"/>
                  <w:color w:val="0000FF"/>
                </w:rPr>
                <w:t>Report on Form 10-Q filed with the SEC on August 2, 2023)</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gridSpan w:val="4"/>
          </w:tcPr>
          <w:p>
            <w:pPr>
              <w:ind w:left="20"/>
              <w:spacing w:after="0"/>
              <w:rPr>
                <w:rFonts w:ascii="Arial" w:cs="Arial" w:eastAsia="Arial" w:hAnsi="Arial"/>
                <w:sz w:val="18"/>
                <w:szCs w:val="18"/>
                <w:color w:val="0000FF"/>
              </w:rPr>
            </w:pPr>
            <w:hyperlink r:id="rId116">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4"/>
                  <w:szCs w:val="14"/>
                  <w:color w:val="0000FF"/>
                </w:rPr>
                <w:t>+</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25"/>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Amended and Restated Confirmatory Employment Letter between Nautilus Biotechnology, Inc. and Sujal Patel, dated as of July 31, 2023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4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(incorporated by reference to Exhibit 10.1 to the Company’s Quarterly Report on Form 10-Q filed with the SEC on August 2,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gridSpan w:val="3"/>
          </w:tcPr>
          <w:p>
            <w:pPr>
              <w:spacing w:after="0"/>
              <w:rPr>
                <w:rFonts w:ascii="Arial" w:cs="Arial" w:eastAsia="Arial" w:hAnsi="Arial"/>
                <w:sz w:val="18"/>
                <w:szCs w:val="18"/>
                <w:color w:val="0000FF"/>
              </w:rPr>
            </w:pPr>
            <w:hyperlink r:id="rId117">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4"/>
                  <w:szCs w:val="14"/>
                  <w:color w:val="0000FF"/>
                </w:rPr>
                <w:t>+</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25"/>
          </w:tcPr>
          <w:p>
            <w:pPr>
              <w:spacing w:after="0"/>
              <w:rPr>
                <w:rFonts w:ascii="Arial" w:cs="Arial" w:eastAsia="Arial" w:hAnsi="Arial"/>
                <w:sz w:val="18"/>
                <w:szCs w:val="18"/>
                <w:color w:val="0000FF"/>
                <w:w w:val="94"/>
              </w:rPr>
            </w:pPr>
            <w:hyperlink r:id="rId117">
              <w:r>
                <w:rPr>
                  <w:rFonts w:ascii="Arial" w:cs="Arial" w:eastAsia="Arial" w:hAnsi="Arial"/>
                  <w:sz w:val="18"/>
                  <w:szCs w:val="18"/>
                  <w:color w:val="0000FF"/>
                  <w:w w:val="94"/>
                </w:rPr>
                <w:t>Amended and Restated Confirmatory Employment Letter between Nautilus Biotechnology, Inc. and Parag Mallick, dated as of July 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tcBorders>
              <w:bottom w:val="single" w:sz="8" w:color="0000FF"/>
            </w:tcBorders>
            <w:gridSpan w:val="17"/>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2023 (incorporated by reference to Exhibit 10.2 to the Company’s Quarterly Report on Form 10-Q filed with the SEC on August 2, 2023)</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gridSpan w:val="2"/>
          </w:tcPr>
          <w:p>
            <w:pPr>
              <w:spacing w:after="0"/>
              <w:rPr>
                <w:rFonts w:ascii="Arial" w:cs="Arial" w:eastAsia="Arial" w:hAnsi="Arial"/>
                <w:sz w:val="16"/>
                <w:szCs w:val="16"/>
                <w:color w:val="0000FF"/>
                <w:w w:val="86"/>
              </w:rPr>
            </w:pPr>
            <w:hyperlink r:id="rId118">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3</w:t>
              </w:r>
              <w:r>
                <w:rPr>
                  <w:rFonts w:ascii="Arial" w:cs="Arial" w:eastAsia="Arial" w:hAnsi="Arial"/>
                  <w:sz w:val="14"/>
                  <w:szCs w:val="14"/>
                  <w:color w:val="0000FF"/>
                  <w:w w:val="86"/>
                </w:rPr>
                <w:t>+</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25"/>
          </w:tcPr>
          <w:p>
            <w:pPr>
              <w:spacing w:after="0"/>
              <w:rPr>
                <w:rFonts w:ascii="Arial" w:cs="Arial" w:eastAsia="Arial" w:hAnsi="Arial"/>
                <w:sz w:val="18"/>
                <w:szCs w:val="18"/>
                <w:color w:val="0000FF"/>
                <w:w w:val="94"/>
              </w:rPr>
            </w:pPr>
            <w:hyperlink r:id="rId118">
              <w:r>
                <w:rPr>
                  <w:rFonts w:ascii="Arial" w:cs="Arial" w:eastAsia="Arial" w:hAnsi="Arial"/>
                  <w:sz w:val="18"/>
                  <w:szCs w:val="18"/>
                  <w:color w:val="0000FF"/>
                  <w:w w:val="94"/>
                </w:rPr>
                <w:t>Amended and Restated Confirmatory Employment Letter between Nautilus Biotechnology, Inc. and Anna Mowry, dated as of July 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tcBorders>
              <w:bottom w:val="single" w:sz="8" w:color="0000FF"/>
            </w:tcBorders>
            <w:gridSpan w:val="17"/>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2023 (incorporated by reference to Exhibit 10.3 to the Company’s Quarterly Report on Form 10-Q filed with the SEC on August 2, 2023)</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gridSpan w:val="2"/>
          </w:tcPr>
          <w:p>
            <w:pPr>
              <w:spacing w:after="0"/>
              <w:rPr>
                <w:rFonts w:ascii="Arial" w:cs="Arial" w:eastAsia="Arial" w:hAnsi="Arial"/>
                <w:sz w:val="16"/>
                <w:szCs w:val="16"/>
                <w:color w:val="0000FF"/>
                <w:w w:val="86"/>
              </w:rPr>
            </w:pPr>
            <w:hyperlink r:id="rId119">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4</w:t>
              </w:r>
              <w:r>
                <w:rPr>
                  <w:rFonts w:ascii="Arial" w:cs="Arial" w:eastAsia="Arial" w:hAnsi="Arial"/>
                  <w:sz w:val="14"/>
                  <w:szCs w:val="14"/>
                  <w:color w:val="0000FF"/>
                  <w:w w:val="86"/>
                </w:rPr>
                <w:t>+</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25"/>
          </w:tcPr>
          <w:p>
            <w:pPr>
              <w:spacing w:after="0"/>
              <w:rPr>
                <w:rFonts w:ascii="Arial" w:cs="Arial" w:eastAsia="Arial" w:hAnsi="Arial"/>
                <w:sz w:val="18"/>
                <w:szCs w:val="18"/>
                <w:color w:val="0000FF"/>
                <w:w w:val="95"/>
              </w:rPr>
            </w:pPr>
            <w:hyperlink r:id="rId119">
              <w:r>
                <w:rPr>
                  <w:rFonts w:ascii="Arial" w:cs="Arial" w:eastAsia="Arial" w:hAnsi="Arial"/>
                  <w:sz w:val="18"/>
                  <w:szCs w:val="18"/>
                  <w:color w:val="0000FF"/>
                  <w:w w:val="95"/>
                </w:rPr>
                <w:t>Amended and Restated Confirmatory Employment Letter between Nautilus Biotechnology, Inc. and Nick Nelson, dated of as July 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tcBorders>
              <w:bottom w:val="single" w:sz="8" w:color="0000FF"/>
            </w:tcBorders>
            <w:gridSpan w:val="17"/>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2023 (incorporated by reference to Exhibit 10.4 to the Company’s Quarterly Report on Form 10-Q filed with the SEC on August 2, 2023)</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 w:type="dxa"/>
            <w:vAlign w:val="bottom"/>
            <w:gridSpan w:val="4"/>
          </w:tcPr>
          <w:p>
            <w:pPr>
              <w:ind w:left="20"/>
              <w:spacing w:after="0"/>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4"/>
                  <w:szCs w:val="14"/>
                  <w:color w:val="0000FF"/>
                </w:rPr>
                <w:t>+</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25"/>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Amended and Restated Confirmatory Employment Letter between Nautilus Biotechnology, Inc. and Gwen Weld, dated as of July 31, 2023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120">
              <w:r>
                <w:rPr>
                  <w:rFonts w:ascii="Arial" w:cs="Arial" w:eastAsia="Arial" w:hAnsi="Arial"/>
                  <w:sz w:val="18"/>
                  <w:szCs w:val="18"/>
                  <w:color w:val="0000FF"/>
                  <w:w w:val="96"/>
                </w:rPr>
                <w:t>(incorporated by reference to Exhibit 10.5 to the Company’s Quarterly Report on Form 10-Q filed with the SEC on August 2,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8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gridSpan w:val="3"/>
          </w:tcPr>
          <w:p>
            <w:pPr>
              <w:spacing w:after="0"/>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6</w:t>
              </w:r>
              <w:r>
                <w:rPr>
                  <w:rFonts w:ascii="Arial" w:cs="Arial" w:eastAsia="Arial" w:hAnsi="Arial"/>
                  <w:sz w:val="14"/>
                  <w:szCs w:val="14"/>
                  <w:color w:val="0000FF"/>
                </w:rPr>
                <w:t>+</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25"/>
          </w:tcPr>
          <w:p>
            <w:pPr>
              <w:spacing w:after="0"/>
              <w:rPr>
                <w:rFonts w:ascii="Arial" w:cs="Arial" w:eastAsia="Arial" w:hAnsi="Arial"/>
                <w:sz w:val="18"/>
                <w:szCs w:val="18"/>
                <w:color w:val="0000FF"/>
                <w:w w:val="94"/>
              </w:rPr>
            </w:pPr>
            <w:hyperlink r:id="rId121">
              <w:r>
                <w:rPr>
                  <w:rFonts w:ascii="Arial" w:cs="Arial" w:eastAsia="Arial" w:hAnsi="Arial"/>
                  <w:sz w:val="18"/>
                  <w:szCs w:val="18"/>
                  <w:color w:val="0000FF"/>
                  <w:w w:val="94"/>
                </w:rPr>
                <w:t>Amended and Restated Confirmatory Employment Letter between Nautilus Biotechnology, Inc. and Mary Godwin, dated as of July 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tcBorders>
              <w:bottom w:val="single" w:sz="8" w:color="0000FF"/>
            </w:tcBorders>
            <w:gridSpan w:val="17"/>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2023 (incorporated by reference to Exhibit 10.6 to the Company’s Quarterly Report on Form 10-Q filed with the SEC on August 2, 2023)</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0000FF"/>
            </w:tcBorders>
            <w:gridSpan w:val="2"/>
          </w:tcPr>
          <w:p>
            <w:pPr>
              <w:spacing w:after="0"/>
              <w:rPr>
                <w:rFonts w:ascii="Arial" w:cs="Arial" w:eastAsia="Arial" w:hAnsi="Arial"/>
                <w:sz w:val="16"/>
                <w:szCs w:val="16"/>
                <w:color w:val="0000FF"/>
                <w:w w:val="86"/>
              </w:rPr>
            </w:pPr>
            <w:hyperlink r:id="rId122">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7</w:t>
              </w:r>
              <w:r>
                <w:rPr>
                  <w:rFonts w:ascii="Arial" w:cs="Arial" w:eastAsia="Arial" w:hAnsi="Arial"/>
                  <w:sz w:val="14"/>
                  <w:szCs w:val="14"/>
                  <w:color w:val="0000FF"/>
                  <w:w w:val="86"/>
                </w:rPr>
                <w:t>+</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tcBorders>
              <w:bottom w:val="single" w:sz="8" w:color="0000FF"/>
            </w:tcBorders>
            <w:gridSpan w:val="12"/>
          </w:tcPr>
          <w:p>
            <w:pPr>
              <w:spacing w:after="0"/>
              <w:rPr>
                <w:rFonts w:ascii="Arial" w:cs="Arial" w:eastAsia="Arial" w:hAnsi="Arial"/>
                <w:sz w:val="18"/>
                <w:szCs w:val="18"/>
                <w:color w:val="0000FF"/>
                <w:w w:val="89"/>
              </w:rPr>
            </w:pPr>
            <w:hyperlink r:id="rId122">
              <w:r>
                <w:rPr>
                  <w:rFonts w:ascii="Arial" w:cs="Arial" w:eastAsia="Arial" w:hAnsi="Arial"/>
                  <w:sz w:val="18"/>
                  <w:szCs w:val="18"/>
                  <w:color w:val="0000FF"/>
                  <w:w w:val="89"/>
                </w:rPr>
                <w:t>Amended and Restated Confirmatory Employment Letter between Nautilus Biotechnology, Inc. and Subra Sankar, dated as of July 31,</w:t>
              </w:r>
            </w:hyperlink>
          </w:p>
        </w:tc>
        <w:tc>
          <w:tcPr>
            <w:tcW w:w="4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tcBorders>
              <w:bottom w:val="single" w:sz="8" w:color="0000FF"/>
            </w:tcBorders>
            <w:gridSpan w:val="17"/>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2023 (incorporated by reference to Exhibit 10.7 to the Company’s Quarterly Report on Form 10-Q filed with the SEC on August 2, 2023)</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 w:type="dxa"/>
            <w:vAlign w:val="bottom"/>
            <w:gridSpan w:val="3"/>
          </w:tcPr>
          <w:p>
            <w:pPr>
              <w:ind w:left="20"/>
              <w:spacing w:after="0"/>
              <w:rPr>
                <w:rFonts w:ascii="Arial" w:cs="Arial" w:eastAsia="Arial" w:hAnsi="Arial"/>
                <w:sz w:val="16"/>
                <w:szCs w:val="16"/>
                <w:color w:val="0000FF"/>
                <w:w w:val="86"/>
              </w:rPr>
            </w:pPr>
            <w:hyperlink r:id="rId123">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8</w:t>
              </w:r>
              <w:r>
                <w:rPr>
                  <w:rFonts w:ascii="Arial" w:cs="Arial" w:eastAsia="Arial" w:hAnsi="Arial"/>
                  <w:sz w:val="14"/>
                  <w:szCs w:val="14"/>
                  <w:color w:val="0000FF"/>
                  <w:w w:val="86"/>
                </w:rPr>
                <w:t>+</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25"/>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Amended and Restated Confirmatory Employment Letter between Nautilus Biotechnology, Inc. and Matthew Murphy, dated as of July 31,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 xml:space="preserve">2023 </w:t>
              </w:r>
            </w:hyperlink>
            <w:hyperlink r:id="rId114">
              <w:r>
                <w:rPr>
                  <w:rFonts w:ascii="Arial" w:cs="Arial" w:eastAsia="Arial" w:hAnsi="Arial"/>
                  <w:sz w:val="18"/>
                  <w:szCs w:val="18"/>
                  <w:color w:val="0000FF"/>
                  <w:w w:val="91"/>
                </w:rPr>
                <w:t>(incorporated by reference to Exhibit 10.8 to the Company’s Quarterly Report on Form 10-Q filed with the SEC on August 2, 2023)</w:t>
              </w:r>
            </w:hyperlink>
          </w:p>
        </w:tc>
        <w:tc>
          <w:tcPr>
            <w:tcW w:w="1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gridSpan w:val="3"/>
          </w:tcPr>
          <w:p>
            <w:pPr>
              <w:spacing w:after="0"/>
              <w:rPr>
                <w:rFonts w:ascii="Arial" w:cs="Arial" w:eastAsia="Arial" w:hAnsi="Arial"/>
                <w:sz w:val="18"/>
                <w:szCs w:val="18"/>
                <w:color w:val="0000FF"/>
              </w:rPr>
            </w:pPr>
            <w:hyperlink r:id="rId124">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4"/>
                  <w:szCs w:val="14"/>
                  <w:color w:val="0000FF"/>
                </w:rPr>
                <w:t>+</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25"/>
          </w:tcPr>
          <w:p>
            <w:pPr>
              <w:spacing w:after="0"/>
              <w:rPr>
                <w:rFonts w:ascii="Arial" w:cs="Arial" w:eastAsia="Arial" w:hAnsi="Arial"/>
                <w:sz w:val="18"/>
                <w:szCs w:val="18"/>
                <w:color w:val="0000FF"/>
                <w:w w:val="92"/>
              </w:rPr>
            </w:pPr>
            <w:hyperlink r:id="rId124">
              <w:r>
                <w:rPr>
                  <w:rFonts w:ascii="Arial" w:cs="Arial" w:eastAsia="Arial" w:hAnsi="Arial"/>
                  <w:sz w:val="18"/>
                  <w:szCs w:val="18"/>
                  <w:color w:val="0000FF"/>
                  <w:w w:val="92"/>
                </w:rPr>
                <w:t>Amended and Restated Change in Control and Severance Agreement between Nautilus Biotechnology, Inc. and Sujal Patel,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32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60" w:type="dxa"/>
            <w:vAlign w:val="bottom"/>
            <w:gridSpan w:val="25"/>
          </w:tcPr>
          <w:p>
            <w:pPr>
              <w:spacing w:after="0" w:line="156"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July 31, 2023 (incorporated by reference to Exhibit 10.9 to the Company’s Quarterly Report on Form 10-Q filed with the SEC on August</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4"/>
              </w:rPr>
            </w:pPr>
            <w:hyperlink r:id="rId114">
              <w:r>
                <w:rPr>
                  <w:rFonts w:ascii="Arial" w:cs="Arial" w:eastAsia="Arial" w:hAnsi="Arial"/>
                  <w:sz w:val="18"/>
                  <w:szCs w:val="18"/>
                  <w:color w:val="0000FF"/>
                  <w:w w:val="84"/>
                </w:rPr>
                <w:t>2, 2023)</w:t>
              </w:r>
            </w:hyperlink>
          </w:p>
        </w:tc>
        <w:tc>
          <w:tcPr>
            <w:tcW w:w="3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5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gridSpan w:val="6"/>
          </w:tcPr>
          <w:p>
            <w:pPr>
              <w:ind w:left="20"/>
              <w:spacing w:after="0"/>
              <w:rPr>
                <w:rFonts w:ascii="Arial" w:cs="Arial" w:eastAsia="Arial" w:hAnsi="Arial"/>
                <w:sz w:val="18"/>
                <w:szCs w:val="18"/>
                <w:color w:val="0000FF"/>
              </w:rPr>
            </w:pPr>
            <w:hyperlink r:id="rId125">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4"/>
                  <w:szCs w:val="14"/>
                  <w:color w:val="0000FF"/>
                </w:rPr>
                <w:t>+</w:t>
              </w:r>
            </w:hyperlink>
          </w:p>
        </w:tc>
        <w:tc>
          <w:tcPr>
            <w:tcW w:w="28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Amended and Restated Change in Control and Severance Agreement between Nautilus Biotechnology, Inc. and Parag Mallick, dated as of</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July 31, 2023 (incorporated by reference to Exhibit 10.10 to the Company’s Quarterly Report on Form 10-Q filed with the SEC on August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4"/>
              </w:rPr>
            </w:pPr>
            <w:hyperlink r:id="rId114">
              <w:r>
                <w:rPr>
                  <w:rFonts w:ascii="Arial" w:cs="Arial" w:eastAsia="Arial" w:hAnsi="Arial"/>
                  <w:sz w:val="18"/>
                  <w:szCs w:val="18"/>
                  <w:color w:val="0000FF"/>
                  <w:w w:val="84"/>
                </w:rPr>
                <w:t>2, 2023)</w:t>
              </w:r>
            </w:hyperlink>
          </w:p>
        </w:tc>
        <w:tc>
          <w:tcPr>
            <w:tcW w:w="3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5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 w:type="dxa"/>
            <w:vAlign w:val="bottom"/>
            <w:gridSpan w:val="5"/>
          </w:tcPr>
          <w:p>
            <w:pPr>
              <w:ind w:left="20"/>
              <w:spacing w:after="0"/>
              <w:rPr>
                <w:rFonts w:ascii="Arial" w:cs="Arial" w:eastAsia="Arial" w:hAnsi="Arial"/>
                <w:sz w:val="18"/>
                <w:szCs w:val="18"/>
                <w:color w:val="0000FF"/>
                <w:w w:val="86"/>
              </w:rPr>
            </w:pPr>
            <w:hyperlink r:id="rId126">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11</w:t>
              </w:r>
              <w:r>
                <w:rPr>
                  <w:rFonts w:ascii="Arial" w:cs="Arial" w:eastAsia="Arial" w:hAnsi="Arial"/>
                  <w:sz w:val="14"/>
                  <w:szCs w:val="14"/>
                  <w:color w:val="0000FF"/>
                  <w:w w:val="86"/>
                </w:rPr>
                <w:t>+</w:t>
              </w:r>
            </w:hyperlink>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w w:val="91"/>
              </w:rPr>
            </w:pPr>
            <w:hyperlink r:id="rId126">
              <w:r>
                <w:rPr>
                  <w:rFonts w:ascii="Arial" w:cs="Arial" w:eastAsia="Arial" w:hAnsi="Arial"/>
                  <w:sz w:val="18"/>
                  <w:szCs w:val="18"/>
                  <w:color w:val="0000FF"/>
                  <w:w w:val="91"/>
                </w:rPr>
                <w:t>Amended and Restated Change in Control and Severance Agreement between Nautilus Biotechnology, Inc. and Anna Mowry, dated as of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July 31, 2023 (incorporated by reference to Exhibit 10.11 to the Company’s Quarterly Report on Form 10-Q filed with the SEC on August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4"/>
              </w:rPr>
            </w:pPr>
            <w:hyperlink r:id="rId114">
              <w:r>
                <w:rPr>
                  <w:rFonts w:ascii="Arial" w:cs="Arial" w:eastAsia="Arial" w:hAnsi="Arial"/>
                  <w:sz w:val="18"/>
                  <w:szCs w:val="18"/>
                  <w:color w:val="0000FF"/>
                  <w:w w:val="84"/>
                </w:rPr>
                <w:t>2, 2023)</w:t>
              </w:r>
            </w:hyperlink>
          </w:p>
        </w:tc>
        <w:tc>
          <w:tcPr>
            <w:tcW w:w="3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5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gridSpan w:val="6"/>
          </w:tcPr>
          <w:p>
            <w:pPr>
              <w:ind w:left="20"/>
              <w:spacing w:after="0"/>
              <w:rPr>
                <w:rFonts w:ascii="Arial" w:cs="Arial" w:eastAsia="Arial" w:hAnsi="Arial"/>
                <w:sz w:val="18"/>
                <w:szCs w:val="18"/>
                <w:color w:val="0000FF"/>
              </w:rPr>
            </w:pPr>
            <w:hyperlink r:id="rId127">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4"/>
                  <w:szCs w:val="14"/>
                  <w:color w:val="0000FF"/>
                </w:rPr>
                <w:t>+</w:t>
              </w:r>
            </w:hyperlink>
          </w:p>
        </w:tc>
        <w:tc>
          <w:tcPr>
            <w:tcW w:w="28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w w:val="91"/>
              </w:rPr>
            </w:pPr>
            <w:hyperlink r:id="rId127">
              <w:r>
                <w:rPr>
                  <w:rFonts w:ascii="Arial" w:cs="Arial" w:eastAsia="Arial" w:hAnsi="Arial"/>
                  <w:sz w:val="18"/>
                  <w:szCs w:val="18"/>
                  <w:color w:val="0000FF"/>
                  <w:w w:val="91"/>
                </w:rPr>
                <w:t>Amended and Restated Change in Control and Severance Agreement between Nautilus Biotechnology, Inc. and Nick Nelson, dated as of</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July 31, 2023 (incorporated by reference to Exhibit 10.12 to the Company’s Quarterly Report on Form 10-Q filed with the SEC on August</w:t>
              </w:r>
            </w:hyperlink>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4"/>
              </w:rPr>
            </w:pPr>
            <w:hyperlink r:id="rId114">
              <w:r>
                <w:rPr>
                  <w:rFonts w:ascii="Arial" w:cs="Arial" w:eastAsia="Arial" w:hAnsi="Arial"/>
                  <w:sz w:val="18"/>
                  <w:szCs w:val="18"/>
                  <w:color w:val="0000FF"/>
                  <w:w w:val="84"/>
                </w:rPr>
                <w:t>2, 2023)</w:t>
              </w:r>
            </w:hyperlink>
          </w:p>
        </w:tc>
        <w:tc>
          <w:tcPr>
            <w:tcW w:w="3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5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gridSpan w:val="4"/>
          </w:tcPr>
          <w:p>
            <w:pPr>
              <w:spacing w:after="0"/>
              <w:rPr>
                <w:rFonts w:ascii="Arial" w:cs="Arial" w:eastAsia="Arial" w:hAnsi="Arial"/>
                <w:sz w:val="18"/>
                <w:szCs w:val="18"/>
                <w:color w:val="0000FF"/>
                <w:w w:val="86"/>
              </w:rPr>
            </w:pPr>
            <w:hyperlink r:id="rId128">
              <w:r>
                <w:rPr>
                  <w:rFonts w:ascii="Arial" w:cs="Arial" w:eastAsia="Arial" w:hAnsi="Arial"/>
                  <w:sz w:val="18"/>
                  <w:szCs w:val="18"/>
                  <w:color w:val="0000FF"/>
                  <w:w w:val="86"/>
                </w:rPr>
                <w:t>10.</w:t>
              </w:r>
              <w:r>
                <w:rPr>
                  <w:rFonts w:ascii="Arial" w:cs="Arial" w:eastAsia="Arial" w:hAnsi="Arial"/>
                  <w:sz w:val="18"/>
                  <w:szCs w:val="18"/>
                  <w:u w:val="single" w:color="auto"/>
                  <w:color w:val="0000FF"/>
                  <w:w w:val="86"/>
                </w:rPr>
                <w:t>13</w:t>
              </w:r>
              <w:r>
                <w:rPr>
                  <w:rFonts w:ascii="Arial" w:cs="Arial" w:eastAsia="Arial" w:hAnsi="Arial"/>
                  <w:sz w:val="14"/>
                  <w:szCs w:val="14"/>
                  <w:color w:val="0000FF"/>
                  <w:w w:val="86"/>
                </w:rPr>
                <w:t>+</w:t>
              </w:r>
            </w:hyperlink>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Amended and Restated Change in Control and Severance Agreement between Nautilus Biotechnology, Inc. and Gwen Weld,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3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60" w:type="dxa"/>
            <w:vAlign w:val="bottom"/>
            <w:gridSpan w:val="25"/>
          </w:tcPr>
          <w:p>
            <w:pPr>
              <w:spacing w:after="0" w:line="15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July 31, 2023 (incorporated by reference to Exhibit 10.13 to the Company’s Quarterly Report on Form 10-Q filed with the SEC on August</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4"/>
              </w:rPr>
            </w:pPr>
            <w:hyperlink r:id="rId114">
              <w:r>
                <w:rPr>
                  <w:rFonts w:ascii="Arial" w:cs="Arial" w:eastAsia="Arial" w:hAnsi="Arial"/>
                  <w:sz w:val="18"/>
                  <w:szCs w:val="18"/>
                  <w:color w:val="0000FF"/>
                  <w:w w:val="84"/>
                </w:rPr>
                <w:t>2, 2023)</w:t>
              </w:r>
            </w:hyperlink>
          </w:p>
        </w:tc>
        <w:tc>
          <w:tcPr>
            <w:tcW w:w="3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5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gridSpan w:val="6"/>
          </w:tcPr>
          <w:p>
            <w:pPr>
              <w:ind w:left="20"/>
              <w:spacing w:after="0"/>
              <w:rPr>
                <w:rFonts w:ascii="Arial" w:cs="Arial" w:eastAsia="Arial" w:hAnsi="Arial"/>
                <w:sz w:val="18"/>
                <w:szCs w:val="18"/>
                <w:color w:val="0000FF"/>
              </w:rPr>
            </w:pPr>
            <w:hyperlink r:id="rId129">
              <w:r>
                <w:rPr>
                  <w:rFonts w:ascii="Arial" w:cs="Arial" w:eastAsia="Arial" w:hAnsi="Arial"/>
                  <w:sz w:val="18"/>
                  <w:szCs w:val="18"/>
                  <w:color w:val="0000FF"/>
                </w:rPr>
                <w:t>10.</w:t>
              </w:r>
              <w:r>
                <w:rPr>
                  <w:rFonts w:ascii="Arial" w:cs="Arial" w:eastAsia="Arial" w:hAnsi="Arial"/>
                  <w:sz w:val="18"/>
                  <w:szCs w:val="18"/>
                  <w:u w:val="single" w:color="auto"/>
                  <w:color w:val="0000FF"/>
                </w:rPr>
                <w:t>14</w:t>
              </w:r>
              <w:r>
                <w:rPr>
                  <w:rFonts w:ascii="Arial" w:cs="Arial" w:eastAsia="Arial" w:hAnsi="Arial"/>
                  <w:sz w:val="14"/>
                  <w:szCs w:val="14"/>
                  <w:color w:val="0000FF"/>
                </w:rPr>
                <w:t>+</w:t>
              </w:r>
            </w:hyperlink>
          </w:p>
        </w:tc>
        <w:tc>
          <w:tcPr>
            <w:tcW w:w="28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Amended and Restated Change in Control and Severance Agreement between Nautilus Biotechnology, Inc. and Mary Godwin, dated as of</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July 31, 2023 (incorporated by reference to Exhibit 10.14 to the Company’s Quarterly Report on Form 10-Q filed with the SEC on August</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4"/>
              </w:rPr>
            </w:pPr>
            <w:hyperlink r:id="rId114">
              <w:r>
                <w:rPr>
                  <w:rFonts w:ascii="Arial" w:cs="Arial" w:eastAsia="Arial" w:hAnsi="Arial"/>
                  <w:sz w:val="18"/>
                  <w:szCs w:val="18"/>
                  <w:color w:val="0000FF"/>
                  <w:w w:val="84"/>
                </w:rPr>
                <w:t>2, 2023)</w:t>
              </w:r>
            </w:hyperlink>
          </w:p>
        </w:tc>
        <w:tc>
          <w:tcPr>
            <w:tcW w:w="3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5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 w:type="dxa"/>
            <w:vAlign w:val="bottom"/>
            <w:gridSpan w:val="5"/>
          </w:tcPr>
          <w:p>
            <w:pPr>
              <w:ind w:left="20"/>
              <w:spacing w:after="0"/>
              <w:rPr>
                <w:rFonts w:ascii="Arial" w:cs="Arial" w:eastAsia="Arial" w:hAnsi="Arial"/>
                <w:sz w:val="16"/>
                <w:szCs w:val="16"/>
                <w:color w:val="0000FF"/>
                <w:w w:val="95"/>
              </w:rPr>
            </w:pPr>
            <w:hyperlink r:id="rId130">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15</w:t>
              </w:r>
              <w:r>
                <w:rPr>
                  <w:rFonts w:ascii="Arial" w:cs="Arial" w:eastAsia="Arial" w:hAnsi="Arial"/>
                  <w:sz w:val="14"/>
                  <w:szCs w:val="14"/>
                  <w:color w:val="0000FF"/>
                  <w:w w:val="95"/>
                </w:rPr>
                <w:t>+</w:t>
              </w:r>
            </w:hyperlink>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Amended and Restated Change in Control and Severance Agreement between Nautilus Biotechnology, Inc. and Subra Sankar, dated as of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July 31, 2023 (incorporated by reference to Exhibit 10.15 to the Company’s Quarterly Report on Form 10-Q filed with the SEC on August</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4"/>
              </w:rPr>
            </w:pPr>
            <w:hyperlink r:id="rId114">
              <w:r>
                <w:rPr>
                  <w:rFonts w:ascii="Arial" w:cs="Arial" w:eastAsia="Arial" w:hAnsi="Arial"/>
                  <w:sz w:val="18"/>
                  <w:szCs w:val="18"/>
                  <w:color w:val="0000FF"/>
                  <w:w w:val="84"/>
                </w:rPr>
                <w:t>2, 2023)</w:t>
              </w:r>
            </w:hyperlink>
          </w:p>
        </w:tc>
        <w:tc>
          <w:tcPr>
            <w:tcW w:w="3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5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gridSpan w:val="5"/>
          </w:tcPr>
          <w:p>
            <w:pPr>
              <w:ind w:left="20"/>
              <w:spacing w:after="0"/>
              <w:rPr>
                <w:rFonts w:ascii="Arial" w:cs="Arial" w:eastAsia="Arial" w:hAnsi="Arial"/>
                <w:sz w:val="16"/>
                <w:szCs w:val="16"/>
                <w:color w:val="0000FF"/>
                <w:w w:val="95"/>
              </w:rPr>
            </w:pPr>
            <w:hyperlink r:id="rId131">
              <w:r>
                <w:rPr>
                  <w:rFonts w:ascii="Arial" w:cs="Arial" w:eastAsia="Arial" w:hAnsi="Arial"/>
                  <w:sz w:val="16"/>
                  <w:szCs w:val="16"/>
                  <w:color w:val="0000FF"/>
                  <w:w w:val="95"/>
                </w:rPr>
                <w:t>10.</w:t>
              </w:r>
              <w:r>
                <w:rPr>
                  <w:rFonts w:ascii="Arial" w:cs="Arial" w:eastAsia="Arial" w:hAnsi="Arial"/>
                  <w:sz w:val="16"/>
                  <w:szCs w:val="16"/>
                  <w:u w:val="single" w:color="auto"/>
                  <w:color w:val="0000FF"/>
                  <w:w w:val="95"/>
                </w:rPr>
                <w:t>16</w:t>
              </w:r>
              <w:r>
                <w:rPr>
                  <w:rFonts w:ascii="Arial" w:cs="Arial" w:eastAsia="Arial" w:hAnsi="Arial"/>
                  <w:sz w:val="14"/>
                  <w:szCs w:val="14"/>
                  <w:color w:val="0000FF"/>
                  <w:w w:val="95"/>
                </w:rPr>
                <w:t>+</w:t>
              </w:r>
            </w:hyperlink>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Amended and Restated Change in Control and Severance Agreement between Nautilus Biotechnology, Inc. and Matthew Murphy, dated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as of July 31, 2023 (incorporated by reference to Exhibit 10.16 to the Company’s Quarterly Report on Form 10-Q filed with the SEC on</w:t>
              </w:r>
            </w:hyperlink>
          </w:p>
        </w:tc>
        <w:tc>
          <w:tcPr>
            <w:tcW w:w="2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20"/>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August 2, 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6"/>
                <w:szCs w:val="16"/>
                <w:color w:val="auto"/>
              </w:rPr>
              <w:t>31.1*</w:t>
            </w:r>
          </w:p>
        </w:tc>
        <w:tc>
          <w:tcPr>
            <w:tcW w:w="9860" w:type="dxa"/>
            <w:vAlign w:val="bottom"/>
            <w:gridSpan w:val="7"/>
          </w:tcPr>
          <w:p>
            <w:pPr>
              <w:spacing w:after="0"/>
              <w:rPr>
                <w:sz w:val="20"/>
                <w:szCs w:val="20"/>
                <w:color w:val="auto"/>
              </w:rPr>
            </w:pPr>
            <w:r>
              <w:rPr>
                <w:rFonts w:ascii="Arial" w:cs="Arial" w:eastAsia="Arial" w:hAnsi="Arial"/>
                <w:sz w:val="18"/>
                <w:szCs w:val="18"/>
                <w:color w:val="0000FF"/>
                <w:w w:val="93"/>
              </w:rPr>
              <w:t>Certification of Principal Executive Officer Pursuant to Rules 13a-14(a) and 15d-14(a) under the Securities Exchange Act of 1934, as</w:t>
            </w:r>
          </w:p>
        </w:tc>
      </w:tr>
      <w:tr>
        <w:trPr>
          <w:trHeight w:val="156"/>
        </w:trPr>
        <w:tc>
          <w:tcPr>
            <w:tcW w:w="1200" w:type="dxa"/>
            <w:vAlign w:val="bottom"/>
          </w:tcPr>
          <w:p>
            <w:pPr>
              <w:spacing w:after="0"/>
              <w:rPr>
                <w:sz w:val="13"/>
                <w:szCs w:val="13"/>
                <w:color w:val="auto"/>
              </w:rPr>
            </w:pPr>
          </w:p>
        </w:tc>
        <w:tc>
          <w:tcPr>
            <w:tcW w:w="964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6"/>
                <w:szCs w:val="16"/>
                <w:color w:val="auto"/>
              </w:rPr>
              <w:t>31.2*</w:t>
            </w:r>
          </w:p>
        </w:tc>
        <w:tc>
          <w:tcPr>
            <w:tcW w:w="9860" w:type="dxa"/>
            <w:vAlign w:val="bottom"/>
            <w:gridSpan w:val="7"/>
          </w:tcPr>
          <w:p>
            <w:pPr>
              <w:spacing w:after="0"/>
              <w:rPr>
                <w:sz w:val="20"/>
                <w:szCs w:val="20"/>
                <w:color w:val="auto"/>
              </w:rPr>
            </w:pPr>
            <w:r>
              <w:rPr>
                <w:rFonts w:ascii="Arial" w:cs="Arial" w:eastAsia="Arial" w:hAnsi="Arial"/>
                <w:sz w:val="18"/>
                <w:szCs w:val="18"/>
                <w:color w:val="0000FF"/>
                <w:w w:val="93"/>
              </w:rPr>
              <w:t>Certification of Principal Financial Officer Pursuant to Rules 13a-14(a) and 15d-14(a) under the Securities Exchange Act of 1934, as</w:t>
            </w:r>
          </w:p>
        </w:tc>
      </w:tr>
      <w:tr>
        <w:trPr>
          <w:trHeight w:val="156"/>
        </w:trPr>
        <w:tc>
          <w:tcPr>
            <w:tcW w:w="1200" w:type="dxa"/>
            <w:vAlign w:val="bottom"/>
          </w:tcPr>
          <w:p>
            <w:pPr>
              <w:spacing w:after="0"/>
              <w:rPr>
                <w:sz w:val="13"/>
                <w:szCs w:val="13"/>
                <w:color w:val="auto"/>
              </w:rPr>
            </w:pPr>
          </w:p>
        </w:tc>
        <w:tc>
          <w:tcPr>
            <w:tcW w:w="958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9860" w:type="dxa"/>
            <w:vAlign w:val="bottom"/>
            <w:gridSpan w:val="7"/>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r>
      <w:tr>
        <w:trPr>
          <w:trHeight w:val="155"/>
        </w:trPr>
        <w:tc>
          <w:tcPr>
            <w:tcW w:w="120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4"/>
              </w:rPr>
              <w:t>Oxley Act of 2002</w:t>
            </w:r>
          </w:p>
        </w:tc>
        <w:tc>
          <w:tcPr>
            <w:tcW w:w="8260" w:type="dxa"/>
            <w:vAlign w:val="bottom"/>
            <w:tcBorders>
              <w:top w:val="single" w:sz="8" w:color="0000FF"/>
            </w:tcBorders>
            <w:gridSpan w:val="4"/>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9860" w:type="dxa"/>
            <w:vAlign w:val="bottom"/>
            <w:gridSpan w:val="7"/>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 1350, as Adopted Pursuant to Section 906 of the Sarbanes-</w:t>
            </w:r>
          </w:p>
        </w:tc>
      </w:tr>
      <w:tr>
        <w:trPr>
          <w:trHeight w:val="156"/>
        </w:trPr>
        <w:tc>
          <w:tcPr>
            <w:tcW w:w="120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4"/>
              </w:rPr>
              <w:t>Oxley Act of 2002</w:t>
            </w:r>
          </w:p>
        </w:tc>
        <w:tc>
          <w:tcPr>
            <w:tcW w:w="8200" w:type="dxa"/>
            <w:vAlign w:val="bottom"/>
            <w:tcBorders>
              <w:top w:val="single" w:sz="8" w:color="0000FF"/>
            </w:tcBorders>
            <w:gridSpan w:val="2"/>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6"/>
                <w:szCs w:val="16"/>
                <w:color w:val="auto"/>
              </w:rPr>
              <w:t>101.INS</w:t>
            </w:r>
          </w:p>
        </w:tc>
        <w:tc>
          <w:tcPr>
            <w:tcW w:w="986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1200" w:type="dxa"/>
            <w:vAlign w:val="bottom"/>
          </w:tcPr>
          <w:p>
            <w:pPr>
              <w:spacing w:after="0"/>
              <w:rPr>
                <w:sz w:val="20"/>
                <w:szCs w:val="20"/>
                <w:color w:val="auto"/>
              </w:rPr>
            </w:pPr>
          </w:p>
        </w:tc>
        <w:tc>
          <w:tcPr>
            <w:tcW w:w="986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241"/>
        </w:trPr>
        <w:tc>
          <w:tcPr>
            <w:tcW w:w="1200" w:type="dxa"/>
            <w:vAlign w:val="bottom"/>
          </w:tcPr>
          <w:p>
            <w:pPr>
              <w:spacing w:after="0"/>
              <w:rPr>
                <w:sz w:val="20"/>
                <w:szCs w:val="20"/>
                <w:color w:val="auto"/>
              </w:rPr>
            </w:pPr>
            <w:r>
              <w:rPr>
                <w:rFonts w:ascii="Arial" w:cs="Arial" w:eastAsia="Arial" w:hAnsi="Arial"/>
                <w:sz w:val="16"/>
                <w:szCs w:val="16"/>
                <w:color w:val="auto"/>
              </w:rPr>
              <w:t>101.SCH</w:t>
            </w:r>
          </w:p>
        </w:tc>
        <w:tc>
          <w:tcPr>
            <w:tcW w:w="98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200" w:type="dxa"/>
            <w:vAlign w:val="bottom"/>
          </w:tcPr>
          <w:p>
            <w:pPr>
              <w:spacing w:after="0"/>
              <w:rPr>
                <w:sz w:val="20"/>
                <w:szCs w:val="20"/>
                <w:color w:val="auto"/>
              </w:rPr>
            </w:pPr>
            <w:r>
              <w:rPr>
                <w:rFonts w:ascii="Arial" w:cs="Arial" w:eastAsia="Arial" w:hAnsi="Arial"/>
                <w:sz w:val="16"/>
                <w:szCs w:val="16"/>
                <w:color w:val="auto"/>
              </w:rPr>
              <w:t>101.CAL</w:t>
            </w:r>
          </w:p>
        </w:tc>
        <w:tc>
          <w:tcPr>
            <w:tcW w:w="98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200" w:type="dxa"/>
            <w:vAlign w:val="bottom"/>
          </w:tcPr>
          <w:p>
            <w:pPr>
              <w:spacing w:after="0"/>
              <w:rPr>
                <w:sz w:val="20"/>
                <w:szCs w:val="20"/>
                <w:color w:val="auto"/>
              </w:rPr>
            </w:pPr>
            <w:r>
              <w:rPr>
                <w:rFonts w:ascii="Arial" w:cs="Arial" w:eastAsia="Arial" w:hAnsi="Arial"/>
                <w:sz w:val="16"/>
                <w:szCs w:val="16"/>
                <w:color w:val="auto"/>
              </w:rPr>
              <w:t>101.DEF</w:t>
            </w:r>
          </w:p>
        </w:tc>
        <w:tc>
          <w:tcPr>
            <w:tcW w:w="98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101.LAB</w:t>
            </w:r>
          </w:p>
        </w:tc>
        <w:tc>
          <w:tcPr>
            <w:tcW w:w="98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101.PRE</w:t>
            </w:r>
          </w:p>
        </w:tc>
        <w:tc>
          <w:tcPr>
            <w:tcW w:w="98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220" w:hanging="1194"/>
        <w:spacing w:after="0"/>
        <w:tabs>
          <w:tab w:leader="none" w:pos="1220" w:val="left"/>
        </w:tabs>
        <w:numPr>
          <w:ilvl w:val="0"/>
          <w:numId w:val="47"/>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5" w:lineRule="exact"/>
        <w:rPr>
          <w:sz w:val="20"/>
          <w:szCs w:val="20"/>
          <w:color w:val="auto"/>
        </w:rPr>
      </w:pPr>
    </w:p>
    <w:p>
      <w:pPr>
        <w:ind w:left="340" w:hanging="332"/>
        <w:spacing w:after="0" w:line="302" w:lineRule="auto"/>
        <w:tabs>
          <w:tab w:leader="none" w:pos="124"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0" w:name="page81"/>
    <w:bookmarkEnd w:id="8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60" w:type="dxa"/>
            <w:vAlign w:val="bottom"/>
            <w:gridSpan w:val="2"/>
          </w:tcPr>
          <w:p>
            <w:pPr>
              <w:ind w:left="1840"/>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3560" w:type="dxa"/>
            <w:vAlign w:val="bottom"/>
          </w:tcPr>
          <w:p>
            <w:pPr>
              <w:spacing w:after="0"/>
              <w:rPr>
                <w:sz w:val="20"/>
                <w:szCs w:val="20"/>
                <w:color w:val="auto"/>
              </w:rPr>
            </w:pPr>
            <w:r>
              <w:rPr>
                <w:rFonts w:ascii="Arial" w:cs="Arial" w:eastAsia="Arial" w:hAnsi="Arial"/>
                <w:sz w:val="18"/>
                <w:szCs w:val="18"/>
                <w:color w:val="auto"/>
              </w:rPr>
              <w:t>Date: October 31, 2023</w:t>
            </w:r>
          </w:p>
        </w:tc>
        <w:tc>
          <w:tcPr>
            <w:tcW w:w="7660" w:type="dxa"/>
            <w:vAlign w:val="bottom"/>
            <w:gridSpan w:val="2"/>
          </w:tcPr>
          <w:p>
            <w:pPr>
              <w:ind w:left="1840"/>
              <w:spacing w:after="0"/>
              <w:rPr>
                <w:sz w:val="20"/>
                <w:szCs w:val="20"/>
                <w:color w:val="auto"/>
              </w:rPr>
            </w:pPr>
            <w:r>
              <w:rPr>
                <w:rFonts w:ascii="Arial" w:cs="Arial" w:eastAsia="Arial" w:hAnsi="Arial"/>
                <w:sz w:val="18"/>
                <w:szCs w:val="18"/>
                <w:color w:val="auto"/>
              </w:rPr>
              <w:t>By:  /s/ Sujal Patel</w:t>
            </w:r>
          </w:p>
        </w:tc>
      </w:tr>
      <w:tr>
        <w:trPr>
          <w:trHeight w:val="222"/>
        </w:trPr>
        <w:tc>
          <w:tcPr>
            <w:tcW w:w="3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October 31, 2023</w:t>
            </w:r>
          </w:p>
        </w:tc>
        <w:tc>
          <w:tcPr>
            <w:tcW w:w="7660" w:type="dxa"/>
            <w:vAlign w:val="bottom"/>
            <w:gridSpan w:val="2"/>
          </w:tcPr>
          <w:p>
            <w:pPr>
              <w:ind w:left="1840"/>
              <w:spacing w:after="0"/>
              <w:rPr>
                <w:sz w:val="20"/>
                <w:szCs w:val="20"/>
                <w:color w:val="auto"/>
              </w:rPr>
            </w:pPr>
            <w:r>
              <w:rPr>
                <w:rFonts w:ascii="Arial" w:cs="Arial" w:eastAsia="Arial" w:hAnsi="Arial"/>
                <w:sz w:val="18"/>
                <w:szCs w:val="18"/>
                <w:color w:val="auto"/>
              </w:rPr>
              <w:t>By:  /s/ Anna Mowry</w:t>
            </w:r>
          </w:p>
        </w:tc>
      </w:tr>
      <w:tr>
        <w:trPr>
          <w:trHeight w:val="222"/>
        </w:trPr>
        <w:tc>
          <w:tcPr>
            <w:tcW w:w="3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103" w:lineRule="exact"/>
        <w:rPr>
          <w:rFonts w:ascii="Arial" w:cs="Arial" w:eastAsia="Arial" w:hAnsi="Arial"/>
          <w:sz w:val="18"/>
          <w:szCs w:val="18"/>
          <w:color w:val="auto"/>
        </w:rPr>
      </w:pPr>
    </w:p>
    <w:p>
      <w:pPr>
        <w:jc w:val="both"/>
        <w:ind w:left="660" w:right="12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jc w:val="both"/>
        <w:ind w:left="660" w:right="120" w:hanging="328"/>
        <w:spacing w:after="0" w:line="235"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200" w:hanging="322"/>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100" w:hanging="328"/>
        <w:spacing w:after="0" w:line="324"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140" w:right="620" w:hanging="322"/>
        <w:spacing w:after="0" w:line="307" w:lineRule="auto"/>
        <w:tabs>
          <w:tab w:leader="none" w:pos="113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vMerge w:val="restart"/>
          </w:tcPr>
          <w:p>
            <w:pPr>
              <w:spacing w:after="0"/>
              <w:rPr>
                <w:sz w:val="20"/>
                <w:szCs w:val="20"/>
                <w:color w:val="auto"/>
              </w:rPr>
            </w:pPr>
            <w:r>
              <w:rPr>
                <w:rFonts w:ascii="Arial" w:cs="Arial" w:eastAsia="Arial" w:hAnsi="Arial"/>
                <w:sz w:val="18"/>
                <w:szCs w:val="18"/>
                <w:color w:val="auto"/>
              </w:rPr>
              <w:t>Date: October 31, 2023</w:t>
            </w:r>
          </w:p>
        </w:tc>
        <w:tc>
          <w:tcPr>
            <w:tcW w:w="252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103" w:lineRule="exact"/>
        <w:rPr>
          <w:rFonts w:ascii="Arial" w:cs="Arial" w:eastAsia="Arial" w:hAnsi="Arial"/>
          <w:sz w:val="18"/>
          <w:szCs w:val="18"/>
          <w:color w:val="auto"/>
        </w:rPr>
      </w:pPr>
    </w:p>
    <w:p>
      <w:pPr>
        <w:jc w:val="both"/>
        <w:ind w:left="660" w:right="12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jc w:val="both"/>
        <w:ind w:left="660" w:right="120" w:hanging="328"/>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200" w:hanging="322"/>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100" w:hanging="328"/>
        <w:spacing w:after="0" w:line="324"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140" w:right="620" w:hanging="322"/>
        <w:spacing w:after="0" w:line="307" w:lineRule="auto"/>
        <w:tabs>
          <w:tab w:leader="none" w:pos="113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vMerge w:val="restart"/>
          </w:tcPr>
          <w:p>
            <w:pPr>
              <w:spacing w:after="0"/>
              <w:rPr>
                <w:sz w:val="20"/>
                <w:szCs w:val="20"/>
                <w:color w:val="auto"/>
              </w:rPr>
            </w:pPr>
            <w:r>
              <w:rPr>
                <w:rFonts w:ascii="Arial" w:cs="Arial" w:eastAsia="Arial" w:hAnsi="Arial"/>
                <w:sz w:val="18"/>
                <w:szCs w:val="18"/>
                <w:color w:val="auto"/>
              </w:rPr>
              <w:t>Date: October 31, 2023</w:t>
            </w:r>
          </w:p>
        </w:tc>
        <w:tc>
          <w:tcPr>
            <w:tcW w:w="252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September 30, 2023 as filed with the Securities and Exchange Commission on the date hereof (the “Report”), I, Sujal Patel, hereby certify, pursuant to 18 U.S.C. § 1350, as adopted pursuant to § 906 of the Sarbanes-Oxley Act of 2002, that:</w:t>
      </w:r>
    </w:p>
    <w:p>
      <w:pPr>
        <w:spacing w:after="0" w:line="32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vMerge w:val="restart"/>
          </w:tcPr>
          <w:p>
            <w:pPr>
              <w:spacing w:after="0"/>
              <w:rPr>
                <w:sz w:val="20"/>
                <w:szCs w:val="20"/>
                <w:color w:val="auto"/>
              </w:rPr>
            </w:pPr>
            <w:r>
              <w:rPr>
                <w:rFonts w:ascii="Arial" w:cs="Arial" w:eastAsia="Arial" w:hAnsi="Arial"/>
                <w:sz w:val="18"/>
                <w:szCs w:val="18"/>
                <w:color w:val="auto"/>
              </w:rPr>
              <w:t>Date: October 31, 2023</w:t>
            </w:r>
          </w:p>
        </w:tc>
        <w:tc>
          <w:tcPr>
            <w:tcW w:w="252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September 30, 2023 as filed with the Securities and Exchange Commission on the date hereof (the “Report”), I, Anna Mowry, hereby certify, pursuant to 18 U.S.C. § 1350, as adopted pursuant to § 906 of the Sarbanes-Oxley Act of 2002, that:</w:t>
      </w:r>
    </w:p>
    <w:p>
      <w:pPr>
        <w:spacing w:after="0" w:line="324"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vMerge w:val="restart"/>
          </w:tcPr>
          <w:p>
            <w:pPr>
              <w:spacing w:after="0"/>
              <w:rPr>
                <w:sz w:val="20"/>
                <w:szCs w:val="20"/>
                <w:color w:val="auto"/>
              </w:rPr>
            </w:pPr>
            <w:r>
              <w:rPr>
                <w:rFonts w:ascii="Arial" w:cs="Arial" w:eastAsia="Arial" w:hAnsi="Arial"/>
                <w:sz w:val="18"/>
                <w:szCs w:val="18"/>
                <w:color w:val="auto"/>
              </w:rPr>
              <w:t>Date: October 31, 2023</w:t>
            </w:r>
          </w:p>
        </w:tc>
        <w:tc>
          <w:tcPr>
            <w:tcW w:w="252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4"/>
    </w:lvl>
  </w:abstractNum>
  <w:abstractNum w:abstractNumId="8">
    <w:nsid w:val="1E7FF521"/>
    <w:multiLevelType w:val="hybridMultilevel"/>
    <w:lvl w:ilvl="0">
      <w:lvlJc w:val="left"/>
      <w:lvlText w:val="%1."/>
      <w:numFmt w:val="decimal"/>
      <w:start w:val="5"/>
    </w:lvl>
  </w:abstractNum>
  <w:abstractNum w:abstractNumId="9">
    <w:nsid w:val="7C3DBD3D"/>
    <w:multiLevelType w:val="hybridMultilevel"/>
    <w:lvl w:ilvl="0">
      <w:lvlJc w:val="left"/>
      <w:lvlText w:val="%1."/>
      <w:numFmt w:val="decimal"/>
      <w:start w:val="6"/>
    </w:lvl>
  </w:abstractNum>
  <w:abstractNum w:abstractNumId="10">
    <w:nsid w:val="737B8DDC"/>
    <w:multiLevelType w:val="hybridMultilevel"/>
    <w:lvl w:ilvl="0">
      <w:lvlJc w:val="left"/>
      <w:lvlText w:val="%1."/>
      <w:numFmt w:val="decimal"/>
      <w:start w:val="7"/>
    </w:lvl>
  </w:abstractNum>
  <w:abstractNum w:abstractNumId="11">
    <w:nsid w:val="6CEAF087"/>
    <w:multiLevelType w:val="hybridMultilevel"/>
    <w:lvl w:ilvl="0">
      <w:lvlJc w:val="left"/>
      <w:lvlText w:val="(%1)"/>
      <w:numFmt w:val="lowerRoman"/>
      <w:start w:val="3"/>
    </w:lvl>
  </w:abstractNum>
  <w:abstractNum w:abstractNumId="12">
    <w:nsid w:val="22221A70"/>
    <w:multiLevelType w:val="hybridMultilevel"/>
    <w:lvl w:ilvl="0">
      <w:lvlJc w:val="left"/>
      <w:lvlText w:val="%1."/>
      <w:numFmt w:val="decimal"/>
      <w:start w:val="8"/>
    </w:lvl>
  </w:abstractNum>
  <w:abstractNum w:abstractNumId="13">
    <w:nsid w:val="4516DDE9"/>
    <w:multiLevelType w:val="hybridMultilevel"/>
    <w:lvl w:ilvl="0">
      <w:lvlJc w:val="left"/>
      <w:lvlText w:val="%1."/>
      <w:numFmt w:val="decimal"/>
      <w:start w:val="9"/>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04"/>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14" Type="http://schemas.openxmlformats.org/officeDocument/2006/relationships/hyperlink" Target="https://www.sec.gov/Archives/edgar/data/1808805/000162828021011892/exhibit31-form8xkclosing.htm" TargetMode="External"/><Relationship Id="rId115" Type="http://schemas.openxmlformats.org/officeDocument/2006/relationships/hyperlink" Target="https://www.sec.gov/Archives/edgar/data/1808805/000180880523000069/exhibit32-nautilusbiotechn.htm" TargetMode="External"/><Relationship Id="rId116" Type="http://schemas.openxmlformats.org/officeDocument/2006/relationships/hyperlink" Target="https://www.sec.gov/Archives/edgar/data/1808805/000180880523000069/exhibit101-patelconfirmato.htm" TargetMode="External"/><Relationship Id="rId117" Type="http://schemas.openxmlformats.org/officeDocument/2006/relationships/hyperlink" Target="https://www.sec.gov/Archives/edgar/data/1808805/000180880523000069/exhibit102-mallickconfirma.htm" TargetMode="External"/><Relationship Id="rId118" Type="http://schemas.openxmlformats.org/officeDocument/2006/relationships/hyperlink" Target="https://www.sec.gov/Archives/edgar/data/1808805/000180880523000069/exhibit103-mowryconfirmato.htm" TargetMode="External"/><Relationship Id="rId119" Type="http://schemas.openxmlformats.org/officeDocument/2006/relationships/hyperlink" Target="https://www.sec.gov/Archives/edgar/data/1808805/000180880523000069/exhibit104-nelsonconfirmat.htm" TargetMode="External"/><Relationship Id="rId120" Type="http://schemas.openxmlformats.org/officeDocument/2006/relationships/hyperlink" Target="https://www.sec.gov/Archives/edgar/data/1808805/000180880523000069/exhibit105-weldconfirmator.htm" TargetMode="External"/><Relationship Id="rId121" Type="http://schemas.openxmlformats.org/officeDocument/2006/relationships/hyperlink" Target="https://www.sec.gov/Archives/edgar/data/1808805/000180880523000069/exhibit106-godwinconfirmat.htm" TargetMode="External"/><Relationship Id="rId122" Type="http://schemas.openxmlformats.org/officeDocument/2006/relationships/hyperlink" Target="https://www.sec.gov/Archives/edgar/data/1808805/000180880523000069/exhibit107-sankarconfirmat.htm" TargetMode="External"/><Relationship Id="rId123" Type="http://schemas.openxmlformats.org/officeDocument/2006/relationships/hyperlink" Target="https://www.sec.gov/Archives/edgar/data/1808805/000180880523000069/exhibit108-murphyconfirmat.htm" TargetMode="External"/><Relationship Id="rId124" Type="http://schemas.openxmlformats.org/officeDocument/2006/relationships/hyperlink" Target="https://www.sec.gov/Archives/edgar/data/1808805/000180880523000069/exhibit109-patelcicagmnt.htm" TargetMode="External"/><Relationship Id="rId125" Type="http://schemas.openxmlformats.org/officeDocument/2006/relationships/hyperlink" Target="https://www.sec.gov/Archives/edgar/data/1808805/000180880523000069/exhibit1010-mallickcicagmnt.htm" TargetMode="External"/><Relationship Id="rId126" Type="http://schemas.openxmlformats.org/officeDocument/2006/relationships/hyperlink" Target="https://www.sec.gov/Archives/edgar/data/1808805/000180880523000069/exhibit1011-mowrycicagmnt.htm" TargetMode="External"/><Relationship Id="rId127" Type="http://schemas.openxmlformats.org/officeDocument/2006/relationships/hyperlink" Target="https://www.sec.gov/Archives/edgar/data/1808805/000180880523000069/exhibit1012-nelsoncicagmnt.htm" TargetMode="External"/><Relationship Id="rId128" Type="http://schemas.openxmlformats.org/officeDocument/2006/relationships/hyperlink" Target="https://www.sec.gov/Archives/edgar/data/1808805/000180880523000069/exhibit1013-weldcicagmnt.htm" TargetMode="External"/><Relationship Id="rId129" Type="http://schemas.openxmlformats.org/officeDocument/2006/relationships/hyperlink" Target="https://www.sec.gov/Archives/edgar/data/1808805/000180880523000069/exhibit1014-godwincicagmnt.htm" TargetMode="External"/><Relationship Id="rId130" Type="http://schemas.openxmlformats.org/officeDocument/2006/relationships/hyperlink" Target="https://www.sec.gov/Archives/edgar/data/1808805/000180880523000069/exhibit1015-sankarcicagmnt.htm" TargetMode="External"/><Relationship Id="rId131" Type="http://schemas.openxmlformats.org/officeDocument/2006/relationships/hyperlink" Target="https://www.sec.gov/Archives/edgar/data/1808805/000180880523000069/exhibit1016-murphycicagm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2023-10-31T15:20:00Z</dcterms:created>
  <dcterms:modified xsi:type="dcterms:W3CDTF">2023-10-31T15:20:00Z</dcterms:modified>
</cp:coreProperties>
</file>