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720" w:hanging="294"/>
        <w:spacing w:after="0"/>
        <w:tabs>
          <w:tab w:leader="none" w:pos="7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0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4"/>
          <w:szCs w:val="24"/>
          <w:color w:val="auto"/>
        </w:rPr>
      </w:pPr>
    </w:p>
    <w:p>
      <w:pPr>
        <w:ind w:left="720" w:hanging="279"/>
        <w:spacing w:after="0"/>
        <w:tabs>
          <w:tab w:leader="none" w:pos="7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Commission File Number 001-39434</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61" w:lineRule="exact"/>
        <w:rPr>
          <w:sz w:val="24"/>
          <w:szCs w:val="24"/>
          <w:color w:val="auto"/>
        </w:rPr>
      </w:pPr>
    </w:p>
    <w:tbl>
      <w:tblPr>
        <w:tblLayout w:type="fixed"/>
        <w:tblInd w:w="700" w:type="dxa"/>
        <w:tblCellMar>
          <w:top w:w="0" w:type="dxa"/>
          <w:left w:w="0" w:type="dxa"/>
          <w:bottom w:w="0" w:type="dxa"/>
          <w:right w:w="0" w:type="dxa"/>
        </w:tblCellMar>
      </w:tblPr>
      <w:tr>
        <w:trPr>
          <w:trHeight w:val="190"/>
        </w:trPr>
        <w:tc>
          <w:tcPr>
            <w:tcW w:w="370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98-1541723</w:t>
            </w:r>
          </w:p>
        </w:tc>
      </w:tr>
      <w:tr>
        <w:trPr>
          <w:trHeight w:val="163"/>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769"/>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2701 Eastlake Avenue East Seattle, Washington</w:t>
            </w:r>
          </w:p>
        </w:tc>
        <w:tc>
          <w:tcPr>
            <w:tcW w:w="52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98102</w:t>
            </w:r>
          </w:p>
        </w:tc>
      </w:tr>
      <w:tr>
        <w:trPr>
          <w:trHeight w:val="378"/>
        </w:trPr>
        <w:tc>
          <w:tcPr>
            <w:tcW w:w="3700" w:type="dxa"/>
            <w:vAlign w:val="bottom"/>
          </w:tcPr>
          <w:p>
            <w:pPr>
              <w:jc w:val="center"/>
              <w:ind w:right="70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220" w:type="dxa"/>
            <w:vAlign w:val="bottom"/>
          </w:tcPr>
          <w:p>
            <w:pPr>
              <w:jc w:val="center"/>
              <w:ind w:left="4068"/>
              <w:spacing w:after="0"/>
              <w:rPr>
                <w:sz w:val="20"/>
                <w:szCs w:val="20"/>
                <w:color w:val="auto"/>
              </w:rPr>
            </w:pPr>
            <w:r>
              <w:rPr>
                <w:rFonts w:ascii="Times New Roman" w:cs="Times New Roman" w:eastAsia="Times New Roman" w:hAnsi="Times New Roman"/>
                <w:sz w:val="14"/>
                <w:szCs w:val="14"/>
                <w:color w:val="auto"/>
              </w:rPr>
              <w:t>(Zip Code)</w:t>
            </w:r>
          </w:p>
        </w:tc>
      </w:tr>
      <w:tr>
        <w:trPr>
          <w:trHeight w:val="216"/>
        </w:trPr>
        <w:tc>
          <w:tcPr>
            <w:tcW w:w="3700" w:type="dxa"/>
            <w:vAlign w:val="bottom"/>
          </w:tcPr>
          <w:p>
            <w:pPr>
              <w:spacing w:after="0"/>
              <w:rPr>
                <w:sz w:val="18"/>
                <w:szCs w:val="18"/>
                <w:color w:val="auto"/>
              </w:rPr>
            </w:pPr>
          </w:p>
        </w:tc>
        <w:tc>
          <w:tcPr>
            <w:tcW w:w="5220" w:type="dxa"/>
            <w:vAlign w:val="bottom"/>
          </w:tcPr>
          <w:p>
            <w:pPr>
              <w:jc w:val="right"/>
              <w:ind w:right="3488"/>
              <w:spacing w:after="0"/>
              <w:rPr>
                <w:sz w:val="20"/>
                <w:szCs w:val="20"/>
                <w:color w:val="auto"/>
              </w:rPr>
            </w:pPr>
            <w:r>
              <w:rPr>
                <w:rFonts w:ascii="Times New Roman" w:cs="Times New Roman" w:eastAsia="Times New Roman" w:hAnsi="Times New Roman"/>
                <w:sz w:val="14"/>
                <w:szCs w:val="14"/>
                <w:b w:val="1"/>
                <w:bCs w:val="1"/>
                <w:color w:val="auto"/>
              </w:rPr>
              <w:t>(206) 333-2001</w:t>
            </w:r>
          </w:p>
        </w:tc>
      </w:tr>
    </w:tbl>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8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5" w:lineRule="exact"/>
        <w:rPr>
          <w:sz w:val="24"/>
          <w:szCs w:val="24"/>
          <w:color w:val="auto"/>
        </w:rPr>
      </w:pPr>
    </w:p>
    <w:tbl>
      <w:tblPr>
        <w:tblLayout w:type="fixed"/>
        <w:tblInd w:w="820" w:type="dxa"/>
        <w:tblCellMar>
          <w:top w:w="0" w:type="dxa"/>
          <w:left w:w="0" w:type="dxa"/>
          <w:bottom w:w="0" w:type="dxa"/>
          <w:right w:w="0" w:type="dxa"/>
        </w:tblCellMar>
      </w:tblPr>
      <w:tr>
        <w:trPr>
          <w:trHeight w:val="252"/>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6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86"/>
        </w:trPr>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NAUT</w:t>
            </w:r>
          </w:p>
        </w:tc>
        <w:tc>
          <w:tcPr>
            <w:tcW w:w="38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 w:lineRule="exact"/>
        <w:rPr>
          <w:sz w:val="24"/>
          <w:szCs w:val="24"/>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260"/>
              <w:spacing w:after="0"/>
              <w:rPr>
                <w:sz w:val="20"/>
                <w:szCs w:val="20"/>
                <w:color w:val="auto"/>
              </w:rPr>
            </w:pPr>
            <w:r>
              <w:rPr>
                <w:rFonts w:ascii="Wingdings" w:cs="Wingdings" w:eastAsia="Wingdings" w:hAnsi="Wingdings"/>
                <w:sz w:val="14"/>
                <w:szCs w:val="14"/>
                <w:b w:val="1"/>
                <w:bCs w:val="1"/>
                <w:color w:val="auto"/>
              </w:rPr>
              <w:t>o</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3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60" w:type="dxa"/>
            <w:vAlign w:val="bottom"/>
          </w:tcPr>
          <w:p>
            <w:pPr>
              <w:ind w:left="3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40" w:lineRule="exact"/>
        <w:rPr>
          <w:sz w:val="24"/>
          <w:szCs w:val="24"/>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ind w:right="1200" w:firstLine="324"/>
        <w:spacing w:after="0" w:line="45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April 24, 2025, the registrant had 126,148,469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0" w:type="dxa"/>
            <w:vAlign w:val="bottom"/>
            <w:gridSpan w:val="9"/>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NAUTILUS BIOTECHNOLOGY, INC.</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0" w:type="dxa"/>
            <w:vAlign w:val="bottom"/>
            <w:gridSpan w:val="9"/>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425"/>
        </w:trPr>
        <w:tc>
          <w:tcPr>
            <w:tcW w:w="10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iii</w:t>
            </w:r>
          </w:p>
        </w:tc>
      </w:tr>
      <w:tr>
        <w:trPr>
          <w:trHeight w:val="466"/>
        </w:trPr>
        <w:tc>
          <w:tcPr>
            <w:tcW w:w="10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660" w:type="dxa"/>
            <w:vAlign w:val="bottom"/>
            <w:gridSpan w:val="10"/>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4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60" w:type="dxa"/>
            <w:vAlign w:val="bottom"/>
            <w:gridSpan w:val="8"/>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6"/>
                <w:szCs w:val="6"/>
                <w:color w:val="0000FF"/>
                <w:w w:val="78"/>
              </w:rPr>
              <w:t>iii</w:t>
            </w:r>
          </w:p>
        </w:tc>
        <w:tc>
          <w:tcPr>
            <w:tcW w:w="300" w:type="dxa"/>
            <w:vAlign w:val="bottom"/>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 (unaudited)</w:t>
            </w: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1</w:t>
            </w:r>
          </w:p>
        </w:tc>
        <w:tc>
          <w:tcPr>
            <w:tcW w:w="30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8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2025 and 2024 (unaudited)</w:t>
            </w:r>
          </w:p>
        </w:tc>
        <w:tc>
          <w:tcPr>
            <w:tcW w:w="1000" w:type="dxa"/>
            <w:vAlign w:val="bottom"/>
            <w:gridSpan w:val="2"/>
          </w:tcPr>
          <w:p>
            <w:pPr>
              <w:spacing w:after="0"/>
              <w:rPr>
                <w:sz w:val="22"/>
                <w:szCs w:val="22"/>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for the Three Months Ended March 31, 2025 and 2024 (unaudited)</w:t>
            </w:r>
          </w:p>
        </w:tc>
        <w:tc>
          <w:tcPr>
            <w:tcW w:w="280" w:type="dxa"/>
            <w:vAlign w:val="bottom"/>
          </w:tcPr>
          <w:p>
            <w:pPr>
              <w:spacing w:after="0"/>
              <w:rPr>
                <w:sz w:val="22"/>
                <w:szCs w:val="22"/>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3</w:t>
            </w:r>
          </w:p>
        </w:tc>
        <w:tc>
          <w:tcPr>
            <w:tcW w:w="30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and 2024 (unaudited)</w:t>
            </w: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20" w:type="dxa"/>
            <w:vAlign w:val="bottom"/>
          </w:tcPr>
          <w:p>
            <w:pPr>
              <w:spacing w:after="0"/>
              <w:rPr>
                <w:sz w:val="22"/>
                <w:szCs w:val="22"/>
                <w:color w:val="auto"/>
              </w:rPr>
            </w:pPr>
          </w:p>
        </w:tc>
        <w:tc>
          <w:tcPr>
            <w:tcW w:w="9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 (unaudited)</w:t>
            </w:r>
          </w:p>
        </w:tc>
        <w:tc>
          <w:tcPr>
            <w:tcW w:w="280" w:type="dxa"/>
            <w:vAlign w:val="bottom"/>
          </w:tcPr>
          <w:p>
            <w:pPr>
              <w:spacing w:after="0"/>
              <w:rPr>
                <w:sz w:val="22"/>
                <w:szCs w:val="22"/>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5</w:t>
            </w:r>
          </w:p>
        </w:tc>
        <w:tc>
          <w:tcPr>
            <w:tcW w:w="30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4"/>
        </w:trPr>
        <w:tc>
          <w:tcPr>
            <w:tcW w:w="1020" w:type="dxa"/>
            <w:vAlign w:val="bottom"/>
          </w:tcPr>
          <w:p>
            <w:pPr>
              <w:spacing w:after="0"/>
              <w:rPr>
                <w:sz w:val="22"/>
                <w:szCs w:val="22"/>
                <w:color w:val="auto"/>
              </w:rPr>
            </w:pPr>
          </w:p>
        </w:tc>
        <w:tc>
          <w:tcPr>
            <w:tcW w:w="85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00" w:type="dxa"/>
            <w:vAlign w:val="bottom"/>
            <w:gridSpan w:val="2"/>
          </w:tcPr>
          <w:p>
            <w:pPr>
              <w:spacing w:after="0"/>
              <w:rPr>
                <w:sz w:val="22"/>
                <w:szCs w:val="22"/>
                <w:color w:val="auto"/>
              </w:rPr>
            </w:pPr>
          </w:p>
        </w:tc>
        <w:tc>
          <w:tcPr>
            <w:tcW w:w="3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88"/>
              </w:rPr>
              <w:t>6</w:t>
            </w:r>
          </w:p>
        </w:tc>
        <w:tc>
          <w:tcPr>
            <w:tcW w:w="300" w:type="dxa"/>
            <w:vAlign w:val="bottom"/>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4"/>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17</w:t>
            </w:r>
          </w:p>
        </w:tc>
        <w:tc>
          <w:tcPr>
            <w:tcW w:w="300" w:type="dxa"/>
            <w:vAlign w:val="bottom"/>
          </w:tcPr>
          <w:p>
            <w:pPr>
              <w:spacing w:after="0"/>
              <w:rPr>
                <w:sz w:val="22"/>
                <w:szCs w:val="22"/>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60" w:type="dxa"/>
            <w:vAlign w:val="bottom"/>
            <w:gridSpan w:val="6"/>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26</w:t>
            </w:r>
          </w:p>
        </w:tc>
        <w:tc>
          <w:tcPr>
            <w:tcW w:w="300" w:type="dxa"/>
            <w:vAlign w:val="bottom"/>
          </w:tcPr>
          <w:p>
            <w:pPr>
              <w:spacing w:after="0"/>
              <w:rPr>
                <w:sz w:val="18"/>
                <w:szCs w:val="18"/>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27</w:t>
            </w:r>
          </w:p>
        </w:tc>
        <w:tc>
          <w:tcPr>
            <w:tcW w:w="3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466"/>
        </w:trPr>
        <w:tc>
          <w:tcPr>
            <w:tcW w:w="2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900" w:type="dxa"/>
            <w:vAlign w:val="bottom"/>
            <w:gridSpan w:val="12"/>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80" w:type="dxa"/>
            <w:vAlign w:val="bottom"/>
            <w:gridSpan w:val="14"/>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28</w:t>
            </w:r>
          </w:p>
        </w:tc>
        <w:tc>
          <w:tcPr>
            <w:tcW w:w="300" w:type="dxa"/>
            <w:vAlign w:val="bottom"/>
          </w:tcPr>
          <w:p>
            <w:pPr>
              <w:spacing w:after="0"/>
              <w:rPr>
                <w:sz w:val="24"/>
                <w:szCs w:val="24"/>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28</w:t>
            </w:r>
          </w:p>
        </w:tc>
        <w:tc>
          <w:tcPr>
            <w:tcW w:w="3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7"/>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73</w:t>
            </w:r>
          </w:p>
        </w:tc>
        <w:tc>
          <w:tcPr>
            <w:tcW w:w="300" w:type="dxa"/>
            <w:vAlign w:val="bottom"/>
          </w:tcPr>
          <w:p>
            <w:pPr>
              <w:spacing w:after="0"/>
              <w:rPr>
                <w:sz w:val="18"/>
                <w:szCs w:val="18"/>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180" w:type="dxa"/>
            <w:vAlign w:val="bottom"/>
            <w:gridSpan w:val="7"/>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73</w:t>
            </w:r>
          </w:p>
        </w:tc>
        <w:tc>
          <w:tcPr>
            <w:tcW w:w="300" w:type="dxa"/>
            <w:vAlign w:val="bottom"/>
          </w:tcPr>
          <w:p>
            <w:pPr>
              <w:spacing w:after="0"/>
              <w:rPr>
                <w:sz w:val="18"/>
                <w:szCs w:val="18"/>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0" w:type="dxa"/>
            <w:vAlign w:val="bottom"/>
            <w:gridSpan w:val="9"/>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73</w:t>
            </w:r>
          </w:p>
        </w:tc>
        <w:tc>
          <w:tcPr>
            <w:tcW w:w="300" w:type="dxa"/>
            <w:vAlign w:val="bottom"/>
          </w:tcPr>
          <w:p>
            <w:pPr>
              <w:spacing w:after="0"/>
              <w:rPr>
                <w:sz w:val="18"/>
                <w:szCs w:val="18"/>
                <w:color w:val="auto"/>
              </w:rPr>
            </w:pP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7760" w:type="dxa"/>
            <w:vAlign w:val="bottom"/>
            <w:gridSpan w:val="11"/>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73</w:t>
            </w:r>
          </w:p>
        </w:tc>
        <w:tc>
          <w:tcPr>
            <w:tcW w:w="300" w:type="dxa"/>
            <w:vAlign w:val="bottom"/>
          </w:tcPr>
          <w:p>
            <w:pPr>
              <w:spacing w:after="0"/>
              <w:rPr>
                <w:sz w:val="18"/>
                <w:szCs w:val="18"/>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920" w:type="dxa"/>
            <w:vAlign w:val="bottom"/>
            <w:gridSpan w:val="17"/>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74</w:t>
            </w:r>
          </w:p>
        </w:tc>
        <w:tc>
          <w:tcPr>
            <w:tcW w:w="300" w:type="dxa"/>
            <w:vAlign w:val="bottom"/>
          </w:tcPr>
          <w:p>
            <w:pPr>
              <w:spacing w:after="0"/>
              <w:rPr>
                <w:sz w:val="18"/>
                <w:szCs w:val="18"/>
                <w:color w:val="auto"/>
              </w:rPr>
            </w:pPr>
          </w:p>
        </w:tc>
      </w:tr>
      <w:tr>
        <w:trPr>
          <w:trHeight w:val="466"/>
        </w:trPr>
        <w:tc>
          <w:tcPr>
            <w:tcW w:w="10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0000FF"/>
                <w:w w:val="99"/>
              </w:rPr>
              <w:t>75</w:t>
            </w:r>
          </w:p>
        </w:tc>
        <w:tc>
          <w:tcPr>
            <w:tcW w:w="300" w:type="dxa"/>
            <w:vAlign w:val="bottom"/>
          </w:tcPr>
          <w:p>
            <w:pPr>
              <w:spacing w:after="0"/>
              <w:rPr>
                <w:sz w:val="24"/>
                <w:szCs w:val="24"/>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spacing w:after="0" w:line="129" w:lineRule="exact"/>
        <w:rPr>
          <w:sz w:val="20"/>
          <w:szCs w:val="20"/>
          <w:color w:val="auto"/>
        </w:rPr>
      </w:pPr>
    </w:p>
    <w:p>
      <w:pPr>
        <w:ind w:right="48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proteomics platform (the “Nautilus platform”), which remains in the development stage and subject to scientific and technical validation;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 and any commercialization timelines;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functionality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availability of private and public research funding for proteomics research and development activities.</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171"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 (as defined in Part I, Item I, Note 1, “Description of Business and Basis of Presentation,” in our notes to condensed consolidated financial statements in this Quarterly Report on Form 10-Q);</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partners, manufacturers and suppliers;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length of time that our existing cash resources will fund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support, and commercialize new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140" w:lineRule="exact"/>
        <w:rPr>
          <w:sz w:val="20"/>
          <w:szCs w:val="20"/>
          <w:color w:val="auto"/>
        </w:rPr>
      </w:pPr>
    </w:p>
    <w:p>
      <w:pPr>
        <w:ind w:right="440" w:firstLine="332"/>
        <w:spacing w:after="0" w:line="282" w:lineRule="auto"/>
        <w:tabs>
          <w:tab w:leader="none" w:pos="6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 volatility in the global financial markets and general economic downturns, on the foregoing; and</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including but not limited to those detailed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Quarterly Report on Form 10-Q.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8"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references to trademarks and service marks belonging to other entities. Solely for convenience, trademarks and trade names referred to in this Quarterly Report on Form 10-Q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As of March 31, 2025 and December 31,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132,826</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26,381</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0" w:type="dxa"/>
            <w:vAlign w:val="bottom"/>
          </w:tcPr>
          <w:p>
            <w:pPr>
              <w:spacing w:after="0"/>
              <w:rPr>
                <w:sz w:val="1"/>
                <w:szCs w:val="1"/>
                <w:color w:val="auto"/>
              </w:rPr>
            </w:pPr>
          </w:p>
        </w:tc>
      </w:tr>
      <w:tr>
        <w:trPr>
          <w:trHeight w:val="236"/>
        </w:trPr>
        <w:tc>
          <w:tcPr>
            <w:tcW w:w="7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200,000,000 authorized as of March 31, 2025 and December 31,</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 0 shares issued and outstanding as of March 31, 2025 and December 31, 2024</w:t>
            </w:r>
          </w:p>
        </w:tc>
        <w:tc>
          <w:tcPr>
            <w:tcW w:w="2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as of March 31, 2025 and</w:t>
            </w: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68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2024; 126,148,469 and 126,106,176 shares issued and outstanding as of March 31,</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2025 and December 31, 2024, respectively</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242,743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ind w:left="20"/>
        <w:spacing w:after="0" w:line="204"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 March 31,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0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126,144,240</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125,135,451</w:t>
            </w:r>
          </w:p>
        </w:tc>
        <w:tc>
          <w:tcPr>
            <w:tcW w:w="0" w:type="dxa"/>
            <w:vAlign w:val="bottom"/>
          </w:tcPr>
          <w:p>
            <w:pPr>
              <w:spacing w:after="0"/>
              <w:rPr>
                <w:sz w:val="1"/>
                <w:szCs w:val="1"/>
                <w:color w:val="auto"/>
              </w:rPr>
            </w:pPr>
          </w:p>
        </w:tc>
      </w:tr>
      <w:tr>
        <w:trPr>
          <w:trHeight w:val="216"/>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Loss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 March 31,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securities available-for-sale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Stockholders’ Equity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 March 31,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2025</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7"/>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gridSpan w:val="2"/>
            <w:vMerge w:val="restart"/>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Other</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16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tcBorders>
              <w:bottom w:val="single" w:sz="8" w:color="auto"/>
            </w:tcBorders>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5"/>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46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126,106,176</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126,148,469</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483,865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(289,632)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2024</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240" w:type="dxa"/>
            <w:vAlign w:val="bottom"/>
            <w:tcBorders>
              <w:top w:val="single" w:sz="8" w:color="auto"/>
            </w:tcBorders>
          </w:tcPr>
          <w:p>
            <w:pPr>
              <w:spacing w:after="0"/>
              <w:rPr>
                <w:sz w:val="6"/>
                <w:szCs w:val="6"/>
                <w:color w:val="auto"/>
              </w:rPr>
            </w:pPr>
          </w:p>
        </w:tc>
        <w:tc>
          <w:tcPr>
            <w:tcW w:w="2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6"/>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vMerge w:val="restart"/>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260"/>
              <w:spacing w:after="0" w:line="110"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6"/>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5"/>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amounts)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125,068,601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467,834</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265,353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vested stock</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196,414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125,265,015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471,193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Three Months Ended March 31, 2025 and 2024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(accretion) of premium (discount) on securities,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securities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 on non-cash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regulations of the U.S. Securities and Exchange Commission (the “SEC”) for interim financial reporting. All intercompany transactions and balances have been eliminated upon consolidation. Certain information and footnote disclosures normally included in financial statements prepared in accordance with U.S. GAAP have been condensed or omitted pursuant to such rules and regulations. The condensed consolidated financial statements were prepared on the same basis as the audited financial statements and, in the opinion of management, reflect all adjustments, which include only normal recurring adjustments necessary for a fair statement of the Company’s financial position, results of operations, and cash flows for the interim periods. The interim financial results are not necessarily indicative of the results for a full year. These financial statements and accompanying notes should be read in conjunction with the consolidated financial statements and notes thereto in the Company’s Annual Report on Form 10-K for the fiscal year ended December 31, 2024 on file with the SEC. The Company’s reporting currency is the U.S. dollar.</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March 31, 2025, the Company had an accumulated deficit of $289.6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6" w:right="39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$138.8 million as of March 31, 2025. As of the date on which these condensed consolidated financial statements were issued, the Company believes that its cash, cash equivalents, and short-term investments will be sufficient to fund its operations for at least the next twelve months following the issuance of the condensed consolidated financial statements.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3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as of the date of the condensed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risk represents the accounting loss that would be recognized as of the reporting date if counterparties failed to perform as contracted.</w:t>
      </w:r>
    </w:p>
    <w:p>
      <w:pPr>
        <w:spacing w:after="0" w:line="171"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3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as of the date of acquisition to be cash equivalents.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spacing w:after="0" w:line="12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condensed consolidated statement of operations.</w:t>
      </w:r>
    </w:p>
    <w:p>
      <w:pPr>
        <w:spacing w:after="0" w:line="12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8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22"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condensed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condensed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stockholders’ equity that, under U.S. GAAP are excluded from net loss. For the three months ended March 31, 2025 and 2024, net unrealized gains and losses on marketable debt securities were included as a component of comprehensive income (loss).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w:t>
      </w:r>
    </w:p>
    <w:p>
      <w:pPr>
        <w:spacing w:after="0" w:line="1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3"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In November 2024, the Financial Accounting Standards Board (“FASB”) issued Accounting Standards Update (“ASU”) 2024-03, Income Statement— Reporting Comprehensive Income—Expense Disaggregation Disclosures (Subtopic 220-40). The amendments in this update require disclosure, in the notes to financial statements, of specified information about certain costs and expenses. The ASU is effective for the Company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ending December 31, 2027 and for interim periods beginning after December 31, 2027. The Company is in the process of evaluating the impact of the adoption of this update on its consolidated financial statements and related disclosures.</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ASU is effective for the Company for the fiscal year ending December 31, 2025, and is not expected to have a material impact on its annual consolidated financial statements and related disclosures.</w:t>
      </w:r>
    </w:p>
    <w:p>
      <w:pPr>
        <w:spacing w:after="0" w:line="11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details the assets carried at fair value and measured on a recurring basis within the three levels of fair value as of March 31,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8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4"/>
        </w:trPr>
        <w:tc>
          <w:tcPr>
            <w:tcW w:w="2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31,828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65,282</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31,828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67,851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127,269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127,343</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73,744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1"/>
                <w:szCs w:val="11"/>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1"/>
                <w:szCs w:val="11"/>
                <w:color w:val="auto"/>
              </w:rPr>
            </w:pP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1"/>
                <w:szCs w:val="11"/>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160" w:type="dxa"/>
            <w:vAlign w:val="bottom"/>
          </w:tcPr>
          <w:p>
            <w:pPr>
              <w:spacing w:after="0"/>
              <w:rPr>
                <w:sz w:val="11"/>
                <w:szCs w:val="11"/>
                <w:color w:val="auto"/>
              </w:rPr>
            </w:pPr>
          </w:p>
        </w:tc>
        <w:tc>
          <w:tcPr>
            <w:tcW w:w="1160" w:type="dxa"/>
            <w:vAlign w:val="bottom"/>
            <w:gridSpan w:val="4"/>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180" w:type="dxa"/>
            <w:vAlign w:val="bottom"/>
          </w:tcPr>
          <w:p>
            <w:pPr>
              <w:spacing w:after="0"/>
              <w:rPr>
                <w:sz w:val="11"/>
                <w:szCs w:val="11"/>
                <w:color w:val="auto"/>
              </w:rPr>
            </w:pPr>
          </w:p>
        </w:tc>
        <w:tc>
          <w:tcPr>
            <w:tcW w:w="106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8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5"/>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25,836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Level 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69,050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25,836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72,457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Level 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136,990</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76,411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Level 1 and 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206,097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continuous unrealized loss positions in excess of twelve months as of March 31, 2025.</w:t>
      </w:r>
    </w:p>
    <w:p>
      <w:pPr>
        <w:spacing w:after="0" w:line="1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three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2025 and 2024, and had no allowance for credit losses as of March 31, 2025 and December 31, 2024.</w:t>
      </w:r>
    </w:p>
    <w:p>
      <w:pPr>
        <w:spacing w:after="0" w:line="167" w:lineRule="exact"/>
        <w:rPr>
          <w:sz w:val="20"/>
          <w:szCs w:val="20"/>
          <w:color w:val="auto"/>
        </w:rPr>
      </w:pPr>
    </w:p>
    <w:p>
      <w:pPr>
        <w:ind w:right="4660" w:firstLine="8"/>
        <w:spacing w:after="0" w:line="440" w:lineRule="auto"/>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Condensed Consolidated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Prototype equipment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of $0.5 million and $0.5 million for the three months ended March 31, 2025 and 2024, respectively, which was primarily allocated to research and development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Liabilities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3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27,646</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long-term assets (Note 8)</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long-term assets consisted of $1.0 million of restricted cash and $0.2 million of deposits as of March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126,148,469 shares issued and outstanding as of March 31, 2025.</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of common stock reserved for future issuance on an as-if converted basis,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7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28,564,059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23,784,439</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5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18,118,170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16,634,775</w:t>
            </w: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2021</w:t>
            </w: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5,769,421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4,508,360</w:t>
            </w: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52,451,650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44,927,574</w:t>
            </w:r>
          </w:p>
        </w:tc>
      </w:tr>
      <w:tr>
        <w:trPr>
          <w:trHeight w:val="20"/>
        </w:trPr>
        <w:tc>
          <w:tcPr>
            <w:tcW w:w="2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 For the three months ended March 31, 2025 and 2024, no income tax expense or benefit was recognized, due to a full valuation allowance recorded against its deferred tax assets.</w:t>
      </w:r>
    </w:p>
    <w:p>
      <w:pPr>
        <w:spacing w:after="0" w:line="125"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 and Stock-based Compensation</w:t>
      </w:r>
    </w:p>
    <w:p>
      <w:pPr>
        <w:spacing w:after="0" w:line="175"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On June 8, 2021, the stockholders of the Company approved the 2021 Equity Incentive Plan (“2021 Plan”) and the 2021 Employee Stock Purchase Plan (“2021 ESPP”). As of March 31, 2025, 28,564,059 and 5,769,421 shares were available for grant under the 2021 Plan and 2021 ESPP, respectively.</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 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 On January 1, 2025, the number of shares available under the 2021 ESPP increased by 1,261,061 shares pursuant to this feature.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ind w:right="160" w:firstLine="324"/>
        <w:spacing w:after="0" w:line="257" w:lineRule="auto"/>
        <w:rPr>
          <w:sz w:val="20"/>
          <w:szCs w:val="20"/>
          <w:color w:val="auto"/>
        </w:rPr>
      </w:pPr>
      <w:r>
        <w:rPr>
          <w:rFonts w:ascii="Times New Roman" w:cs="Times New Roman" w:eastAsia="Times New Roman" w:hAnsi="Times New Roman"/>
          <w:sz w:val="18"/>
          <w:szCs w:val="18"/>
          <w:color w:val="auto"/>
        </w:rPr>
        <w:t>Under the 2021 Plan, the Company can grant incentive stock options, nonstatutory stock options, stock appreciation rights, restricted stock, restricted stock units and performance awards to employees, non-employee directors and consultants. Options generally expire ten years after the date of grant. The number of shares available for issuance under the 2021 Plan will be increased on the first day of each fiscal year in an amount equal to the least of (i)</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On January 1, 2025, the number of shares available under the 2021 Plan increased by 6,305,308 shares pursuant to this feature.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175"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Grant Date Fair Value of 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compensation cost of the option awards, the fair value for each option award has been estimated using the Black Scholes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assumptions used in these calculations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8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0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 - 102.1%</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 - 100.1%</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 - 4.03%</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- 4.22%</w:t>
            </w:r>
          </w:p>
        </w:tc>
      </w:tr>
    </w:tbl>
    <w:p>
      <w:pPr>
        <w:spacing w:after="0" w:line="193"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85" w:lineRule="exact"/>
        <w:rPr>
          <w:sz w:val="20"/>
          <w:szCs w:val="20"/>
          <w:color w:val="auto"/>
        </w:rPr>
      </w:pPr>
    </w:p>
    <w:p>
      <w:pPr>
        <w:ind w:right="60" w:firstLine="324"/>
        <w:spacing w:after="0" w:line="231" w:lineRule="exact"/>
        <w:rPr>
          <w:sz w:val="20"/>
          <w:szCs w:val="20"/>
          <w:color w:val="auto"/>
        </w:rPr>
      </w:pPr>
      <w:r>
        <w:rPr>
          <w:rFonts w:ascii="Times New Roman" w:cs="Times New Roman" w:eastAsia="Times New Roman" w:hAnsi="Times New Roman"/>
          <w:sz w:val="18"/>
          <w:szCs w:val="18"/>
          <w:color w:val="auto"/>
        </w:rPr>
        <w:t>Expected volatility: Historically, the Company has been a private company and lacked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dividend yield: The expected dividend rate is zero as the Company has no history or expectation of declaring dividends on its common stock.</w:t>
      </w:r>
    </w:p>
    <w:p>
      <w:pPr>
        <w:spacing w:after="0" w:line="17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option award activity during the three months ended March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Stock Option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16,634,775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(370,312)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18,118,170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as of March 31, 2025</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18,118,170</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11,173,438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there was $12.3 million of total unrecognized compensation expense expected to be recognized over a weighted average-period of 2.5 years. Aggregate intrinsic value represents the difference between the fair market value of the common stock and the exercise price of outstanding, in-the-money options.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total stock-based compensation expense included in the Company’s condensed consolidated statement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condensed consolidated balance sheet as of March 31, 2025 as the Company had not yet received the related goods or services. As of March 31, 2025, the Company had open purchase commitments for goods and services of $2.1 million, of which $1.8 million are expected to be received through the next 12 months.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may record accruals for loss contingencies associated with legal matters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The ability to make such estimates and judgments can be affected by various factors including, among other things, whether damages sought in the proceedings are unsubstantiated or indeterminate; scientific and legal discovery has not commenced or is not complete; proceedings are in early stages; matters present legal uncertainties; there are significant facts in dispute; procedural or jurisdictional issues. Loss contingency accruals would be included in accrued and other liabilities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District Court Proceedings</w:t>
      </w:r>
    </w:p>
    <w:p>
      <w:pPr>
        <w:spacing w:after="0" w:line="1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Inc. On November 19, 2024, the Company, Standard Biotools, Inc., and the California Institute of Technology agreed to dismiss the suit and settle any and all disputes and/or claims related to the suit.</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Company is obligated under certain non-cancellable operating leases for office space and laboratory space. This space includes operating leases in Seattle, Washington, San Carlos, California, and San Diego, California.</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future principal contractual obligations for operating lease commitments as of March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Lease Obligations</w:t>
            </w:r>
          </w:p>
        </w:tc>
      </w:tr>
      <w:tr>
        <w:trPr>
          <w:trHeight w:val="23"/>
        </w:trPr>
        <w:tc>
          <w:tcPr>
            <w:tcW w:w="9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ending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37,590</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cash paid for amounts included in the measurement of operating lease liabilities included in cash flows used in operating activities was $1.8 million and $1.7 million, respectively.</w:t>
      </w:r>
    </w:p>
    <w:p>
      <w:pPr>
        <w:spacing w:after="0" w:line="10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has $1.0 million in cash-collateralized letters of credit with one financial institution in lieu of security deposits in connection with the San Carlos and San Diego lease agreements.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22"/>
          <w:szCs w:val="22"/>
          <w:b w:val="1"/>
          <w:bCs w:val="1"/>
          <w:color w:val="auto"/>
        </w:rPr>
        <w:t>Nautilus Biotechnology,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Statements—(Continued)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the Company’s basic and diluted net loss per share attributable to common stockholders for the three months ended March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computing net loss per share attributable to common stockholders, basic and</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126,144,240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125,135,451</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120" w:type="dxa"/>
            <w:vAlign w:val="bottom"/>
            <w:gridSpan w:val="3"/>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8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18,118,170</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16,304,969</w:t>
            </w: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145,879</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133,978</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potentially dilutive common share equivalents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18,264,049</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16,438,947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is its CODM. The Company’s CODM uses consolidated net loss in assessing operating decisions, allocating resources and evaluating financial performance. Consolidated net loss is used to monitor budget versus actual results. The Company identified the following significant segment expenses for its single reportable segment: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Payroll-related expenses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 and laboratory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Facilities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Footnotes:</w:t>
      </w:r>
    </w:p>
    <w:p>
      <w:pPr>
        <w:spacing w:after="0" w:line="42" w:lineRule="exact"/>
        <w:rPr>
          <w:sz w:val="20"/>
          <w:szCs w:val="20"/>
          <w:color w:val="auto"/>
        </w:rPr>
      </w:pPr>
    </w:p>
    <w:p>
      <w:pPr>
        <w:ind w:left="480" w:right="260" w:hanging="326"/>
        <w:spacing w:after="0" w:line="241" w:lineRule="auto"/>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the Company’s single reportable segment include travel and entertainment, insurance, tax, expensed computer hardware and software, depreciation, and other miscellaneous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0" w:name="page21"/>
    <w:bookmarkEnd w:id="2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Nautilus Biotechnology, Inc.’s (“Nautilus” or the “Company”) condensed consolidated results of operations and financial condition. The discussion should be read together with the condensed consolidated financial statements and the accompanying notes to those statements that are included elsewhere in this Quarterly Report on Form 10-Q and the audited financial statements for the year ended December 31, 2024 and the related notes included in the Company’s Annual Report on Form 10-K filed with the SEC on February 27, 2025. This discussion may contain forward-looking statements based upon current expectations that involve risks and uncertainties. Nautilus’ actual results may differ materially from those anticipated in these forward-looking statements as a result of various factors, including those set forth in the section titled “Risk Factors” in Part II, Item 1A as set forth in this Quarterly Report on Form 10-Q.</w:t>
      </w:r>
    </w:p>
    <w:p>
      <w:pPr>
        <w:spacing w:after="0" w:line="131"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Nautilus and its consolidated subsidiary.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3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our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08"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research collaborations with biopharmaceutical companies and key academic opinion leaders exploring utility of pre-commercial versions of the platform, during which we do not expect to recognize significant revenue, if any. The second phase will include an early access limited release in which we expect to engage with customers using a service model to generate pilot data on the platform in our facilities, or through on-site installation and testing to evaluate the platform at the customers’ facilities. Finally, the third phase is anticipated to include a broader commercial launch. We are currently in the collaboration phase during which we have entered into collaborations with a small number of research customers, including with biopharmaceutical companies and key academic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the second phase, we expect to work closely with early access collaborators to demonstrate a unique value proposition for our Nautilus platform. During this phase, we plan to provide early access to our collaborators with broad-scale and targeted analysis and profiling of samples analyzed in our facility and shared via a cloud platform. We believe there is significant interest in our platform for targeted proteoform analysis.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2026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3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March 31, 2025, we had cash, cash equivalents and short-term investments of $138.8 million. As of the filing of this Quarterly Report on Form 10-Q, we believe that our existing cash, cash equivalents, and short-term investments will enable us to fund our planned operating expenses and capital expenditures through at least the next 12 months.</w:t>
      </w:r>
    </w:p>
    <w:p>
      <w:pPr>
        <w:spacing w:after="0" w:line="13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incurred significant losses since the commencement of our operations. Our net loss was $16.6 million during the three months ended March 31, 2025, and we expect to continue to incur significant losses for the foreseeable future as we continue our research and development activities and planned commercialization of our Nautilus platform. As of March 31, 2025, we had an accumulated deficit of $289.6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Negative Global or National Events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Businesses have been and will continue to be impacted by a number of challenging global and national events and circumstances that continue to evolve, including extreme weather conditions, economic uncertainty, increased tariffs, inflation, changing interest rates,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w:t>
      </w:r>
    </w:p>
    <w:p>
      <w:pPr>
        <w:spacing w:after="0" w:line="1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been and continue to actively monitor our supply chain in light of these challenging global and national events and circumstances, including our third-party materials suppliers. We have, in the past,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While certain of these disruptions have been resolved, we are continuing to monitor our supply chain and contingency planning is ongoing with our partners to reduce the possibility of an interruption to our development activities or the availability of necessary materials.</w:t>
      </w:r>
    </w:p>
    <w:p>
      <w:pPr>
        <w:spacing w:after="0" w:line="12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2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our research and development efforts and to increase our investment in research and development efforts related to our product development. While we anticipate certain cost savings associated with our workforce reductions, in the future, we continue to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and marketing expenses. We expense general and administrative expenses in the periods in which they are incurred.</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While we anticipate certain cost savings associated with our workforce reductions, in the future, 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7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Other income consists of interest income on our cash, cash equivalents and investments, including accretion and amortization of discounts and premiums on marketable debt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to the Three Months Ended March 31,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condensed consolidated statements of operations for the periods indicated:</w:t>
      </w:r>
    </w:p>
    <w:p>
      <w:pPr>
        <w:spacing w:after="0" w:line="25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33655</wp:posOffset>
            </wp:positionV>
            <wp:extent cx="2014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55" w:lineRule="exact"/>
        <w:rPr>
          <w:sz w:val="20"/>
          <w:szCs w:val="20"/>
          <w:color w:val="auto"/>
        </w:rPr>
      </w:pPr>
    </w:p>
    <w:p>
      <w:pPr>
        <w:ind w:left="5440"/>
        <w:spacing w:after="0"/>
        <w:tabs>
          <w:tab w:leader="none" w:pos="70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33655</wp:posOffset>
            </wp:positionV>
            <wp:extent cx="1954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Change</w:t>
      </w:r>
    </w:p>
    <w:p>
      <w:pPr>
        <w:spacing w:after="0" w:line="6" w:lineRule="exact"/>
        <w:rPr>
          <w:sz w:val="20"/>
          <w:szCs w:val="20"/>
          <w:color w:val="auto"/>
        </w:rPr>
      </w:pPr>
    </w:p>
    <w:p>
      <w:pPr>
        <w:ind w:left="160"/>
        <w:spacing w:after="0"/>
        <w:tabs>
          <w:tab w:leader="none" w:pos="17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11" w:lineRule="exact"/>
        <w:rPr>
          <w:sz w:val="20"/>
          <w:szCs w:val="20"/>
          <w:color w:val="auto"/>
        </w:rPr>
      </w:pPr>
    </w:p>
    <w:p>
      <w:pPr>
        <w:sectPr>
          <w:pgSz w:w="11900" w:h="16838" w:orient="portrait"/>
          <w:cols w:equalWidth="0" w:num="2">
            <w:col w:w="7800" w:space="720"/>
            <w:col w:w="27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$11.5 million for the three months ended March 31, 2025, compared to $12.9 million for the three months ended March 31, 2024, a decrease of $1.4 million, or 11%. The decrease was due to a $1.2 million decrease in laboratory and professional services primarily due to normal variability in the timing of research and development project activities and continued focus on cost optimization, and a $0.3 million decrease in stock-based compensation. These decreases were partially offset by a $0.1 million increase in facilities expense driven by increases in maintenance costs for our leases.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$7.3 million for the three months ended March 31, 2025, compared to $8.7 million for the three months ended March 31, 2024, a decrease of $1.4 million, or 16%. The decrease was due to a $0.8 million decrease in professional services attributable to legal and consulting fees and a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14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decrease in stock-based compensation. The decrease in professional services was driven by $0.5 million in professional services related to the shelf registration statement filed during the three months ended March 31, 2024.</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7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March 31, 2025 decreased compared to the three months ended March 31, 2024. The decrease is attributable to the decrease in interest income as our cash, cash equivalents, and investments balance decreased during the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Since our inception, we have not generated any revenue from product sales and have incurred significant operating losses and negative cash flows from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Our net loss was $16.6 million for the three months ended March 31, 2025. As of March 31, 2025, we had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$289.6 million. Prior to the Business Combination, we funded our operations primarily with proceeds from the sale of convertible preferred stock.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we had raised net proceeds of $108.4 million from these private placements of our convertible preferred stock. In June 2021,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conjunction with the consummation of the Business Combination with ARYA, we received additional gross proceeds of approximately $345.5 million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Investors and the Business Combination, offset by approximately $18.2 million of transaction costs and underwriters’ fees relating to the closing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Combination. As of March 31, 2025, we had cash, cash equivalents and investments of $192.8 million.</w:t>
      </w:r>
    </w:p>
    <w:p>
      <w:pPr>
        <w:spacing w:after="0" w:line="153"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10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three months ended March 31, 2025, we did not sell any shares of common stock pursuant to the sales agreement.</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date, we have not generated any revenue and we may not generate any revenue from the sale of products or from other sources in the near future.</w:t>
      </w:r>
    </w:p>
    <w:p>
      <w:pPr>
        <w:spacing w:after="0" w:line="17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We implemented a workforce reduction in the first quarter of 2025. The cost-saving initiatives are expected to reduce certain operating expenses, primarily personnel-related expense, in the near term.</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we expect our expenses and capital requirements will continue to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activities, including with respect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activities to establish sales, marketing and distribution capabilities for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setup costs related to production tooling and required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 how;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operational, financial and management information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management, scientific and administrative personnel;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71"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As of the filing of this Quarterly Report on Form 10-Q,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spacing w:after="0" w:line="13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commercialization of our products, if ever, we will continue to require substantial additional capital to develop our Nautilus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disruptions to, and volatility in, the credit and financial markets in the United States and worldwide,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spacing w:after="0" w:line="13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2025 and 2024</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$13.9 million, resulting from our net loss of $16.6 million and decrease in net changes in assets and liabilities aggregating $0.6 million. Net cash used in operating activities was partially offset by non-cash charges aggregating $3.3 million, which included $2.2 million of stock-based compensation, $1.2 million of amortization of operating lease right-of-use assets, and $0.5 million of depreciation. These non-cash charges were partially offset by $0.5 million of net accretion of discounts on securities.</w:t>
      </w:r>
    </w:p>
    <w:p>
      <w:pPr>
        <w:spacing w:after="0" w:line="12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operating activities was $16.3 million, resulting from our net loss of $18.7 million and decrease in net changes in assets and liabilities aggregating $1.5 million. Net cash used in operating activities was partially offset by non-cash charges aggregating $4.0 million, which included $3.1 million of stock-based compensation, $1.1 million amortization of operating lease right-of-use assets, and $0.5 million of depreciation. These non-cash charges were partially offset by $0.8 million of net accretion of discounts on securities.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investing activities was $19.5 million, resulting from $26.6 million in proceeds from the maturities of securities, partially offset by $6.9 million in purchases of securities and $0.2 million in purchases of property and equipment.</w:t>
      </w:r>
    </w:p>
    <w:p>
      <w:pPr>
        <w:spacing w:after="0" w:line="10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cash provided by investing activities was $22.4 million, resulting from $23.0 million in proceeds from maturities of securities, partially offset by $0.6 million in purchases of property and equipment.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2025, cash provided by financing activities was comprised of proceeds from the exercise of stock options.</w:t>
      </w:r>
    </w:p>
    <w:p>
      <w:pPr>
        <w:spacing w:after="0" w:line="17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cash provided by financing activities was comprised of $0.2 million of proceeds from the exercise of stock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contractual obligations and commitments, refer to Part I, Item 1, Note 8, “Commitments and Contingencies,” in our notes to condensed consolidated financial statements in this Quarterly Report on Form 10-Q.</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liabilities, and expenses.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statement of cash flows.</w:t>
      </w:r>
    </w:p>
    <w:p>
      <w:pPr>
        <w:spacing w:after="0" w:line="134"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those disclosed in our audited financial statements as of and 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recent accounting pronouncements, including the expected dates of adoption and estimated effects, if any, on our condensed consolidated financial statements, see Part I, Item 1, Note 2 “Significant Accounting Policies” in our notes to condensed consolidated financial statements in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cease to be an emerging growth company on the date that is the earliest of (i) the last day of the fiscal year in which we have total annual gross revenue of $1.235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2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7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market risk exposure is primarily a result of fluctuations in interest rates and inflation. We do not hold or issue financial instruments for trading purposes.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investments of $192.8 million as of March 31, 2025.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debt securities. As of March 31, 2025, the effect of a hypothetical 1.00% (100 basis point) change in interest rates would have changed the fair value of our marketable debt securities by $1.3 million. Such change would only be realized if we sold the marketable debt securities prior to maturity.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7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30" w:name="page31"/>
    <w:bookmarkEnd w:id="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324"/>
        <w:spacing w:after="0" w:line="219" w:lineRule="exact"/>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as of the end of the period covered by this Quarterly Report on Form 10-Q. In designing and evaluating the disclosure controls and procedures, management recognized that any controls and procedures, no matter how well designed and operated, can provide only reasonable and not absolute assurance of achieving the desired control objectives and management necessarily applies its judgment in evaluating the cost benefit relationship of possible controls and procedures. Based on this evaluation, our Chief Executive Officer and Chief Financial Officer concluded that our disclosure controls and procedures were effective at the reasonable assurance level as of March 31, 2025.</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2025 that has materially affected, or is reasonably likely to materially affect, our internal control over financial reporting.</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1" w:name="page32"/>
    <w:bookmarkEnd w:id="3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and uncertainties that make investing in our company risky include, among others: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5" w:lineRule="exact"/>
        <w:rPr>
          <w:sz w:val="20"/>
          <w:szCs w:val="20"/>
          <w:color w:val="auto"/>
        </w:rPr>
      </w:pPr>
    </w:p>
    <w:p>
      <w:pPr>
        <w:ind w:right="4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07" w:lineRule="exact"/>
        <w:rPr>
          <w:rFonts w:ascii="Times New Roman" w:cs="Times New Roman" w:eastAsia="Times New Roman" w:hAnsi="Times New Roman"/>
          <w:sz w:val="18"/>
          <w:szCs w:val="18"/>
          <w:color w:val="auto"/>
        </w:rPr>
      </w:pPr>
    </w:p>
    <w:p>
      <w:pPr>
        <w:ind w:right="24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platform.</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07" w:lineRule="exact"/>
        <w:rPr>
          <w:rFonts w:ascii="Times New Roman" w:cs="Times New Roman" w:eastAsia="Times New Roman" w:hAnsi="Times New Roman"/>
          <w:sz w:val="18"/>
          <w:szCs w:val="18"/>
          <w:color w:val="auto"/>
        </w:rPr>
      </w:pPr>
    </w:p>
    <w:p>
      <w:pPr>
        <w:ind w:right="86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07" w:lineRule="exact"/>
        <w:rPr>
          <w:rFonts w:ascii="Times New Roman" w:cs="Times New Roman" w:eastAsia="Times New Roman" w:hAnsi="Times New Roman"/>
          <w:sz w:val="18"/>
          <w:szCs w:val="18"/>
          <w:color w:val="auto"/>
        </w:rPr>
      </w:pPr>
    </w:p>
    <w:p>
      <w:pPr>
        <w:ind w:right="260" w:firstLine="332"/>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additional capital to fund our development and commercialization plans.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5" w:lineRule="exact"/>
        <w:rPr>
          <w:sz w:val="20"/>
          <w:szCs w:val="20"/>
          <w:color w:val="auto"/>
        </w:rPr>
      </w:pPr>
    </w:p>
    <w:p>
      <w:pPr>
        <w:ind w:right="480" w:firstLine="332"/>
        <w:spacing w:after="0" w:line="282" w:lineRule="auto"/>
        <w:tabs>
          <w:tab w:leader="none" w:pos="6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spacing w:after="0" w:line="140" w:lineRule="exact"/>
        <w:rPr>
          <w:sz w:val="20"/>
          <w:szCs w:val="20"/>
          <w:color w:val="auto"/>
        </w:rPr>
      </w:pPr>
    </w:p>
    <w:p>
      <w:pPr>
        <w:ind w:left="620" w:hanging="32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175" w:lineRule="exact"/>
        <w:rPr>
          <w:sz w:val="20"/>
          <w:szCs w:val="20"/>
          <w:color w:val="auto"/>
        </w:rPr>
      </w:pPr>
    </w:p>
    <w:p>
      <w:pPr>
        <w:ind w:left="-40" w:right="40" w:firstLine="332"/>
        <w:spacing w:after="0" w:line="282" w:lineRule="auto"/>
        <w:tabs>
          <w:tab w:leader="none" w:pos="6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5" w:lineRule="exact"/>
        <w:rPr>
          <w:sz w:val="20"/>
          <w:szCs w:val="20"/>
          <w:color w:val="auto"/>
        </w:rPr>
      </w:pPr>
    </w:p>
    <w:p>
      <w:pPr>
        <w:ind w:left="620" w:hanging="328"/>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171" w:lineRule="exact"/>
        <w:rPr>
          <w:rFonts w:ascii="Times New Roman" w:cs="Times New Roman" w:eastAsia="Times New Roman" w:hAnsi="Times New Roman"/>
          <w:sz w:val="18"/>
          <w:szCs w:val="18"/>
          <w:color w:val="auto"/>
        </w:rPr>
      </w:pPr>
    </w:p>
    <w:p>
      <w:pPr>
        <w:ind w:left="-4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07" w:lineRule="exact"/>
        <w:rPr>
          <w:rFonts w:ascii="Times New Roman" w:cs="Times New Roman" w:eastAsia="Times New Roman" w:hAnsi="Times New Roman"/>
          <w:sz w:val="18"/>
          <w:szCs w:val="18"/>
          <w:color w:val="auto"/>
        </w:rPr>
      </w:pPr>
    </w:p>
    <w:p>
      <w:pPr>
        <w:ind w:left="-40" w:right="66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07" w:lineRule="exact"/>
        <w:rPr>
          <w:rFonts w:ascii="Times New Roman" w:cs="Times New Roman" w:eastAsia="Times New Roman" w:hAnsi="Times New Roman"/>
          <w:sz w:val="18"/>
          <w:szCs w:val="18"/>
          <w:color w:val="auto"/>
        </w:rPr>
      </w:pPr>
    </w:p>
    <w:p>
      <w:pPr>
        <w:ind w:left="-40" w:right="24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07" w:lineRule="exact"/>
        <w:rPr>
          <w:rFonts w:ascii="Times New Roman" w:cs="Times New Roman" w:eastAsia="Times New Roman" w:hAnsi="Times New Roman"/>
          <w:sz w:val="18"/>
          <w:szCs w:val="18"/>
          <w:color w:val="auto"/>
        </w:rPr>
      </w:pPr>
    </w:p>
    <w:p>
      <w:pPr>
        <w:ind w:left="-40" w:right="80" w:firstLine="332"/>
        <w:spacing w:after="0" w:line="282" w:lineRule="auto"/>
        <w:tabs>
          <w:tab w:leader="none" w:pos="6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5" w:lineRule="exact"/>
        <w:rPr>
          <w:sz w:val="20"/>
          <w:szCs w:val="20"/>
          <w:color w:val="auto"/>
        </w:rPr>
      </w:pPr>
    </w:p>
    <w:p>
      <w:pPr>
        <w:ind w:left="620" w:hanging="32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171" w:lineRule="exact"/>
        <w:rPr>
          <w:rFonts w:ascii="Times New Roman" w:cs="Times New Roman" w:eastAsia="Times New Roman" w:hAnsi="Times New Roman"/>
          <w:sz w:val="18"/>
          <w:szCs w:val="18"/>
          <w:color w:val="auto"/>
        </w:rPr>
      </w:pPr>
    </w:p>
    <w:p>
      <w:pPr>
        <w:ind w:left="-40" w:right="420" w:firstLine="332"/>
        <w:spacing w:after="0" w:line="282" w:lineRule="auto"/>
        <w:tabs>
          <w:tab w:leader="none" w:pos="6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07" w:lineRule="exact"/>
        <w:rPr>
          <w:rFonts w:ascii="Times New Roman" w:cs="Times New Roman" w:eastAsia="Times New Roman" w:hAnsi="Times New Roman"/>
          <w:sz w:val="18"/>
          <w:szCs w:val="18"/>
          <w:color w:val="auto"/>
        </w:rPr>
      </w:pPr>
    </w:p>
    <w:p>
      <w:pPr>
        <w:ind w:left="-40" w:right="380" w:firstLine="332"/>
        <w:spacing w:after="0" w:line="282" w:lineRule="auto"/>
        <w:tabs>
          <w:tab w:leader="none" w:pos="6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financial results could be adversely impacted by global and national events, such as the COVID-19 pandemic, conflicts in Eastern Europe and the Middle East, increased tariffs, trade disputes and general economic downturns.</w:t>
      </w:r>
    </w:p>
    <w:p>
      <w:pPr>
        <w:spacing w:after="0" w:line="107" w:lineRule="exact"/>
        <w:rPr>
          <w:rFonts w:ascii="Times New Roman" w:cs="Times New Roman" w:eastAsia="Times New Roman" w:hAnsi="Times New Roman"/>
          <w:sz w:val="18"/>
          <w:szCs w:val="18"/>
          <w:color w:val="auto"/>
        </w:rPr>
      </w:pPr>
    </w:p>
    <w:p>
      <w:pPr>
        <w:ind w:left="620" w:hanging="328"/>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5" w:lineRule="exact"/>
        <w:rPr>
          <w:sz w:val="20"/>
          <w:szCs w:val="20"/>
          <w:color w:val="auto"/>
        </w:rPr>
      </w:pPr>
    </w:p>
    <w:p>
      <w:pPr>
        <w:ind w:left="-40" w:right="40" w:firstLine="332"/>
        <w:spacing w:after="0" w:line="282" w:lineRule="auto"/>
        <w:tabs>
          <w:tab w:leader="none" w:pos="6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07" w:lineRule="exact"/>
        <w:rPr>
          <w:rFonts w:ascii="Times New Roman" w:cs="Times New Roman" w:eastAsia="Times New Roman" w:hAnsi="Times New Roman"/>
          <w:sz w:val="18"/>
          <w:szCs w:val="18"/>
          <w:color w:val="auto"/>
        </w:rPr>
      </w:pPr>
    </w:p>
    <w:p>
      <w:pPr>
        <w:ind w:left="-40" w:right="140" w:firstLine="332"/>
        <w:spacing w:after="0" w:line="282" w:lineRule="auto"/>
        <w:tabs>
          <w:tab w:leader="none" w:pos="6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5" w:lineRule="exact"/>
        <w:rPr>
          <w:sz w:val="20"/>
          <w:szCs w:val="20"/>
          <w:color w:val="auto"/>
        </w:rPr>
      </w:pPr>
    </w:p>
    <w:p>
      <w:pPr>
        <w:ind w:left="620" w:hanging="328"/>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significant costs and management resources as a result of operating as a public company.</w:t>
      </w:r>
    </w:p>
    <w:p>
      <w:pPr>
        <w:spacing w:after="0" w:line="171" w:lineRule="exact"/>
        <w:rPr>
          <w:rFonts w:ascii="Times New Roman" w:cs="Times New Roman" w:eastAsia="Times New Roman" w:hAnsi="Times New Roman"/>
          <w:sz w:val="18"/>
          <w:szCs w:val="18"/>
          <w:color w:val="auto"/>
        </w:rPr>
      </w:pPr>
    </w:p>
    <w:p>
      <w:pPr>
        <w:ind w:left="-40" w:right="20" w:firstLine="332"/>
        <w:spacing w:after="0" w:line="282" w:lineRule="auto"/>
        <w:tabs>
          <w:tab w:leader="none" w:pos="6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3" w:name="page34"/>
    <w:bookmarkEnd w:id="33"/>
    <w:p>
      <w:pPr>
        <w:spacing w:after="0" w:line="140" w:lineRule="exact"/>
        <w:rPr>
          <w:sz w:val="20"/>
          <w:szCs w:val="20"/>
          <w:color w:val="auto"/>
        </w:rPr>
      </w:pPr>
    </w:p>
    <w:p>
      <w:pPr>
        <w:ind w:right="160" w:firstLine="332"/>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0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$16.6 million and $18.7 million during three months ended March 31, 2025 and 2024, respectively. As of March 31, 2025, we had an accumulated deficit of $289.6 million. These losses and accumulated deficit were primarily due to the substantial investments we made in the scientific and technological development of our Nautilus platform. While we anticipate certain cost savings associated with our workforce reductions,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Quarterly Report on Form 10-Q.</w:t>
      </w:r>
    </w:p>
    <w:p>
      <w:pPr>
        <w:spacing w:after="0" w:line="134" w:lineRule="exact"/>
        <w:rPr>
          <w:sz w:val="20"/>
          <w:szCs w:val="20"/>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2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which remains in the development stage and subject to scientific and technical validation.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36"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anticipate commercializing our Nautilus platform in three phases involving first collaboration with biopharmaceutical companies and key academic opinion leaders exploring utility of pre-commercial versions of the platform, during which we do not expect to recognize significant revenue, if any; secondly an early access limited release phase in which we expect to recognize limited revenue; and finally a broader commercial launch phase.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second, early access phase, we expect to work closely with early access collaborators to demonstrate a unique value proposition for our Nautilus platform. During this phase, we plan to provide early access to our collaborators with broad-scale and targeted analyses and profiling of samples analyzed in our facility or at the customers’ facilities and shared via a cloud platform. We believe there is significant interest in our platform for targeted proteoform analyses. As such, we expect to be working with our initial early access collaborators in this area, and to leverage our learnings from those collaborations for the benefit of both our broad-scale and targeted products and services. We do not anticipate that these activities will result in any material revenue. We expect this second phase to lead into the third phase of launch of our proteome analysis platform in late 2026 and subsequent broad commercialization thereafter. Voice of customer studies have suggested that there is market demand for a proteomics platform with specifications that are initially lower than what we have previously disclosed, for example, around characteristics such as sample input and proteome coverage. Consequently, as we balance our time to market goals with our evolving view of customer requirements, we are refining our initial launch specifications. We believe that subsequent consumable releases will enable our platform to meet or exceed our previously announced product specifications.</w:t>
      </w:r>
    </w:p>
    <w:p>
      <w:pPr>
        <w:spacing w:after="0" w:line="14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9"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2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8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Even if we are successful in entering into collaborations, the success of such collaborations will depend heavily on the efforts and activities of our collaborators.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a specific project;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products or may elect not to continue or renew development or</w:t>
      </w:r>
    </w:p>
    <w:p>
      <w:pPr>
        <w:spacing w:after="0" w:line="27" w:lineRule="exact"/>
        <w:rPr>
          <w:rFonts w:ascii="Times New Roman" w:cs="Times New Roman" w:eastAsia="Times New Roman" w:hAnsi="Times New Roman"/>
          <w:sz w:val="18"/>
          <w:szCs w:val="18"/>
          <w:color w:val="auto"/>
        </w:rPr>
      </w:pPr>
    </w:p>
    <w:p>
      <w:pPr>
        <w:ind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107"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07" w:lineRule="exact"/>
        <w:rPr>
          <w:rFonts w:ascii="Times New Roman" w:cs="Times New Roman" w:eastAsia="Times New Roman" w:hAnsi="Times New Roman"/>
          <w:sz w:val="18"/>
          <w:szCs w:val="18"/>
          <w:color w:val="auto"/>
        </w:rPr>
      </w:pPr>
    </w:p>
    <w:p>
      <w:pPr>
        <w:ind w:right="4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color w:val="auto"/>
        </w:rPr>
      </w:pPr>
    </w:p>
    <w:p>
      <w:pPr>
        <w:ind w:right="52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07"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6" w:name="page37"/>
    <w:bookmarkEnd w:id="36"/>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 if we are able to complete development of our Nautilus platform, we may not achieve or maintain significant commercial market acceptance.</w:t>
      </w:r>
    </w:p>
    <w:p>
      <w:pPr>
        <w:spacing w:after="0" w:line="175"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3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 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marketing and engagement initiatives to increase awareness of the capabilities of our Nautilus platform;</w:t>
      </w:r>
    </w:p>
    <w:p>
      <w:pPr>
        <w:spacing w:after="0" w:line="171" w:lineRule="exact"/>
        <w:rPr>
          <w:rFonts w:ascii="Times New Roman" w:cs="Times New Roman" w:eastAsia="Times New Roman" w:hAnsi="Times New Roman"/>
          <w:sz w:val="18"/>
          <w:szCs w:val="18"/>
          <w:color w:val="auto"/>
        </w:rPr>
      </w:pPr>
    </w:p>
    <w:p>
      <w:pPr>
        <w:ind w:right="220" w:firstLine="332"/>
        <w:spacing w:after="0" w:line="28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Nautilus platform to demonstrate reliable performance in intended use applications, in particular, when the platform is used by customers in their own research;</w:t>
      </w:r>
    </w:p>
    <w:p>
      <w:pPr>
        <w:spacing w:after="0" w:line="107" w:lineRule="exact"/>
        <w:rPr>
          <w:rFonts w:ascii="Times New Roman" w:cs="Times New Roman" w:eastAsia="Times New Roman" w:hAnsi="Times New Roman"/>
          <w:sz w:val="18"/>
          <w:szCs w:val="18"/>
          <w:color w:val="auto"/>
        </w:rPr>
      </w:pPr>
    </w:p>
    <w:p>
      <w:pPr>
        <w:ind w:firstLine="332"/>
        <w:spacing w:after="0" w:line="28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prospective customers to adopt new products and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Nautilus platform and whether it reliably provides significant advantages over alternative products and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Nautilus platform by biopharmaceutical companies, laboratories, academic institutions and others;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 instruments and consumables;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workflows, and solutions that meet customer requirements;</w:t>
      </w:r>
    </w:p>
    <w:p>
      <w:pPr>
        <w:spacing w:after="0" w:line="171" w:lineRule="exact"/>
        <w:rPr>
          <w:rFonts w:ascii="Times New Roman" w:cs="Times New Roman" w:eastAsia="Times New Roman" w:hAnsi="Times New Roman"/>
          <w:sz w:val="18"/>
          <w:szCs w:val="18"/>
          <w:color w:val="auto"/>
        </w:rPr>
      </w:pPr>
    </w:p>
    <w:p>
      <w:pPr>
        <w:ind w:right="200" w:firstLine="332"/>
        <w:spacing w:after="0" w:line="282" w:lineRule="auto"/>
        <w:tabs>
          <w:tab w:leader="none" w:pos="6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40"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1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21" w:lineRule="exact"/>
        <w:rPr>
          <w:sz w:val="20"/>
          <w:szCs w:val="20"/>
          <w:color w:val="auto"/>
        </w:rPr>
      </w:pPr>
    </w:p>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platform, we may utilize long lead time instrument system components, such as cameras and lasers, and as a result, it may impact our ability to consistently source such components. Additionally,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7"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develop these functions successfully, we will face a number of additional risks, including:</w:t>
      </w:r>
    </w:p>
    <w:p>
      <w:pPr>
        <w:spacing w:after="0" w:line="171" w:lineRule="exact"/>
        <w:rPr>
          <w:sz w:val="20"/>
          <w:szCs w:val="20"/>
          <w:color w:val="auto"/>
        </w:rPr>
      </w:pPr>
    </w:p>
    <w:p>
      <w:pPr>
        <w:ind w:right="20" w:firstLine="332"/>
        <w:spacing w:after="0" w:line="266"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2"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3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2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rely on single source suppliers for certain components and materials used in our Nautilus platform.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each component of our Nautilus platform for which we expect to employ such third party manufacturers,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life sciences technology market is highly competitive. If we fail to compete effectively, our business and results of operation will suffer.</w:t>
      </w:r>
    </w:p>
    <w:p>
      <w:pPr>
        <w:spacing w:after="0" w:line="175"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We face significant competition in the life sciences technology market. We currently compete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and Standard Biotools (formerly known as Somalogic). We also compete with a number of emerging companies that are developing proteomic products and solutions.</w:t>
      </w:r>
    </w:p>
    <w:p>
      <w:pPr>
        <w:spacing w:after="0" w:line="12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competitors are large publicly-traded companies, or are divisions of large publicly-traded companies, and enjoy a number of competitive advantages over us, including:</w:t>
      </w:r>
    </w:p>
    <w:p>
      <w:pPr>
        <w:spacing w:after="0" w:line="10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and brand recognition;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product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forces and more established distributor networks;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intellectual property portfolios;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established customer bases and relationships;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36"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05"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3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4" w:lineRule="exact"/>
        <w:rPr>
          <w:sz w:val="20"/>
          <w:szCs w:val="20"/>
          <w:color w:val="auto"/>
        </w:rPr>
      </w:pPr>
    </w:p>
    <w:p>
      <w:pPr>
        <w:ind w:right="7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engaged with a number of third party collaborators who assist us in co-development of certain aspects of the Nautilus platform, including, for example, certain affinity reagents and array chip substrates. Our agreements 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2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government funding of research and development, including any reductions in funding to the U.S. National Institutes of Health;</w:t>
      </w:r>
    </w:p>
    <w:p>
      <w:pPr>
        <w:spacing w:after="0" w:line="171" w:lineRule="exact"/>
        <w:rPr>
          <w:rFonts w:ascii="Times New Roman" w:cs="Times New Roman" w:eastAsia="Times New Roman" w:hAnsi="Times New Roman"/>
          <w:sz w:val="18"/>
          <w:szCs w:val="18"/>
          <w:color w:val="auto"/>
        </w:rPr>
      </w:pPr>
    </w:p>
    <w:p>
      <w:pPr>
        <w:ind w:right="20" w:firstLine="332"/>
        <w:spacing w:after="0" w:line="282" w:lineRule="auto"/>
        <w:tabs>
          <w:tab w:leader="none" w:pos="6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recessionary effects, inflationary pressures and volatility in the global financial markets, including with respect to any future financial institution failures;</w:t>
      </w:r>
    </w:p>
    <w:p>
      <w:pPr>
        <w:spacing w:after="0" w:line="107" w:lineRule="exact"/>
        <w:rPr>
          <w:rFonts w:ascii="Times New Roman" w:cs="Times New Roman" w:eastAsia="Times New Roman" w:hAnsi="Times New Roman"/>
          <w:sz w:val="18"/>
          <w:szCs w:val="18"/>
          <w:color w:val="auto"/>
        </w:rPr>
      </w:pPr>
    </w:p>
    <w:p>
      <w:pPr>
        <w:ind w:right="100" w:firstLine="332"/>
        <w:spacing w:after="0" w:line="282" w:lineRule="auto"/>
        <w:tabs>
          <w:tab w:leader="none" w:pos="6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affecting life science and Ag-Bio companies engaged in research and commercial activities;</w:t>
      </w:r>
    </w:p>
    <w:p>
      <w:pPr>
        <w:spacing w:after="0" w:line="169" w:lineRule="exact"/>
        <w:rPr>
          <w:rFonts w:ascii="Times New Roman" w:cs="Times New Roman" w:eastAsia="Times New Roman" w:hAnsi="Times New Roman"/>
          <w:sz w:val="18"/>
          <w:szCs w:val="18"/>
          <w:color w:val="auto"/>
        </w:rPr>
      </w:pPr>
    </w:p>
    <w:p>
      <w:pPr>
        <w:ind w:right="240" w:firstLine="332"/>
        <w:spacing w:after="0" w:line="284" w:lineRule="auto"/>
        <w:tabs>
          <w:tab w:leader="none" w:pos="6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availability of AI and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based research and development approaches, such as in drug discovery, that could impact funding allocations for R&amp;D in the pharmaceutical and biotechnology industry;</w:t>
      </w:r>
    </w:p>
    <w:p>
      <w:pPr>
        <w:spacing w:after="0" w:line="1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 cycles across various geographies and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on companies to consolidate operations and reduce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in the life science and Ag-Bio industries;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affecting research and development spending.</w:t>
      </w:r>
    </w:p>
    <w:p>
      <w:pPr>
        <w:spacing w:after="0" w:line="171"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104"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0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2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and commercialization activities relating to our Nautilus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and successfully maintain appropriate collaborations and derive revenue from those collaborations;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or governmental investigations involving us, our industry or both;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commercialize our Nautilus platform on our anticipated timeline.</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0" w:lineRule="exact"/>
        <w:rPr>
          <w:sz w:val="20"/>
          <w:szCs w:val="20"/>
          <w:color w:val="auto"/>
        </w:rPr>
      </w:pPr>
    </w:p>
    <w:p>
      <w:pPr>
        <w:ind w:right="14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we are able to commercialize, particularly our Nautilus platform, which may vary significantly from period to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adoption of our Nautilus platform in our target markets and our ability to expand into any future target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economic inflation may have on our costs for manufacturing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will be able to sell our Nautilus platform;</w:t>
      </w:r>
    </w:p>
    <w:p>
      <w:pPr>
        <w:spacing w:after="0" w:line="171" w:lineRule="exact"/>
        <w:rPr>
          <w:rFonts w:ascii="Times New Roman" w:cs="Times New Roman" w:eastAsia="Times New Roman" w:hAnsi="Times New Roman"/>
          <w:sz w:val="18"/>
          <w:szCs w:val="18"/>
          <w:color w:val="auto"/>
        </w:rPr>
      </w:pPr>
    </w:p>
    <w:p>
      <w:pPr>
        <w:ind w:right="32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mix of our sales between consumables, instruments and software, or changes in the manufacturing or sales costs related to our products;</w:t>
      </w:r>
    </w:p>
    <w:p>
      <w:pPr>
        <w:spacing w:after="0" w:line="107"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expenditures that we may incur to develop, commercialize or acquire additional products and technologies or for other purposes, such as the expansion of our facilities;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funding of life sciences research and development or changes that impact budgets and budget cycles;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spending patterns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when we recognize any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service, replacement and warranty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and/or unpredictable tariffs on our products, and/or on parts or materials that we source from foreign suppliers;</w:t>
      </w:r>
    </w:p>
    <w:p>
      <w:pPr>
        <w:spacing w:after="0" w:line="171" w:lineRule="exact"/>
        <w:rPr>
          <w:rFonts w:ascii="Times New Roman" w:cs="Times New Roman" w:eastAsia="Times New Roman" w:hAnsi="Times New Roman"/>
          <w:sz w:val="18"/>
          <w:szCs w:val="18"/>
          <w:color w:val="auto"/>
        </w:rPr>
      </w:pPr>
    </w:p>
    <w:p>
      <w:pPr>
        <w:ind w:right="120" w:firstLine="332"/>
        <w:spacing w:after="0" w:line="266"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in Eastern Europe and the Middle East, any potential future financial institution failures, and other national and global events on the economy, investment in life sciences and research industries, our business operations, and resources and operations of our customers, suppliers, and distributors; and</w:t>
      </w:r>
    </w:p>
    <w:p>
      <w:pPr>
        <w:spacing w:after="0" w:line="121"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industry, economic and market conditions and other factors, including factors unrelated to our operating performance or the operating performance of our competitors.</w:t>
      </w:r>
    </w:p>
    <w:p>
      <w:pPr>
        <w:spacing w:after="0" w:line="10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2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are a life sciences technology company with a limited operating history. We have not completed development of our Nautilus platform or any other products and have not generated any revenue to date. Our operations to date have been limited to developing our Nautilus platform. Our prospects must be considered in light of the uncertainties, risks, expenses, and difficulties frequently encountered by companies in their early stages of operations.</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3" w:name="page44"/>
    <w:bookmarkEnd w:id="43"/>
    <w:p>
      <w:pPr>
        <w:spacing w:after="0" w:line="14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additional capital to fund our development and commercialization plans.</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Quarterly Report on Form 10-Q. If our available resources and existing cash and cash equivalents and short-term investments are insufficient to satisfy our liquidity requirements, including because of the realization of other risks described in this Quarterly Report on Form 10-Q, we may be required to raise additional capital prior to such time through issuances of equity or convertible debt securities, enter into a credit facility or another form of third-party funding or seek other debt financing.</w:t>
      </w:r>
    </w:p>
    <w:p>
      <w:pPr>
        <w:spacing w:after="0" w:line="1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expect that we will need to raise additional capital in the future to expand our business, to pursue strategic investments, to take advantage of financing or acquisition opportunities or for other reasons, including:</w:t>
      </w:r>
    </w:p>
    <w:p>
      <w:pPr>
        <w:spacing w:after="0" w:line="1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development and marketing efforts of our Nautilus platform or any other future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sales and marketing and other commercialization efforts to drive market adoption of our Nautilus platform, once commercialized;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technologies into additional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licensing or defending against third party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investing in complementary technologies,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execution of our development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our investment in our sales, marketing, and distribution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our business that affect ongoing operating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business or commercialization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in our research and development spending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infrastructure and internal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right="580" w:firstLine="332"/>
        <w:spacing w:after="0" w:line="282" w:lineRule="auto"/>
        <w:tabs>
          <w:tab w:leader="none" w:pos="6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conflicts in Eastern Europe and the Middle East, changing interest rates, volatility in the global financial markets and general economic downturns;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be unable to raise additional funds or to enter into such agreements or arrangements on favorable terms, or at all. Our ability to raise additional funds may be adversely impacted by potential worsening global economic conditions and disruptions to, and volatility in, the credit and financial markets in the United States and worldwide, the conflicts in Eastern Europe and the Middle East,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33"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color w:val="auto"/>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volatility in the global financial markets.</w:t>
      </w:r>
    </w:p>
    <w:p>
      <w:pPr>
        <w:spacing w:after="0" w:line="12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volatility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spacing w:after="0" w:line="13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71" w:lineRule="exact"/>
        <w:rPr>
          <w:sz w:val="20"/>
          <w:szCs w:val="20"/>
          <w:color w:val="auto"/>
        </w:rPr>
      </w:pPr>
    </w:p>
    <w:p>
      <w:pPr>
        <w:ind w:right="2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2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2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spacing w:after="0" w:line="13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39"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0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3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10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40"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30" w:lineRule="exact"/>
        <w:rPr>
          <w:sz w:val="20"/>
          <w:szCs w:val="20"/>
          <w:color w:val="auto"/>
        </w:rPr>
      </w:pPr>
    </w:p>
    <w:p>
      <w:pPr>
        <w:jc w:val="both"/>
        <w:ind w:right="4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40"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0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33"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spacing w:after="0" w:line="122" w:lineRule="exact"/>
        <w:rPr>
          <w:sz w:val="20"/>
          <w:szCs w:val="20"/>
          <w:color w:val="auto"/>
        </w:rPr>
      </w:pPr>
    </w:p>
    <w:p>
      <w:pPr>
        <w:jc w:val="both"/>
        <w:ind w:right="100" w:firstLine="324"/>
        <w:spacing w:after="0" w:line="272"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defense of these matters can be time consuming, costly to defend in litigation, divert management’s attention and resources, damage our reputation and brand and cause us to incur significant expenses or make substantial payments.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w:t>
      </w:r>
    </w:p>
    <w:p>
      <w:pPr>
        <w:spacing w:after="0" w:line="175" w:lineRule="exact"/>
        <w:rPr>
          <w:sz w:val="20"/>
          <w:szCs w:val="20"/>
          <w:color w:val="auto"/>
        </w:rPr>
      </w:pPr>
    </w:p>
    <w:p>
      <w:pPr>
        <w:ind w:right="80"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3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04"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0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40"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1"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05"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Nautilus platform for an adequate amount of time.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30" w:lineRule="exact"/>
        <w:rPr>
          <w:sz w:val="20"/>
          <w:szCs w:val="20"/>
          <w:color w:val="auto"/>
        </w:rPr>
      </w:pPr>
    </w:p>
    <w:p>
      <w:pPr>
        <w:jc w:val="both"/>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25" w:lineRule="exact"/>
        <w:rPr>
          <w:sz w:val="20"/>
          <w:szCs w:val="20"/>
          <w:color w:val="auto"/>
        </w:rPr>
      </w:pPr>
    </w:p>
    <w:p>
      <w:pPr>
        <w:ind w:right="9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10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3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3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31"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05"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4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right="16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07" w:lineRule="exact"/>
        <w:rPr>
          <w:rFonts w:ascii="Times New Roman" w:cs="Times New Roman" w:eastAsia="Times New Roman" w:hAnsi="Times New Roman"/>
          <w:sz w:val="18"/>
          <w:szCs w:val="18"/>
          <w:color w:val="auto"/>
        </w:rPr>
      </w:pPr>
    </w:p>
    <w:p>
      <w:pPr>
        <w:ind w:right="14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license or may own in the future;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spacing w:after="0" w:line="171" w:lineRule="exact"/>
        <w:rPr>
          <w:rFonts w:ascii="Times New Roman" w:cs="Times New Roman" w:eastAsia="Times New Roman" w:hAnsi="Times New Roman"/>
          <w:sz w:val="18"/>
          <w:szCs w:val="18"/>
          <w:color w:val="auto"/>
        </w:rPr>
      </w:pPr>
    </w:p>
    <w:p>
      <w:pPr>
        <w:ind w:right="6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71" w:lineRule="exact"/>
        <w:rPr>
          <w:rFonts w:ascii="Times New Roman" w:cs="Times New Roman" w:eastAsia="Times New Roman" w:hAnsi="Times New Roman"/>
          <w:sz w:val="18"/>
          <w:szCs w:val="18"/>
          <w:color w:val="auto"/>
        </w:rPr>
      </w:pPr>
    </w:p>
    <w:p>
      <w:pPr>
        <w:ind w:right="16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color w:val="auto"/>
        </w:rPr>
      </w:pPr>
    </w:p>
    <w:p>
      <w:pPr>
        <w:ind w:right="80" w:firstLine="332"/>
        <w:spacing w:after="0" w:line="282" w:lineRule="auto"/>
        <w:tabs>
          <w:tab w:leader="none" w:pos="6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08" w:lineRule="exact"/>
        <w:rPr>
          <w:sz w:val="20"/>
          <w:szCs w:val="20"/>
          <w:color w:val="auto"/>
        </w:rPr>
      </w:pPr>
    </w:p>
    <w:p>
      <w:pPr>
        <w:ind w:left="340" w:right="700"/>
        <w:spacing w:after="0" w:line="435"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materially adversely affect our business, financial condition, results of operations and prospects. </w:t>
      </w:r>
      <w:r>
        <w:rPr>
          <w:rFonts w:ascii="Times New Roman" w:cs="Times New Roman" w:eastAsia="Times New Roman" w:hAnsi="Times New Roman"/>
          <w:sz w:val="18"/>
          <w:szCs w:val="18"/>
          <w:b w:val="1"/>
          <w:bCs w:val="1"/>
          <w:color w:val="auto"/>
        </w:rPr>
        <w:t>Risks Related to Litigation</w:t>
      </w:r>
    </w:p>
    <w:p>
      <w:pPr>
        <w:spacing w:after="0" w:line="2"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22"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achieve market acceptance or expansion of our product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orders and delay in order fulfillment;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replacements;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new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from our manufacturing and research and development departments into our service department; and</w:t>
      </w:r>
    </w:p>
    <w:p>
      <w:pPr>
        <w:spacing w:after="0" w:line="171" w:lineRule="exact"/>
        <w:rPr>
          <w:rFonts w:ascii="Times New Roman" w:cs="Times New Roman" w:eastAsia="Times New Roman" w:hAnsi="Times New Roman"/>
          <w:sz w:val="18"/>
          <w:szCs w:val="18"/>
          <w:color w:val="auto"/>
        </w:rPr>
      </w:pPr>
    </w:p>
    <w:p>
      <w:pPr>
        <w:ind w:left="340" w:right="80" w:hanging="8"/>
        <w:spacing w:after="0" w:line="435" w:lineRule="auto"/>
        <w:tabs>
          <w:tab w:leader="none" w:pos="6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we could face substantial liabilities that exceed our resources.</w:t>
      </w:r>
    </w:p>
    <w:p>
      <w:pPr>
        <w:spacing w:after="0" w:line="175"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5" w:name="page56"/>
    <w:bookmarkEnd w:id="5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to seek other partners, any of which could adversely impact our business, financial condition and results of operations.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171"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which incorporates by reference certain requirements under ISO 13485, will go into effect on February 2, 2026.</w:t>
      </w:r>
    </w:p>
    <w:p>
      <w:pPr>
        <w:spacing w:after="0" w:line="13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2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31" w:lineRule="exact"/>
        <w:rPr>
          <w:sz w:val="20"/>
          <w:szCs w:val="20"/>
          <w:color w:val="auto"/>
        </w:rPr>
      </w:pPr>
    </w:p>
    <w:p>
      <w:pPr>
        <w:ind w:right="1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2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4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(“IVDs”) are devices under the Federal Food, Drug, and Cosmetic Act, including when the manufacturer of the IVD is a laboratory, and phases out its enforcement discretion for LDTs. On March 31, 2025, the U.S. District Court for the Eastern District of Texas vacated and set aside the FDA LDT Final Rule in its entirety. Further, in June 2024, the U.S. Supreme Court overruled the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which can lead to uncertainties in the industry.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4"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3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Changes in the leadership of FDA and other federal agencies under the Trump administration, including mass layoffs and potential changes in future policies and regulations that can impact our industry, have resulted in significant uncertainties in the industry, including product developers and businesses of customers who use our products. Reduction in federal funding for research could negatively impact our customers and thus reduce the demand for our products. To the extent we are required to conduct clinical trials or to obtain regulatory authorization for our marketed products or future products due to changes in the regulatory requirements, delays in the commencement of our product launches or our changes to our current marketing strategy could significantly increase our costs and delay our commercialization plans, which could harm our financial prospects.</w:t>
      </w:r>
    </w:p>
    <w:p>
      <w:pPr>
        <w:spacing w:after="0" w:line="129"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2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3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consumers and provide such consumers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have taken or will take effect in 2025; and Indiana, Rhode Island and Kentucky have enacted similar laws that will take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addition, laws in all 50 U.S. states require businesses to provide notice to consumers whose personal information has been disclosed as a result of a data breach. State laws are changing rapidly and there is discussion in the U.S. Congress of comprehensive federal data privacy legislation. It is possible that these or other laws, regulations, or other actual or asserted obligations relating to privacy or security matters may be interpreted and applied in a manner that is inconsistent with our practices. If so, this could result in government-imposed fines or orders requiring that we change our practices, which could adversely affect our business..</w:t>
      </w:r>
    </w:p>
    <w:p>
      <w:pPr>
        <w:spacing w:after="0" w:line="14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43" w:lineRule="exact"/>
        <w:rPr>
          <w:sz w:val="20"/>
          <w:szCs w:val="20"/>
          <w:color w:val="auto"/>
        </w:rPr>
      </w:pPr>
    </w:p>
    <w:p>
      <w:pPr>
        <w:ind w:right="120" w:firstLine="324"/>
        <w:spacing w:after="0" w:line="271" w:lineRule="auto"/>
        <w:rPr>
          <w:sz w:val="20"/>
          <w:szCs w:val="20"/>
          <w:color w:val="auto"/>
        </w:rPr>
      </w:pPr>
      <w:r>
        <w:rPr>
          <w:rFonts w:ascii="Times New Roman" w:cs="Times New Roman" w:eastAsia="Times New Roman" w:hAnsi="Times New Roman"/>
          <w:sz w:val="17"/>
          <w:szCs w:val="17"/>
          <w:color w:val="auto"/>
        </w:rPr>
        <w:t>We are in the process of evaluating compliance needs but do not currently have in place formal policies and procedures related to the storage, collection and processing of information, and have not conducted internal or external data privacy audits to fully assess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 asserted obligations relating to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privacy and security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and machine learning technologies may result in reputational harm or liability.</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37"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commercialize our Nautilus platform outside of the United States, our international business could expose us to business, tax, regulatory, political, operational, financial, and economic risks associated with doing business outside of the United States.</w:t>
      </w:r>
    </w:p>
    <w:p>
      <w:pPr>
        <w:spacing w:after="0" w:line="10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If we commercialize our Nautilus platform outside of the United States, our international business may be adversely affected by changing economic, political and regulatory conditions in foreign countries, as well as changes resulting from new political administrations in the United States. Engaging in international business inherently involves a number of difficulties and risks, including:</w:t>
      </w:r>
    </w:p>
    <w:p>
      <w:pPr>
        <w:spacing w:after="0" w:line="12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existing and changing foreign regulatory requirements and laws;</w:t>
      </w:r>
    </w:p>
    <w:p>
      <w:pPr>
        <w:spacing w:after="0" w:line="171" w:lineRule="exact"/>
        <w:rPr>
          <w:rFonts w:ascii="Times New Roman" w:cs="Times New Roman" w:eastAsia="Times New Roman" w:hAnsi="Times New Roman"/>
          <w:sz w:val="18"/>
          <w:szCs w:val="18"/>
          <w:color w:val="auto"/>
        </w:rPr>
      </w:pPr>
    </w:p>
    <w:p>
      <w:pPr>
        <w:ind w:right="440" w:firstLine="332"/>
        <w:spacing w:after="0" w:line="282" w:lineRule="auto"/>
        <w:tabs>
          <w:tab w:leader="none" w:pos="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such as the Foreign Corrupt Practices Act, and other U.S. federal laws and regulations established by the office of Foreign Asset Control;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or import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longer payment cycles and difficulties in enforcing agreements and collecting receivables through certain foreign legal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volatility;</w:t>
      </w:r>
    </w:p>
    <w:p>
      <w:pPr>
        <w:spacing w:after="0" w:line="171" w:lineRule="exact"/>
        <w:rPr>
          <w:rFonts w:ascii="Times New Roman" w:cs="Times New Roman" w:eastAsia="Times New Roman" w:hAnsi="Times New Roman"/>
          <w:sz w:val="18"/>
          <w:szCs w:val="18"/>
          <w:color w:val="auto"/>
        </w:rPr>
      </w:pPr>
    </w:p>
    <w:p>
      <w:pPr>
        <w:ind w:right="400" w:firstLine="332"/>
        <w:spacing w:after="0" w:line="282" w:lineRule="auto"/>
        <w:tabs>
          <w:tab w:leader="none" w:pos="6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social, economic, and political conditions or in laws, regulations and policies governing foreign trade, tariffs, intellectual property, manufacturing, research and development, and investment both domestically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well as in the other countries and jurisdictions in which we operate and into which we may sell our products including as a result of the separation of the United Kingdom from the European Union (Brexit);</w:t>
      </w:r>
    </w:p>
    <w:p>
      <w:pPr>
        <w:spacing w:after="0" w:line="108"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tariffs, customs charges, bureaucratic requirements and other trade barriers;</w:t>
      </w:r>
    </w:p>
    <w:p>
      <w:pPr>
        <w:spacing w:after="0" w:line="171" w:lineRule="exact"/>
        <w:rPr>
          <w:rFonts w:ascii="Times New Roman" w:cs="Times New Roman" w:eastAsia="Times New Roman" w:hAnsi="Times New Roman"/>
          <w:sz w:val="18"/>
          <w:szCs w:val="18"/>
          <w:color w:val="auto"/>
        </w:rPr>
      </w:pPr>
    </w:p>
    <w:p>
      <w:pPr>
        <w:ind w:right="340" w:firstLine="332"/>
        <w:spacing w:after="0" w:line="282" w:lineRule="auto"/>
        <w:tabs>
          <w:tab w:leader="none" w:pos="6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 including compliance with diverse and complex local employment laws and practices;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protecting, maintaining, enforcing or procuring intellectual property rights.</w:t>
      </w:r>
    </w:p>
    <w:p>
      <w:pPr>
        <w:spacing w:after="0" w:line="171"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0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example, on January 15, 2025, the United States Department of Commerce Bureau of Industry and Security (“BIS”) issued an Interim Final Rule (“IFR”) implementing targeted export controls on certain laboratory instruments.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 and certain liquid chromatography mass spectrometers (LC/MS) specially designed for proteomics. While the Company’s platform would not be not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spacing w:after="0" w:line="13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we commercialize our Nautilus platform outside of the United States, we may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31" w:lineRule="exact"/>
        <w:rPr>
          <w:sz w:val="20"/>
          <w:szCs w:val="20"/>
          <w:color w:val="auto"/>
        </w:rPr>
      </w:pPr>
    </w:p>
    <w:p>
      <w:pPr>
        <w:ind w:right="20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expand our development and commercialization activities outside of the United States, we will be subject to an increased risk of conducting activities in a manner that violates the U.S. Foreign Corrupt Practices Act and similar laws. If that occurs, we may be subject to civil or criminal penalties and other adverse consequences which could have a material adverse effect on our business, financial condition, results of operations and growth prospects.</w:t>
      </w:r>
    </w:p>
    <w:p>
      <w:pPr>
        <w:spacing w:after="0" w:line="126"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 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spacing w:after="0" w:line="13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spacing w:after="0" w:line="1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spacing w:after="0" w:line="1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spacing w:after="0" w:line="129"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0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38"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0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4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32"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technology could be reduced by legal, social and ethical concerns surrounding the use of genetic information and biological materials.</w:t>
      </w:r>
    </w:p>
    <w:p>
      <w:pPr>
        <w:spacing w:after="0" w:line="10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29"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or changes in national laws or policies to protect or promote domestic interests and/or address foreign competition could have an adverse effect on our business and financial condition.</w:t>
      </w:r>
    </w:p>
    <w:p>
      <w:pPr>
        <w:spacing w:after="0" w:line="10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71"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10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 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spacing w:after="0" w:line="13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detect, appropriately react and respond to, or implement effective preventative measures against, all security incidents.</w:t>
      </w:r>
    </w:p>
    <w:p>
      <w:pPr>
        <w:spacing w:after="0" w:line="14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 result in significant penalties and fines. Furthermore, defending a suit, regardless of its merit, could be costly, divert 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incidents, and if securities analysts or investors perceive these announcements to be negative, it could, among other things, have a material adverse effect on the price of our Common Stock.</w:t>
      </w:r>
    </w:p>
    <w:p>
      <w:pPr>
        <w:spacing w:after="0" w:line="10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March 31, 2025, we had 134 employees. While in the first quarter of 2025 we implemented our workforce reductions,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spacing w:after="0" w:line="13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10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2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 Workforce reductions, such as the workforce reduction implemented during the first quarter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spacing w:after="0" w:line="12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22" w:lineRule="exact"/>
        <w:rPr>
          <w:sz w:val="20"/>
          <w:szCs w:val="20"/>
          <w:color w:val="auto"/>
        </w:rPr>
      </w:pPr>
    </w:p>
    <w:p>
      <w:pPr>
        <w:ind w:right="1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as a result of multiple global events, including the COVID-19 pandemic, the conflicts in Eastern Europe and the Middle East, changing interest rates, instability in the global financial markets, and general economic downturns, could adversely affect our ability to raise capital and our business, results of operations and financial condition.</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While the potential economic impact brought by multiple adverse global circumstances, such as the COVID-19 pandemic, conflicts in Eastern Europe and the Middle East, potential uncertainty related to Taiwan and its relationship with China, changing interest rates and general economic downturns, and the collapse of Silicon Valley Bank and other financial institutions in March 2023, and related volatility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platform. Tariffs imposed upon products and materials used in manufacturing our products, or responsive tariffs imposed upon our exported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could impact our costs of manufacturing and ability to sell products in foreign countries, which could have a negative impact on our business.</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 changes in U.S. government spending resulting from new political administrations 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March 31, 2025, we had cash, cash equivalents and investments of $192.8 million, consisting of U.S. treasury securities, mutual funds, commercial paper, and agency securities. Any default by the U.S. government or credit downgrade of the securities we hold could impact the liquidity or valuation of our investments.</w:t>
      </w:r>
    </w:p>
    <w:p>
      <w:pPr>
        <w:spacing w:after="0" w:line="133"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supply chain interruptions could adversely affect our ability to develop and commercialize our products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be subject to supply chain interruptions. Current or future supply chain interruptions that could be exacerbated by global political tensions, such as the situation in Eastern Europe, increased conflict in the Middle East, uncertainty related to Taiwan and its relationship with China, and resurgent or new global pandemics could negatively impact our ability to further develop our products or to manufacture and deliver our products or services, which could negatively impact our timelines and business results. For example, we have experienced some supply disruptions due to the COVID-19 pandemic, including closures at certain chip manufacturers, which led to extended lead times for certain chips; diversion of certain lab materials needed to support COVID-19 relief efforts; and lower availability of certain reagents, and delays similar to those we experienced during the COVID-19 pandemic could impact us if they recur or are exacerbated due to the situations in Eastern Europe and/or the Middle East.</w:t>
      </w:r>
    </w:p>
    <w:p>
      <w:pPr>
        <w:spacing w:after="0" w:line="13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Further,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130"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0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Seattle, Washington, facility primarily houses our corporate executive team and our software development operations, while our facilities in San Carlos and San Diego, California primarily house our research and development teams.</w:t>
      </w:r>
    </w:p>
    <w:p>
      <w:pPr>
        <w:spacing w:after="0" w:line="10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facilities in Seattle, San Carlos and San Diego are vulnerable to natural disasters, public health crises,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5"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0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never develop or be sustained.</w:t>
      </w:r>
    </w:p>
    <w:p>
      <w:pPr>
        <w:spacing w:after="0" w:line="17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which could result in substantial losses for investors.</w:t>
      </w:r>
    </w:p>
    <w:p>
      <w:pPr>
        <w:spacing w:after="0" w:line="17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could be subject to wide fluctuations in response to various factors, some of which are beyond our control.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price of our Common Stock may fluctuate due to a variety of factors, including:</w:t>
      </w:r>
    </w:p>
    <w:p>
      <w:pPr>
        <w:spacing w:after="0" w:line="171" w:lineRule="exact"/>
        <w:rPr>
          <w:sz w:val="20"/>
          <w:szCs w:val="20"/>
          <w:color w:val="auto"/>
        </w:rPr>
      </w:pPr>
    </w:p>
    <w:p>
      <w:pPr>
        <w:ind w:right="80" w:firstLine="332"/>
        <w:spacing w:after="0" w:line="282" w:lineRule="auto"/>
        <w:tabs>
          <w:tab w:leader="none" w:pos="6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launch and commercialization of our products and degree to which such launch and commercialization meets the expectations of securities analysts and investors;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fluctuations in our quarterly and annual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being more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discontinuation of any of our product development and research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right="280" w:firstLine="332"/>
        <w:spacing w:after="0" w:line="282"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existing or new competitive businesses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products of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involving us, our industry or both;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variations in market conditions in the life sciences technology sector generally, or the proteomics or genomics sectors specifically;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research and development programs or products;</w:t>
      </w:r>
    </w:p>
    <w:p>
      <w:pPr>
        <w:spacing w:after="0" w:line="171" w:lineRule="exact"/>
        <w:rPr>
          <w:rFonts w:ascii="Times New Roman" w:cs="Times New Roman" w:eastAsia="Times New Roman" w:hAnsi="Times New Roman"/>
          <w:sz w:val="18"/>
          <w:szCs w:val="18"/>
          <w:color w:val="auto"/>
        </w:rPr>
      </w:pPr>
    </w:p>
    <w:p>
      <w:pPr>
        <w:ind w:firstLine="332"/>
        <w:spacing w:after="0" w:line="266" w:lineRule="auto"/>
        <w:tabs>
          <w:tab w:leader="none" w:pos="6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financial results meet the expectations of securities analysts or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expectation of additional financing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by our insiders or other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pandemics, natural disasters or major catastrophic events.</w:t>
      </w:r>
    </w:p>
    <w:p>
      <w:pPr>
        <w:spacing w:after="0" w:line="17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17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listed on Nasdaq. Nasdaq rules impose certain continued listing requirements, including a minimum $1.00 bid price (the “Minimum Bid Price Requirement”), corporate governance standards and number of public stockholders. As of April 24, 2025, the closing price of our common stock was $0.71. There can be no assurance that our stock price will meet the Minimum Bid Price Requirement or that we will maintain compliance with any other of Nasdaq’s continued listing requirements.</w:t>
      </w: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If the minimum bid price is below $1.00 for a period of more than 30 consecutive trading days, the listed company will fail to be in compliance with Nasdaq’s listing rules and, if the listed company does not regain compliance within a 180-day grace period, it may be subject to delisting. In order to regain compliance, the bid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of the listed company’s common stock must close at a price of at least $1.00 per share for a minimum of 10 consecutive trading days within a 180-day grace period. In the event a listed company does not regain compliance by the end of the Compliance Period, that company may be eligible for additional time to regain compliance (the “Second Compliance Period”) pursuant to Nasdaq Listing Rule 5810(c)(3)(A)(i) by transferring to the Nasdaq Capital Market. To qualify for the Second Compliance Period, the listed company would need to submit a transfer application and pay an application fee and, in addition, would be required to meet the continued listing requirement for the market value of its publicly held shares and all other initial listing standards for Nasdaq, with the exception of the bid price requirement, and will need to provide written notice of its intention to cure the deficiency during the Second Compliance Period, by effecting a reverse stock split, if necessary. There can be no assurance that a listed company will be eligible for the Second Compliance Period, if applicable, or that the Nasdaq Listing Qualifications Staff would grant that company’s request for continued listing subsequent to any delisting notification. If the listed company fails to regain compliance, its common stock would be subject to delisting.</w:t>
      </w:r>
    </w:p>
    <w:p>
      <w:pPr>
        <w:spacing w:after="0" w:line="13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0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71" w:lineRule="exact"/>
        <w:rPr>
          <w:rFonts w:ascii="Times New Roman" w:cs="Times New Roman" w:eastAsia="Times New Roman" w:hAnsi="Times New Roman"/>
          <w:sz w:val="18"/>
          <w:szCs w:val="18"/>
          <w:color w:val="auto"/>
        </w:rPr>
      </w:pPr>
    </w:p>
    <w:p>
      <w:pPr>
        <w:ind w:right="180" w:firstLine="332"/>
        <w:spacing w:after="0" w:line="282" w:lineRule="auto"/>
        <w:tabs>
          <w:tab w:leader="none" w:pos="6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 and analyst coverage;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67"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0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March 31, 2025, our directors, executive officers, holders of more than 5% of our outstanding shares of Common Stock and their respective affiliates beneficially owned, collectively, approximately 69% of the outstanding shares of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29"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the perception of future sales of a substantial number of shares of our Common Stock could cause the market price of our Common Stock to drop significantly, even if our business is doing well.</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08"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36"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proceeds to us from our “at the market” equity offering program and may apply the proceeds to uses that do not improve our operating results or the value of your securities.</w:t>
      </w:r>
    </w:p>
    <w:p>
      <w:pPr>
        <w:spacing w:after="0" w:line="1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platform other research and development activities, and commercialization of our Nautilus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dividends for the foreseeable future. Investors may never obtain a return on their investment.</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26"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 against any person in connection with any offering of the Company’s securities, including any auditor, underwriter, expert, control person or other defendant.</w:t>
      </w:r>
    </w:p>
    <w:p>
      <w:pPr>
        <w:spacing w:after="0" w:line="12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4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36"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29" w:lineRule="exact"/>
        <w:rPr>
          <w:sz w:val="20"/>
          <w:szCs w:val="20"/>
          <w:color w:val="auto"/>
        </w:rPr>
      </w:pPr>
    </w:p>
    <w:p>
      <w:pPr>
        <w:ind w:right="24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36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certificate of incorporation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right="28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stockholder-proposed amendment to certain provisions of our bylaws require the approval of stockholders holding two-thirds of the voting power of our then outstanding capital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only able to take action at a meeting of stockholders and are not able to take action by written consent for any matter;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are able to be filled only by our board of directors and not by stockholders;</w:t>
      </w:r>
    </w:p>
    <w:p>
      <w:pPr>
        <w:spacing w:after="0" w:line="171" w:lineRule="exact"/>
        <w:rPr>
          <w:rFonts w:ascii="Times New Roman" w:cs="Times New Roman" w:eastAsia="Times New Roman" w:hAnsi="Times New Roman"/>
          <w:sz w:val="18"/>
          <w:szCs w:val="18"/>
          <w:color w:val="auto"/>
        </w:rPr>
      </w:pPr>
    </w:p>
    <w:p>
      <w:pPr>
        <w:ind w:right="30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 of our board of directors, our chief executive officer, our president or a majority of our board of directors are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litigation against us can only be brought in Delaware;</w:t>
      </w:r>
    </w:p>
    <w:p>
      <w:pPr>
        <w:spacing w:after="0" w:line="171" w:lineRule="exact"/>
        <w:rPr>
          <w:rFonts w:ascii="Times New Roman" w:cs="Times New Roman" w:eastAsia="Times New Roman" w:hAnsi="Times New Roman"/>
          <w:sz w:val="18"/>
          <w:szCs w:val="18"/>
          <w:color w:val="auto"/>
        </w:rPr>
      </w:pPr>
    </w:p>
    <w:p>
      <w:pPr>
        <w:ind w:right="12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07" w:lineRule="exact"/>
        <w:rPr>
          <w:rFonts w:ascii="Times New Roman" w:cs="Times New Roman" w:eastAsia="Times New Roman" w:hAnsi="Times New Roman"/>
          <w:sz w:val="18"/>
          <w:szCs w:val="18"/>
          <w:color w:val="auto"/>
        </w:rPr>
      </w:pPr>
    </w:p>
    <w:p>
      <w:pPr>
        <w:ind w:right="120" w:firstLine="332"/>
        <w:spacing w:after="0" w:line="282"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0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our change in control. These provisions could also discourage proxy contests and make it more difficult for stockholders to elect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their choosing and to cause us to take other corporate actions they desire, any of which, under certain circumstances, could limit the opportunity for our stockholders to receive a premium for their shares of our capital stock.</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costs and management resources as a result of operating as a public company.</w:t>
      </w:r>
    </w:p>
    <w:p>
      <w:pPr>
        <w:spacing w:after="0" w:line="1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spacing w:after="0" w:line="1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30" w:lineRule="exact"/>
        <w:rPr>
          <w:sz w:val="20"/>
          <w:szCs w:val="20"/>
          <w:color w:val="auto"/>
        </w:rPr>
      </w:pPr>
    </w:p>
    <w:p>
      <w:pPr>
        <w:ind w:left="340" w:right="40"/>
        <w:spacing w:after="0" w:line="3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have broad discretion in the use of the net proceeds from the Business Combination and the PIPE Financing and may not use them effectively. </w:t>
      </w:r>
      <w:r>
        <w:rPr>
          <w:rFonts w:ascii="Times New Roman" w:cs="Times New Roman" w:eastAsia="Times New Roman" w:hAnsi="Times New Roman"/>
          <w:sz w:val="17"/>
          <w:szCs w:val="17"/>
          <w:color w:val="auto"/>
        </w:rPr>
        <w:t>We cannot specify with certainty the particular uses of the net proceeds we received from the Business Combination and the PIPE Financing. Our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and certain other tax attributes to offset future taxable income may be subject to certain limitations.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2024, we had U.S. federal NOLs of $105.6 million, of which $105.1 million do not expire, and state NOLs of $150.4 million that will begin to expire in 2037.</w:t>
      </w:r>
    </w:p>
    <w:p>
      <w:pPr>
        <w:spacing w:after="0" w:line="13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4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could adversely impact our operating results.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future business, cash flows, results of operations or financial condition.</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may in the future be subject to the tax laws, regulations, and policies of several taxing jurisdictions. Changes in tax laws, as well as other factors, could cause us to experience fluctuations in our tax obligations and effective tax rates and otherwise adversely affect our tax positions and/or our tax liabilities. For example, many countries and local jurisdictions and organizations such as the Organisation for Economic Co-operation and Development have proposed or implemented new tax laws or changes to existing tax laws, including additional taxes on payroll or employees and a proposed 15% global minimum tax (Pillar 2) that is being adopted by several countries with implementation beginning in 2024. Any new or changes to tax laws could adversely affect our future effective tax rate, operating results, tax credits or incentives or tax payments, which could have a material adverse effect on our future business, cash flows, results of operations or financial condition if we expand internationally. For example, the United States recently enacted the Inflation Reduction Act of 2022, which implements, among other changes, a 1% non-deductible excise tax on certain stock buybacks effective January 1, 2023. Further, on January 1, 2022, a provision of the Tax Cuts and Jobs Act of 2017 went into effect that eliminates the option to deduct research and development costs in the year incurred and instead requires taxpayers to amortize such costs over five years for domestic and 15 years for foreign costs. Such changes, among others, may adversely affect our future effective tax rate, business, cash flows, results of operations and financial condition.</w:t>
      </w:r>
    </w:p>
    <w:p>
      <w:pPr>
        <w:spacing w:after="0" w:line="134"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0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3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or a “smaller reporting company,”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are an “emerging growth company” or a “smaller reporting company,” our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registered public accounting firm will not be required to attest to the effectiveness of our internal controls over financial reporting pursuant to Section 404(b) of SOX.</w:t>
      </w:r>
    </w:p>
    <w:p>
      <w:pPr>
        <w:spacing w:after="0" w:line="10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independent assessment of the effectiveness of our internal controls could detect problems that our management’s assessment might not identify.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Undetected material weaknesses in our internal controls could lead to financial statement restatements and require us to incur the expense of remediation.</w:t>
      </w:r>
    </w:p>
    <w:p>
      <w:pPr>
        <w:spacing w:after="0" w:line="149"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6"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Exchange Act, after we cease to qualify as an emerging growth company, we will continue to be permitted to make certain reduced disclosures in our periodic reports and other documents that we file with the SEC and will not be required to comply with the auditor attestation requirements of Section 404 of SOX.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2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0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125"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10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Investor advocacy groups, proxy advisory services, investment funds, institutional investors, stockholders, and customers are increasingly focused on environmental, social, and governance (“ESG”) practices of companies. Additionally, public interest and legislative pressure related to public companies’ ESG practices continues to grow. For example, the SEC recently adopted final rules regarding climate-related disclosures in public companies’ periodic reporting.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40" w:right="1099" w:bottom="1440" w:gutter="0" w:footer="0" w:header="0"/>
        </w:sectPr>
      </w:pPr>
    </w:p>
    <w:bookmarkStart w:id="77" w:name="page78"/>
    <w:bookmarkEnd w:id="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60"/>
          </w:cols>
          <w:pgMar w:left="320" w:top="1440" w:right="419" w:bottom="1440" w:gutter="0" w:footer="0" w:header="0"/>
        </w:sectPr>
      </w:pPr>
    </w:p>
    <w:p>
      <w:pPr>
        <w:spacing w:after="0" w:line="2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000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4"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09">
        <w:r>
          <w:rPr>
            <w:rFonts w:ascii="Times New Roman" w:cs="Times New Roman" w:eastAsia="Times New Roman" w:hAnsi="Times New Roman"/>
            <w:sz w:val="16"/>
            <w:szCs w:val="16"/>
            <w:u w:val="single" w:color="auto"/>
            <w:color w:val="0000FF"/>
          </w:rPr>
          <w:t>3.1</w:t>
        </w:r>
      </w:hyperlink>
    </w:p>
    <w:p>
      <w:pPr>
        <w:spacing w:after="0" w:line="221" w:lineRule="exact"/>
        <w:rPr>
          <w:sz w:val="20"/>
          <w:szCs w:val="20"/>
          <w:color w:val="auto"/>
        </w:rPr>
      </w:pPr>
    </w:p>
    <w:p>
      <w:pPr>
        <w:ind w:left="20"/>
        <w:spacing w:after="0"/>
        <w:rPr>
          <w:rFonts w:ascii="Times New Roman" w:cs="Times New Roman" w:eastAsia="Times New Roman" w:hAnsi="Times New Roman"/>
          <w:sz w:val="16"/>
          <w:szCs w:val="16"/>
          <w:u w:val="single" w:color="auto"/>
          <w:color w:val="0000FF"/>
        </w:rPr>
      </w:pPr>
      <w:hyperlink r:id="rId110">
        <w:r>
          <w:rPr>
            <w:rFonts w:ascii="Times New Roman" w:cs="Times New Roman" w:eastAsia="Times New Roman" w:hAnsi="Times New Roman"/>
            <w:sz w:val="16"/>
            <w:szCs w:val="16"/>
            <w:u w:val="single" w:color="auto"/>
            <w:color w:val="0000FF"/>
          </w:rPr>
          <w:t>3.2</w:t>
        </w:r>
      </w:hyperlink>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31.1*</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31.2*</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48"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Certificate of Incorporation of Nautilus Biotechnology, Inc. (incorporated by reference to Exhibit 3.1 to the Company’s Current Report on</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Form 8-K filed with the SEC on June 10, 2021)</w:t>
        </w:r>
      </w:hyperlink>
    </w:p>
    <w:p>
      <w:pPr>
        <w:spacing w:after="0" w:line="10" w:lineRule="exact"/>
        <w:rPr>
          <w:sz w:val="20"/>
          <w:szCs w:val="20"/>
          <w:color w:val="auto"/>
        </w:rPr>
      </w:pPr>
    </w:p>
    <w:p>
      <w:pPr>
        <w:ind w:right="340"/>
        <w:spacing w:after="0" w:line="237"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Amended and Restated Bylaws of Nautilus Biotechnology, Inc. (incorporated by reference to Exhibit 3.2 to the Company’s Quarterly</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Report on Form 10-Q filed with the SEC on August 2, 2023)</w:t>
        </w:r>
      </w:hyperlink>
    </w:p>
    <w:p>
      <w:pPr>
        <w:spacing w:after="0" w:line="1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0"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 w:lineRule="exact"/>
        <w:rPr>
          <w:sz w:val="20"/>
          <w:szCs w:val="20"/>
          <w:color w:val="auto"/>
        </w:rPr>
      </w:pPr>
    </w:p>
    <w:p>
      <w:pPr>
        <w:sectPr>
          <w:pgSz w:w="11900" w:h="16838" w:orient="portrait"/>
          <w:cols w:equalWidth="0" w:num="2">
            <w:col w:w="740" w:space="480"/>
            <w:col w:w="9940"/>
          </w:cols>
          <w:pgMar w:left="320" w:top="1440" w:right="419" w:bottom="1440" w:gutter="0" w:footer="0" w:header="0"/>
          <w:type w:val="continuous"/>
        </w:sectPr>
      </w:pPr>
    </w:p>
    <w:tbl>
      <w:tblPr>
        <w:tblLayout w:type="fixed"/>
        <w:tblInd w:w="20" w:type="dxa"/>
        <w:tblCellMar>
          <w:top w:w="0" w:type="dxa"/>
          <w:left w:w="0" w:type="dxa"/>
          <w:bottom w:w="0" w:type="dxa"/>
          <w:right w:w="0" w:type="dxa"/>
        </w:tblCellMar>
      </w:tblPr>
      <w:tr>
        <w:trPr>
          <w:trHeight w:val="197"/>
        </w:trPr>
        <w:tc>
          <w:tcPr>
            <w:tcW w:w="1200" w:type="dxa"/>
            <w:vAlign w:val="bottom"/>
            <w:gridSpan w:val="2"/>
          </w:tcPr>
          <w:p>
            <w:pPr>
              <w:spacing w:after="0" w:line="170"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4"/>
                <w:szCs w:val="14"/>
                <w:color w:val="0000FF"/>
              </w:rPr>
              <w:t>†</w:t>
            </w:r>
          </w:p>
        </w:tc>
        <w:tc>
          <w:tcPr>
            <w:tcW w:w="9860" w:type="dxa"/>
            <w:vAlign w:val="bottom"/>
            <w:gridSpan w:val="5"/>
          </w:tcPr>
          <w:p>
            <w:pPr>
              <w:spacing w:after="0" w:line="170"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62"/>
        </w:trPr>
        <w:tc>
          <w:tcPr>
            <w:tcW w:w="44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Borders>
              <w:top w:val="single" w:sz="8" w:color="0000FF"/>
              <w:bottom w:val="single" w:sz="8" w:color="0000FF"/>
            </w:tcBorders>
            <w:gridSpan w:val="2"/>
          </w:tcPr>
          <w:p>
            <w:pPr>
              <w:spacing w:after="0" w:line="162"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8260" w:type="dxa"/>
            <w:vAlign w:val="bottom"/>
            <w:tcBorders>
              <w:top w:val="single" w:sz="8" w:color="0000FF"/>
            </w:tcBorders>
            <w:gridSpan w:val="2"/>
          </w:tcPr>
          <w:p>
            <w:pPr>
              <w:spacing w:after="0"/>
              <w:rPr>
                <w:sz w:val="14"/>
                <w:szCs w:val="14"/>
                <w:color w:val="auto"/>
              </w:rPr>
            </w:pPr>
          </w:p>
        </w:tc>
        <w:tc>
          <w:tcPr>
            <w:tcW w:w="240" w:type="dxa"/>
            <w:vAlign w:val="bottom"/>
          </w:tcPr>
          <w:p>
            <w:pPr>
              <w:spacing w:after="0"/>
              <w:rPr>
                <w:sz w:val="14"/>
                <w:szCs w:val="14"/>
                <w:color w:val="auto"/>
              </w:rPr>
            </w:pPr>
          </w:p>
        </w:tc>
      </w:tr>
      <w:tr>
        <w:trPr>
          <w:trHeight w:val="217"/>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4"/>
                <w:szCs w:val="14"/>
                <w:color w:val="0000FF"/>
              </w:rPr>
              <w:t>†</w:t>
            </w:r>
          </w:p>
        </w:tc>
        <w:tc>
          <w:tcPr>
            <w:tcW w:w="98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62"/>
        </w:trPr>
        <w:tc>
          <w:tcPr>
            <w:tcW w:w="44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3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00" w:type="dxa"/>
            <w:vAlign w:val="bottom"/>
            <w:tcBorders>
              <w:top w:val="single" w:sz="8" w:color="0000FF"/>
            </w:tcBorders>
          </w:tcPr>
          <w:p>
            <w:pPr>
              <w:spacing w:after="0"/>
              <w:rPr>
                <w:sz w:val="14"/>
                <w:szCs w:val="14"/>
                <w:color w:val="auto"/>
              </w:rPr>
            </w:pPr>
          </w:p>
        </w:tc>
        <w:tc>
          <w:tcPr>
            <w:tcW w:w="300" w:type="dxa"/>
            <w:vAlign w:val="bottom"/>
            <w:gridSpan w:val="2"/>
          </w:tcPr>
          <w:p>
            <w:pPr>
              <w:spacing w:after="0"/>
              <w:rPr>
                <w:sz w:val="14"/>
                <w:szCs w:val="14"/>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20" w:hanging="1194"/>
        <w:spacing w:after="0"/>
        <w:tabs>
          <w:tab w:leader="none" w:pos="12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1" w:lineRule="exact"/>
        <w:rPr>
          <w:sz w:val="20"/>
          <w:szCs w:val="20"/>
          <w:color w:val="auto"/>
        </w:rPr>
      </w:pPr>
    </w:p>
    <w:p>
      <w:pPr>
        <w:ind w:left="340" w:right="20" w:hanging="332"/>
        <w:spacing w:after="0" w:line="272" w:lineRule="auto"/>
        <w:tabs>
          <w:tab w:leader="none" w:pos="12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78" w:name="page79"/>
    <w:bookmarkEnd w:id="78"/>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842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tc>
      </w:tr>
      <w:tr>
        <w:trPr>
          <w:trHeight w:val="49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8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Sujal Patel</w:t>
            </w:r>
          </w:p>
        </w:tc>
      </w:tr>
      <w:tr>
        <w:trPr>
          <w:trHeight w:val="218"/>
        </w:trPr>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2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8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By:   /s/ Anna Mowry</w:t>
            </w:r>
          </w:p>
        </w:tc>
      </w:tr>
      <w:tr>
        <w:trPr>
          <w:trHeight w:val="218"/>
        </w:trPr>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Anna Mowry</w:t>
            </w:r>
          </w:p>
        </w:tc>
      </w:tr>
      <w:tr>
        <w:trPr>
          <w:trHeight w:val="234"/>
        </w:trPr>
        <w:tc>
          <w:tcPr>
            <w:tcW w:w="2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60"/>
          </w:cols>
          <w:pgMar w:left="320" w:top="1440" w:right="4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Sujal Patel, certify that:</w:t>
      </w:r>
    </w:p>
    <w:p>
      <w:pPr>
        <w:spacing w:after="0" w:line="33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2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Anna Mowry, certify that:</w:t>
      </w:r>
    </w:p>
    <w:p>
      <w:pPr>
        <w:spacing w:after="0" w:line="333"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Nautilus Biotechnology, Inc.;</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4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8"/>
          <w:szCs w:val="18"/>
          <w:color w:val="auto"/>
        </w:rPr>
      </w:pPr>
    </w:p>
    <w:p>
      <w:pPr>
        <w:jc w:val="both"/>
        <w:ind w:left="660" w:right="120" w:hanging="328"/>
        <w:spacing w:after="0" w:line="23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1140" w:right="80" w:hanging="322"/>
        <w:spacing w:after="0" w:line="236" w:lineRule="auto"/>
        <w:tabs>
          <w:tab w:leader="none" w:pos="113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8"/>
          <w:szCs w:val="18"/>
          <w:color w:val="auto"/>
        </w:rPr>
      </w:pPr>
    </w:p>
    <w:p>
      <w:pPr>
        <w:ind w:left="1140" w:right="200" w:hanging="322"/>
        <w:spacing w:after="0" w:line="242"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jc w:val="both"/>
        <w:ind w:left="1140" w:right="380" w:hanging="322"/>
        <w:spacing w:after="0" w:line="279" w:lineRule="auto"/>
        <w:tabs>
          <w:tab w:leader="none" w:pos="113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Times New Roman" w:cs="Times New Roman" w:eastAsia="Times New Roman" w:hAnsi="Times New Roman"/>
          <w:sz w:val="17"/>
          <w:szCs w:val="17"/>
          <w:color w:val="auto"/>
        </w:rPr>
      </w:pPr>
    </w:p>
    <w:p>
      <w:pPr>
        <w:ind w:left="1140" w:right="100" w:hanging="322"/>
        <w:spacing w:after="0" w:line="236"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140" w:right="620" w:hanging="322"/>
        <w:spacing w:after="0" w:line="250" w:lineRule="auto"/>
        <w:tabs>
          <w:tab w:leader="none" w:pos="113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1140" w:right="320" w:hanging="322"/>
        <w:spacing w:after="0" w:line="250" w:lineRule="auto"/>
        <w:tabs>
          <w:tab w:leader="none" w:pos="11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2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March 31, 2025 as filed with the Securities and Exchange Commission on the date hereof (the “Report”), I, Sujal Patel,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Sujal Patel</w:t>
            </w:r>
          </w:p>
        </w:tc>
        <w:tc>
          <w:tcPr>
            <w:tcW w:w="0" w:type="dxa"/>
            <w:vAlign w:val="bottom"/>
          </w:tcPr>
          <w:p>
            <w:pPr>
              <w:spacing w:after="0"/>
              <w:rPr>
                <w:sz w:val="1"/>
                <w:szCs w:val="1"/>
                <w:color w:val="auto"/>
              </w:rPr>
            </w:pPr>
          </w:p>
        </w:tc>
      </w:tr>
      <w:tr>
        <w:trPr>
          <w:trHeight w:val="115"/>
        </w:trPr>
        <w:tc>
          <w:tcPr>
            <w:tcW w:w="32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Sujal Patel</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Nautilus Biotechnology, Inc. (the “Company”) on Form 10-Q for the period ended March 31, 2025 as filed with the Securities and Exchange Commission on the date hereof (the “Report”), I, Anna Mowry, hereby certify, pursuant to 18 U.S.C. § 1350, as adopted pursuant to § 906 of the Sarbanes-Oxley Act of 2002, that:</w:t>
      </w:r>
    </w:p>
    <w:p>
      <w:pPr>
        <w:spacing w:after="0" w:line="31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Anna Mowry</w:t>
            </w:r>
          </w:p>
        </w:tc>
        <w:tc>
          <w:tcPr>
            <w:tcW w:w="0" w:type="dxa"/>
            <w:vAlign w:val="bottom"/>
          </w:tcPr>
          <w:p>
            <w:pPr>
              <w:spacing w:after="0"/>
              <w:rPr>
                <w:sz w:val="1"/>
                <w:szCs w:val="1"/>
                <w:color w:val="auto"/>
              </w:rPr>
            </w:pPr>
          </w:p>
        </w:tc>
      </w:tr>
      <w:tr>
        <w:trPr>
          <w:trHeight w:val="115"/>
        </w:trPr>
        <w:tc>
          <w:tcPr>
            <w:tcW w:w="320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Anna Mowry</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decimal"/>
      <w:start w:val="3"/>
    </w:lvl>
  </w:abstractNum>
  <w:abstractNum w:abstractNumId="7">
    <w:nsid w:val="3A95F874"/>
    <w:multiLevelType w:val="hybridMultilevel"/>
    <w:lvl w:ilvl="0">
      <w:lvlJc w:val="left"/>
      <w:lvlText w:val="%1."/>
      <w:numFmt w:val="decimal"/>
      <w:start w:val="4"/>
    </w:lvl>
  </w:abstractNum>
  <w:abstractNum w:abstractNumId="8">
    <w:nsid w:val="8138641"/>
    <w:multiLevelType w:val="hybridMultilevel"/>
    <w:lvl w:ilvl="0">
      <w:lvlJc w:val="left"/>
      <w:lvlText w:val="%1."/>
      <w:numFmt w:val="decimal"/>
      <w:start w:val="5"/>
    </w:lvl>
  </w:abstractNum>
  <w:abstractNum w:abstractNumId="9">
    <w:nsid w:val="1E7FF521"/>
    <w:multiLevelType w:val="hybridMultilevel"/>
    <w:lvl w:ilvl="0">
      <w:lvlJc w:val="left"/>
      <w:lvlText w:val="%1."/>
      <w:numFmt w:val="decimal"/>
      <w:start w:val="6"/>
    </w:lvl>
  </w:abstractNum>
  <w:abstractNum w:abstractNumId="10">
    <w:nsid w:val="7C3DBD3D"/>
    <w:multiLevelType w:val="hybridMultilevel"/>
    <w:lvl w:ilvl="0">
      <w:lvlJc w:val="left"/>
      <w:lvlText w:val="%1."/>
      <w:numFmt w:val="decimal"/>
      <w:start w:val="7"/>
    </w:lvl>
  </w:abstractNum>
  <w:abstractNum w:abstractNumId="11">
    <w:nsid w:val="737B8DDC"/>
    <w:multiLevelType w:val="hybridMultilevel"/>
    <w:lvl w:ilvl="0">
      <w:lvlJc w:val="left"/>
      <w:lvlText w:val="%1."/>
      <w:numFmt w:val="decimal"/>
      <w:start w:val="8"/>
    </w:lvl>
  </w:abstractNum>
  <w:abstractNum w:abstractNumId="12">
    <w:nsid w:val="6CEAF087"/>
    <w:multiLevelType w:val="hybridMultilevel"/>
    <w:lvl w:ilvl="0">
      <w:lvlJc w:val="left"/>
      <w:lvlText w:val="%1."/>
      <w:numFmt w:val="decimal"/>
      <w:start w:val="9"/>
    </w:lvl>
  </w:abstractNum>
  <w:abstractNum w:abstractNumId="13">
    <w:nsid w:val="22221A70"/>
    <w:multiLevelType w:val="hybridMultilevel"/>
    <w:lvl w:ilvl="0">
      <w:lvlJc w:val="left"/>
      <w:lvlText w:val="%1."/>
      <w:numFmt w:val="decimal"/>
      <w:start w:val="10"/>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04"/>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1" Type="http://schemas.openxmlformats.org/officeDocument/2006/relationships/image" Target="media/image102.png"/><Relationship Id="rId109" Type="http://schemas.openxmlformats.org/officeDocument/2006/relationships/hyperlink" Target="https://www.sec.gov/Archives/edgar/data/1808805/000162828021011892/exhibit31-form8xkclosing.htm" TargetMode="External"/><Relationship Id="rId110" Type="http://schemas.openxmlformats.org/officeDocument/2006/relationships/hyperlink" Target="https://www.sec.gov/Archives/edgar/data/1808805/000180880523000069/exhibit32-nautilusbiotech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2025-04-29T15:21:06Z</dcterms:created>
  <dcterms:modified xsi:type="dcterms:W3CDTF">2025-04-29T15:21:06Z</dcterms:modified>
</cp:coreProperties>
</file>