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243840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198120</wp:posOffset>
            </wp:positionV>
            <wp:extent cx="71570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line="231" w:lineRule="auto"/>
        <w:rPr>
          <w:sz w:val="20"/>
          <w:szCs w:val="20"/>
          <w:color w:val="auto"/>
        </w:rPr>
      </w:pPr>
      <w:r>
        <w:rPr>
          <w:rFonts w:ascii="Arial" w:cs="Arial" w:eastAsia="Arial" w:hAnsi="Arial"/>
          <w:sz w:val="18"/>
          <w:szCs w:val="18"/>
          <w:b w:val="1"/>
          <w:bCs w:val="1"/>
          <w:color w:val="auto"/>
        </w:rPr>
        <w:t>of the Securities Exchange Act of 1934</w:t>
      </w: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ARYA SCIENCES ACQUISITION CORP III</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4"/>
          <w:szCs w:val="24"/>
          <w:color w:val="auto"/>
        </w:rPr>
      </w:pPr>
    </w:p>
    <w:p>
      <w:pPr>
        <w:spacing w:after="0" w:line="380"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Cayman Islands</w:t>
      </w:r>
    </w:p>
    <w:p>
      <w:pPr>
        <w:spacing w:after="0" w:line="19"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001-39434</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jc w:val="center"/>
        <w:ind w:right="700"/>
        <w:spacing w:after="0"/>
        <w:rPr>
          <w:sz w:val="20"/>
          <w:szCs w:val="20"/>
          <w:color w:val="auto"/>
        </w:rPr>
      </w:pPr>
      <w:r>
        <w:rPr>
          <w:rFonts w:ascii="Arial" w:cs="Arial" w:eastAsia="Arial" w:hAnsi="Arial"/>
          <w:sz w:val="15"/>
          <w:szCs w:val="15"/>
          <w:b w:val="1"/>
          <w:bCs w:val="1"/>
          <w:color w:val="auto"/>
        </w:rPr>
        <w:t>98-1541723</w:t>
      </w:r>
    </w:p>
    <w:p>
      <w:pPr>
        <w:spacing w:after="0" w:line="19"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80" w:space="720"/>
            <w:col w:w="2760" w:space="720"/>
            <w:col w:w="3000"/>
          </w:cols>
          <w:pgMar w:left="300" w:top="464" w:right="319" w:bottom="1440" w:gutter="0" w:footer="0" w:header="0"/>
          <w:type w:val="continuous"/>
        </w:sectPr>
      </w:pPr>
    </w:p>
    <w:p>
      <w:pPr>
        <w:spacing w:after="0" w:line="13"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51 Astor Place, 10th Floor</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New York, NY</w:t>
      </w:r>
    </w:p>
    <w:p>
      <w:pPr>
        <w:spacing w:after="0" w:line="5" w:lineRule="exact"/>
        <w:rPr>
          <w:sz w:val="24"/>
          <w:szCs w:val="24"/>
          <w:color w:val="auto"/>
        </w:rPr>
      </w:pPr>
    </w:p>
    <w:p>
      <w:pPr>
        <w:jc w:val="center"/>
        <w:ind w:right="192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2420"/>
        <w:spacing w:after="0"/>
        <w:rPr>
          <w:sz w:val="20"/>
          <w:szCs w:val="20"/>
          <w:color w:val="auto"/>
        </w:rPr>
      </w:pPr>
      <w:r>
        <w:rPr>
          <w:rFonts w:ascii="Arial" w:cs="Arial" w:eastAsia="Arial" w:hAnsi="Arial"/>
          <w:sz w:val="15"/>
          <w:szCs w:val="15"/>
          <w:b w:val="1"/>
          <w:bCs w:val="1"/>
          <w:color w:val="auto"/>
        </w:rPr>
        <w:t>10003</w:t>
      </w:r>
    </w:p>
    <w:p>
      <w:pPr>
        <w:spacing w:after="0" w:line="19" w:lineRule="exact"/>
        <w:rPr>
          <w:sz w:val="24"/>
          <w:szCs w:val="24"/>
          <w:color w:val="auto"/>
        </w:rPr>
      </w:pPr>
    </w:p>
    <w:p>
      <w:pPr>
        <w:jc w:val="center"/>
        <w:ind w:right="242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60" w:space="720"/>
            <w:col w:w="3100"/>
          </w:cols>
          <w:pgMar w:left="300" w:top="464" w:right="31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284-2300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jc w:val="center"/>
        <w:spacing w:after="0" w:line="231" w:lineRule="auto"/>
        <w:rPr>
          <w:sz w:val="20"/>
          <w:szCs w:val="20"/>
          <w:color w:val="auto"/>
        </w:rPr>
      </w:pPr>
      <w:r>
        <w:rPr>
          <w:rFonts w:ascii="Arial" w:cs="Arial" w:eastAsia="Arial" w:hAnsi="Arial"/>
          <w:sz w:val="18"/>
          <w:szCs w:val="18"/>
          <w:b w:val="1"/>
          <w:bCs w:val="1"/>
          <w:color w:val="auto"/>
        </w:rPr>
        <w:t>Not Applicable</w:t>
      </w: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78" w:lineRule="exact"/>
        <w:rPr>
          <w:sz w:val="24"/>
          <w:szCs w:val="24"/>
          <w:color w:val="auto"/>
        </w:rPr>
      </w:pPr>
    </w:p>
    <w:p>
      <w:pPr>
        <w:ind w:right="80"/>
        <w:spacing w:after="0" w:line="25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05" w:lineRule="exact"/>
        <w:rPr>
          <w:sz w:val="24"/>
          <w:szCs w:val="24"/>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04" w:lineRule="exact"/>
        <w:rPr>
          <w:rFonts w:ascii="MS PGothic" w:cs="MS PGothic" w:eastAsia="MS PGothic" w:hAnsi="MS PGothic"/>
          <w:sz w:val="15"/>
          <w:szCs w:val="15"/>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04" w:lineRule="exact"/>
        <w:rPr>
          <w:rFonts w:ascii="MS PGothic" w:cs="MS PGothic" w:eastAsia="MS PGothic" w:hAnsi="MS PGothic"/>
          <w:sz w:val="15"/>
          <w:szCs w:val="15"/>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5"/>
              </w:rPr>
              <w:t>Name of each exchange</w:t>
            </w:r>
          </w:p>
        </w:tc>
      </w:tr>
      <w:tr>
        <w:trPr>
          <w:trHeight w:val="194"/>
        </w:trPr>
        <w:tc>
          <w:tcPr>
            <w:tcW w:w="3800" w:type="dxa"/>
            <w:vAlign w:val="bottom"/>
            <w:tcBorders>
              <w:bottom w:val="single" w:sz="8" w:color="auto"/>
            </w:tcBorders>
          </w:tcPr>
          <w:p>
            <w:pPr>
              <w:jc w:val="right"/>
              <w:ind w:right="1106"/>
              <w:spacing w:after="0"/>
              <w:rPr>
                <w:sz w:val="20"/>
                <w:szCs w:val="20"/>
                <w:color w:val="auto"/>
              </w:rPr>
            </w:pPr>
            <w:r>
              <w:rPr>
                <w:rFonts w:ascii="Arial" w:cs="Arial" w:eastAsia="Arial" w:hAnsi="Arial"/>
                <w:sz w:val="15"/>
                <w:szCs w:val="15"/>
                <w:b w:val="1"/>
                <w:bCs w:val="1"/>
                <w:color w:val="auto"/>
              </w:rPr>
              <w:t>Title of each class</w:t>
            </w:r>
          </w:p>
        </w:tc>
        <w:tc>
          <w:tcPr>
            <w:tcW w:w="348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Trading Symbol(s)</w:t>
            </w:r>
          </w:p>
        </w:tc>
        <w:tc>
          <w:tcPr>
            <w:tcW w:w="4000" w:type="dxa"/>
            <w:vAlign w:val="bottom"/>
            <w:tcBorders>
              <w:bottom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6"/>
              </w:rPr>
              <w:t>on which registered</w:t>
            </w:r>
          </w:p>
        </w:tc>
      </w:tr>
      <w:tr>
        <w:trPr>
          <w:trHeight w:val="167"/>
        </w:trPr>
        <w:tc>
          <w:tcPr>
            <w:tcW w:w="3800" w:type="dxa"/>
            <w:vAlign w:val="bottom"/>
          </w:tcPr>
          <w:p>
            <w:pPr>
              <w:jc w:val="right"/>
              <w:ind w:right="1106"/>
              <w:spacing w:after="0" w:line="167" w:lineRule="exact"/>
              <w:rPr>
                <w:sz w:val="20"/>
                <w:szCs w:val="20"/>
                <w:color w:val="auto"/>
              </w:rPr>
            </w:pPr>
            <w:r>
              <w:rPr>
                <w:rFonts w:ascii="Arial" w:cs="Arial" w:eastAsia="Arial" w:hAnsi="Arial"/>
                <w:sz w:val="15"/>
                <w:szCs w:val="15"/>
                <w:color w:val="auto"/>
                <w:w w:val="88"/>
              </w:rPr>
              <w:t>Class A Ordinary Shares, par value $0.0001</w:t>
            </w:r>
          </w:p>
        </w:tc>
        <w:tc>
          <w:tcPr>
            <w:tcW w:w="3480" w:type="dxa"/>
            <w:vAlign w:val="bottom"/>
          </w:tcPr>
          <w:p>
            <w:pPr>
              <w:ind w:left="1620"/>
              <w:spacing w:after="0" w:line="167" w:lineRule="exact"/>
              <w:rPr>
                <w:sz w:val="20"/>
                <w:szCs w:val="20"/>
                <w:color w:val="auto"/>
              </w:rPr>
            </w:pPr>
            <w:r>
              <w:rPr>
                <w:rFonts w:ascii="Arial" w:cs="Arial" w:eastAsia="Arial" w:hAnsi="Arial"/>
                <w:sz w:val="15"/>
                <w:szCs w:val="15"/>
                <w:color w:val="auto"/>
              </w:rPr>
              <w:t>ARYA</w:t>
            </w:r>
          </w:p>
        </w:tc>
        <w:tc>
          <w:tcPr>
            <w:tcW w:w="4000" w:type="dxa"/>
            <w:vAlign w:val="bottom"/>
          </w:tcPr>
          <w:p>
            <w:pPr>
              <w:jc w:val="center"/>
              <w:ind w:right="186"/>
              <w:spacing w:after="0" w:line="167" w:lineRule="exact"/>
              <w:rPr>
                <w:sz w:val="20"/>
                <w:szCs w:val="20"/>
                <w:color w:val="auto"/>
              </w:rPr>
            </w:pPr>
            <w:r>
              <w:rPr>
                <w:rFonts w:ascii="Arial" w:cs="Arial" w:eastAsia="Arial" w:hAnsi="Arial"/>
                <w:sz w:val="15"/>
                <w:szCs w:val="15"/>
                <w:color w:val="auto"/>
                <w:w w:val="88"/>
              </w:rPr>
              <w:t>The Nasdaq Capital</w:t>
            </w:r>
          </w:p>
        </w:tc>
      </w:tr>
      <w:tr>
        <w:trPr>
          <w:trHeight w:val="188"/>
        </w:trPr>
        <w:tc>
          <w:tcPr>
            <w:tcW w:w="3800" w:type="dxa"/>
            <w:vAlign w:val="bottom"/>
          </w:tcPr>
          <w:p>
            <w:pPr>
              <w:jc w:val="right"/>
              <w:ind w:right="3146"/>
              <w:spacing w:after="0"/>
              <w:rPr>
                <w:sz w:val="20"/>
                <w:szCs w:val="20"/>
                <w:color w:val="auto"/>
              </w:rPr>
            </w:pPr>
            <w:r>
              <w:rPr>
                <w:rFonts w:ascii="Arial" w:cs="Arial" w:eastAsia="Arial" w:hAnsi="Arial"/>
                <w:sz w:val="15"/>
                <w:szCs w:val="15"/>
                <w:color w:val="auto"/>
                <w:w w:val="84"/>
              </w:rPr>
              <w:t>per Share</w:t>
            </w:r>
          </w:p>
        </w:tc>
        <w:tc>
          <w:tcPr>
            <w:tcW w:w="3480" w:type="dxa"/>
            <w:vAlign w:val="bottom"/>
          </w:tcPr>
          <w:p>
            <w:pPr>
              <w:spacing w:after="0"/>
              <w:rPr>
                <w:sz w:val="16"/>
                <w:szCs w:val="16"/>
                <w:color w:val="auto"/>
              </w:rPr>
            </w:pPr>
          </w:p>
        </w:tc>
        <w:tc>
          <w:tcPr>
            <w:tcW w:w="4000" w:type="dxa"/>
            <w:vAlign w:val="bottom"/>
          </w:tcPr>
          <w:p>
            <w:pPr>
              <w:jc w:val="center"/>
              <w:ind w:right="186"/>
              <w:spacing w:after="0"/>
              <w:rPr>
                <w:sz w:val="20"/>
                <w:szCs w:val="20"/>
                <w:color w:val="auto"/>
              </w:rPr>
            </w:pPr>
            <w:r>
              <w:rPr>
                <w:rFonts w:ascii="Arial" w:cs="Arial" w:eastAsia="Arial" w:hAnsi="Arial"/>
                <w:sz w:val="15"/>
                <w:szCs w:val="15"/>
                <w:color w:val="auto"/>
                <w:w w:val="91"/>
              </w:rPr>
              <w:t>Market</w:t>
            </w:r>
          </w:p>
        </w:tc>
      </w:tr>
      <w:tr>
        <w:trPr>
          <w:trHeight w:val="178"/>
        </w:trPr>
        <w:tc>
          <w:tcPr>
            <w:tcW w:w="38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183" w:lineRule="exact"/>
        <w:rPr>
          <w:sz w:val="24"/>
          <w:szCs w:val="24"/>
          <w:color w:val="auto"/>
        </w:rPr>
      </w:pPr>
    </w:p>
    <w:p>
      <w:pPr>
        <w:ind w:right="480"/>
        <w:spacing w:after="0" w:line="25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243840</wp:posOffset>
            </wp:positionV>
            <wp:extent cx="7157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363855</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02" w:lineRule="exact"/>
        <w:rPr>
          <w:sz w:val="20"/>
          <w:szCs w:val="20"/>
          <w:color w:val="auto"/>
        </w:rPr>
      </w:pPr>
    </w:p>
    <w:p>
      <w:pPr>
        <w:jc w:val="both"/>
        <w:ind w:firstLine="532"/>
        <w:spacing w:after="0" w:line="241" w:lineRule="auto"/>
        <w:rPr>
          <w:sz w:val="20"/>
          <w:szCs w:val="20"/>
          <w:color w:val="auto"/>
        </w:rPr>
      </w:pPr>
      <w:r>
        <w:rPr>
          <w:rFonts w:ascii="Arial" w:cs="Arial" w:eastAsia="Arial" w:hAnsi="Arial"/>
          <w:sz w:val="18"/>
          <w:szCs w:val="18"/>
          <w:color w:val="auto"/>
        </w:rPr>
        <w:t>Furnished as Exhibit 99.1 hereto and incorporated into this Item 7.01 by reference are presentation materials that were provided to employees of Nautilus Biotechnology, Inc. (“Nautilus”) and that discuss the treatment of the outstanding Nautilus stock options in connection with the proposed business combination between ARYA Sciences Acquisition Corp. (“ARYA”) and Nautilus (the “Business Combination”).</w:t>
      </w:r>
    </w:p>
    <w:p>
      <w:pPr>
        <w:spacing w:after="0" w:line="175" w:lineRule="exact"/>
        <w:rPr>
          <w:sz w:val="20"/>
          <w:szCs w:val="20"/>
          <w:color w:val="auto"/>
        </w:rPr>
      </w:pPr>
    </w:p>
    <w:p>
      <w:pPr>
        <w:jc w:val="both"/>
        <w:ind w:firstLine="532"/>
        <w:spacing w:after="0" w:line="262" w:lineRule="auto"/>
        <w:rPr>
          <w:sz w:val="20"/>
          <w:szCs w:val="20"/>
          <w:color w:val="auto"/>
        </w:rPr>
      </w:pPr>
      <w:r>
        <w:rPr>
          <w:rFonts w:ascii="Arial" w:cs="Arial" w:eastAsia="Arial" w:hAnsi="Arial"/>
          <w:sz w:val="17"/>
          <w:szCs w:val="17"/>
          <w:color w:val="auto"/>
        </w:rPr>
        <w:t>The foregoing (including Exhibits 99.1) is being furnished pursuant to Item 7.01 and will not be deemed to be filed for purposes of Section 18 of the Securities and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or otherwise be subject to the liabilities of that section, nor will it be deemed to be incorporated by reference in any filing under the the Securities Act of 1933, as amended (the “Securities Act”)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98" w:lineRule="exact"/>
        <w:rPr>
          <w:sz w:val="20"/>
          <w:szCs w:val="20"/>
          <w:color w:val="auto"/>
        </w:rPr>
      </w:pPr>
    </w:p>
    <w:p>
      <w:pPr>
        <w:jc w:val="both"/>
        <w:ind w:firstLine="532"/>
        <w:spacing w:after="0" w:line="265" w:lineRule="auto"/>
        <w:rPr>
          <w:sz w:val="20"/>
          <w:szCs w:val="20"/>
          <w:color w:val="auto"/>
        </w:rPr>
      </w:pPr>
      <w:r>
        <w:rPr>
          <w:rFonts w:ascii="Arial" w:cs="Arial" w:eastAsia="Arial" w:hAnsi="Arial"/>
          <w:sz w:val="16"/>
          <w:szCs w:val="16"/>
          <w:color w:val="auto"/>
        </w:rPr>
        <w:t>In connection with the Business Combination, ARYA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a Registration Statement on Form S-4 (the “Registration Statement”), which includes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w:t>
      </w:r>
    </w:p>
    <w:p>
      <w:pPr>
        <w:jc w:val="both"/>
        <w:spacing w:after="0" w:line="248" w:lineRule="auto"/>
        <w:rPr>
          <w:sz w:val="20"/>
          <w:szCs w:val="20"/>
          <w:color w:val="auto"/>
        </w:rPr>
      </w:pPr>
      <w:r>
        <w:rPr>
          <w:rFonts w:ascii="Arial" w:cs="Arial" w:eastAsia="Arial" w:hAnsi="Arial"/>
          <w:sz w:val="17"/>
          <w:szCs w:val="17"/>
          <w:b w:val="1"/>
          <w:bCs w:val="1"/>
          <w:color w:val="auto"/>
        </w:rPr>
        <w:t xml:space="preserve">Investors and security holders of 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definitive proxy statement/final prospectus will be mailed to 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2" w:lineRule="exact"/>
        <w:rPr>
          <w:sz w:val="20"/>
          <w:szCs w:val="20"/>
          <w:color w:val="auto"/>
        </w:rPr>
      </w:pPr>
    </w:p>
    <w:p>
      <w:pPr>
        <w:jc w:val="both"/>
        <w:ind w:firstLine="532"/>
        <w:spacing w:after="0" w:line="253" w:lineRule="auto"/>
        <w:rPr>
          <w:sz w:val="20"/>
          <w:szCs w:val="20"/>
          <w:color w:val="auto"/>
        </w:rPr>
      </w:pPr>
      <w:r>
        <w:rPr>
          <w:rFonts w:ascii="Arial" w:cs="Arial" w:eastAsia="Arial" w:hAnsi="Arial"/>
          <w:sz w:val="17"/>
          <w:szCs w:val="17"/>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7"/>
          <w:szCs w:val="17"/>
          <w:color w:val="auto"/>
        </w:rPr>
        <w:t>Investors and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may obtain more detailed information regarding the names and interests in the Business Combination of ARYA’s directors and officers in ARYA’s filings with the SEC, including the Registration Statement filed with the SEC by ARYA, which includes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715708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ind w:firstLine="532"/>
        <w:spacing w:after="0" w:line="262"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Registration Statement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198" w:lineRule="exact"/>
        <w:rPr>
          <w:sz w:val="20"/>
          <w:szCs w:val="20"/>
          <w:color w:val="auto"/>
        </w:rPr>
      </w:pPr>
    </w:p>
    <w:p>
      <w:pPr>
        <w:jc w:val="both"/>
        <w:ind w:firstLine="532"/>
        <w:spacing w:after="0" w:line="238"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60" w:type="dxa"/>
            <w:vAlign w:val="bottom"/>
            <w:gridSpan w:val="3"/>
          </w:tcPr>
          <w:p>
            <w:pPr>
              <w:jc w:val="center"/>
              <w:ind w:left="506"/>
              <w:spacing w:after="0"/>
              <w:rPr>
                <w:sz w:val="20"/>
                <w:szCs w:val="20"/>
                <w:color w:val="auto"/>
              </w:rPr>
            </w:pPr>
            <w:r>
              <w:rPr>
                <w:rFonts w:ascii="Arial" w:cs="Arial" w:eastAsia="Arial" w:hAnsi="Arial"/>
                <w:sz w:val="15"/>
                <w:szCs w:val="15"/>
                <w:b w:val="1"/>
                <w:bCs w:val="1"/>
                <w:color w:val="auto"/>
                <w:w w:val="95"/>
              </w:rPr>
              <w:t>Exhibit</w:t>
            </w:r>
          </w:p>
        </w:tc>
        <w:tc>
          <w:tcPr>
            <w:tcW w:w="9020" w:type="dxa"/>
            <w:vAlign w:val="bottom"/>
          </w:tcPr>
          <w:p>
            <w:pPr>
              <w:spacing w:after="0"/>
              <w:rPr>
                <w:sz w:val="15"/>
                <w:szCs w:val="15"/>
                <w:color w:val="auto"/>
              </w:rPr>
            </w:pPr>
          </w:p>
        </w:tc>
      </w:tr>
      <w:tr>
        <w:trPr>
          <w:trHeight w:val="194"/>
        </w:trPr>
        <w:tc>
          <w:tcPr>
            <w:tcW w:w="2260" w:type="dxa"/>
            <w:vAlign w:val="bottom"/>
            <w:tcBorders>
              <w:bottom w:val="single" w:sz="8" w:color="auto"/>
            </w:tcBorders>
            <w:gridSpan w:val="3"/>
          </w:tcPr>
          <w:p>
            <w:pPr>
              <w:jc w:val="center"/>
              <w:ind w:left="506"/>
              <w:spacing w:after="0"/>
              <w:rPr>
                <w:sz w:val="20"/>
                <w:szCs w:val="20"/>
                <w:color w:val="auto"/>
              </w:rPr>
            </w:pPr>
            <w:r>
              <w:rPr>
                <w:rFonts w:ascii="Arial" w:cs="Arial" w:eastAsia="Arial" w:hAnsi="Arial"/>
                <w:sz w:val="15"/>
                <w:szCs w:val="15"/>
                <w:b w:val="1"/>
                <w:bCs w:val="1"/>
                <w:color w:val="auto"/>
                <w:w w:val="91"/>
              </w:rPr>
              <w:t>Number</w:t>
            </w:r>
          </w:p>
        </w:tc>
        <w:tc>
          <w:tcPr>
            <w:tcW w:w="9020" w:type="dxa"/>
            <w:vAlign w:val="bottom"/>
            <w:tcBorders>
              <w:bottom w:val="single" w:sz="8" w:color="auto"/>
            </w:tcBorders>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144"/>
        </w:trPr>
        <w:tc>
          <w:tcPr>
            <w:tcW w:w="2260" w:type="dxa"/>
            <w:vAlign w:val="bottom"/>
            <w:gridSpan w:val="3"/>
          </w:tcPr>
          <w:p>
            <w:pPr>
              <w:jc w:val="center"/>
              <w:ind w:left="486"/>
              <w:spacing w:after="0" w:line="144" w:lineRule="exact"/>
              <w:rPr>
                <w:rFonts w:ascii="Arial" w:cs="Arial" w:eastAsia="Arial" w:hAnsi="Arial"/>
                <w:sz w:val="15"/>
                <w:szCs w:val="15"/>
                <w:color w:val="0000EE"/>
                <w:w w:val="88"/>
              </w:rPr>
            </w:pPr>
            <w:hyperlink w:anchor="page5">
              <w:r>
                <w:rPr>
                  <w:rFonts w:ascii="Arial" w:cs="Arial" w:eastAsia="Arial" w:hAnsi="Arial"/>
                  <w:sz w:val="15"/>
                  <w:szCs w:val="15"/>
                  <w:color w:val="0000EE"/>
                  <w:w w:val="88"/>
                </w:rPr>
                <w:t>99.</w:t>
              </w:r>
              <w:r>
                <w:rPr>
                  <w:rFonts w:ascii="Arial" w:cs="Arial" w:eastAsia="Arial" w:hAnsi="Arial"/>
                  <w:sz w:val="15"/>
                  <w:szCs w:val="15"/>
                  <w:u w:val="single" w:color="auto"/>
                  <w:color w:val="0000EE"/>
                  <w:w w:val="88"/>
                </w:rPr>
                <w:t>1</w:t>
              </w:r>
            </w:hyperlink>
          </w:p>
        </w:tc>
        <w:tc>
          <w:tcPr>
            <w:tcW w:w="9020" w:type="dxa"/>
            <w:vAlign w:val="bottom"/>
          </w:tcPr>
          <w:p>
            <w:pPr>
              <w:ind w:left="560"/>
              <w:spacing w:after="0" w:line="144" w:lineRule="exact"/>
              <w:rPr>
                <w:sz w:val="20"/>
                <w:szCs w:val="20"/>
                <w:color w:val="auto"/>
              </w:rPr>
            </w:pPr>
            <w:r>
              <w:rPr>
                <w:rFonts w:ascii="Arial" w:cs="Arial" w:eastAsia="Arial" w:hAnsi="Arial"/>
                <w:sz w:val="15"/>
                <w:szCs w:val="15"/>
                <w:color w:val="auto"/>
              </w:rPr>
              <w:t>Employee Option Presentation, dated April 7, 2021.</w:t>
            </w:r>
          </w:p>
        </w:tc>
      </w:tr>
      <w:tr>
        <w:trPr>
          <w:trHeight w:val="359"/>
        </w:trPr>
        <w:tc>
          <w:tcPr>
            <w:tcW w:w="128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600" w:firstLine="532"/>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20"/>
                <w:szCs w:val="20"/>
                <w:color w:val="auto"/>
              </w:rPr>
            </w:pPr>
            <w:r>
              <w:rPr>
                <w:rFonts w:ascii="Arial" w:cs="Arial" w:eastAsia="Arial" w:hAnsi="Arial"/>
                <w:sz w:val="15"/>
                <w:szCs w:val="15"/>
                <w:color w:val="auto"/>
              </w:rPr>
              <w:t>Date: April 7, 2021</w:t>
            </w:r>
          </w:p>
        </w:tc>
        <w:tc>
          <w:tcPr>
            <w:tcW w:w="7880" w:type="dxa"/>
            <w:vAlign w:val="bottom"/>
            <w:gridSpan w:val="2"/>
          </w:tcPr>
          <w:p>
            <w:pPr>
              <w:ind w:left="2260"/>
              <w:spacing w:after="0"/>
              <w:rPr>
                <w:sz w:val="20"/>
                <w:szCs w:val="20"/>
                <w:color w:val="auto"/>
              </w:rPr>
            </w:pPr>
            <w:r>
              <w:rPr>
                <w:rFonts w:ascii="Arial" w:cs="Arial" w:eastAsia="Arial" w:hAnsi="Arial"/>
                <w:sz w:val="15"/>
                <w:szCs w:val="15"/>
                <w:color w:val="auto"/>
              </w:rPr>
              <w:t>ARYA SCIENCES ACQUISITION CORP III</w:t>
            </w:r>
          </w:p>
        </w:tc>
      </w:tr>
      <w:tr>
        <w:trPr>
          <w:trHeight w:val="358"/>
        </w:trPr>
        <w:tc>
          <w:tcPr>
            <w:tcW w:w="3400" w:type="dxa"/>
            <w:vAlign w:val="bottom"/>
          </w:tcPr>
          <w:p>
            <w:pPr>
              <w:spacing w:after="0"/>
              <w:rPr>
                <w:sz w:val="24"/>
                <w:szCs w:val="24"/>
                <w:color w:val="auto"/>
              </w:rPr>
            </w:pPr>
          </w:p>
        </w:tc>
        <w:tc>
          <w:tcPr>
            <w:tcW w:w="2800" w:type="dxa"/>
            <w:vAlign w:val="bottom"/>
          </w:tcPr>
          <w:p>
            <w:pPr>
              <w:ind w:left="2260"/>
              <w:spacing w:after="0"/>
              <w:rPr>
                <w:sz w:val="20"/>
                <w:szCs w:val="20"/>
                <w:color w:val="auto"/>
              </w:rPr>
            </w:pPr>
            <w:r>
              <w:rPr>
                <w:rFonts w:ascii="Arial" w:cs="Arial" w:eastAsia="Arial" w:hAnsi="Arial"/>
                <w:sz w:val="15"/>
                <w:szCs w:val="15"/>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Adam Stone</w:t>
            </w:r>
          </w:p>
        </w:tc>
      </w:tr>
      <w:tr>
        <w:trPr>
          <w:trHeight w:val="167"/>
        </w:trPr>
        <w:tc>
          <w:tcPr>
            <w:tcW w:w="3400" w:type="dxa"/>
            <w:vAlign w:val="bottom"/>
          </w:tcPr>
          <w:p>
            <w:pPr>
              <w:spacing w:after="0"/>
              <w:rPr>
                <w:sz w:val="14"/>
                <w:szCs w:val="14"/>
                <w:color w:val="auto"/>
              </w:rPr>
            </w:pPr>
          </w:p>
        </w:tc>
        <w:tc>
          <w:tcPr>
            <w:tcW w:w="2800" w:type="dxa"/>
            <w:vAlign w:val="bottom"/>
          </w:tcPr>
          <w:p>
            <w:pPr>
              <w:ind w:left="2260"/>
              <w:spacing w:after="0" w:line="167" w:lineRule="exact"/>
              <w:rPr>
                <w:sz w:val="20"/>
                <w:szCs w:val="20"/>
                <w:color w:val="auto"/>
              </w:rPr>
            </w:pPr>
            <w:r>
              <w:rPr>
                <w:rFonts w:ascii="Arial" w:cs="Arial" w:eastAsia="Arial" w:hAnsi="Arial"/>
                <w:sz w:val="15"/>
                <w:szCs w:val="15"/>
                <w:color w:val="auto"/>
              </w:rPr>
              <w:t>Name:</w:t>
            </w:r>
          </w:p>
        </w:tc>
        <w:tc>
          <w:tcPr>
            <w:tcW w:w="5080" w:type="dxa"/>
            <w:vAlign w:val="bottom"/>
          </w:tcPr>
          <w:p>
            <w:pPr>
              <w:spacing w:after="0" w:line="167" w:lineRule="exact"/>
              <w:rPr>
                <w:sz w:val="20"/>
                <w:szCs w:val="20"/>
                <w:color w:val="auto"/>
              </w:rPr>
            </w:pPr>
            <w:r>
              <w:rPr>
                <w:rFonts w:ascii="Arial" w:cs="Arial" w:eastAsia="Arial" w:hAnsi="Arial"/>
                <w:sz w:val="15"/>
                <w:szCs w:val="15"/>
                <w:color w:val="auto"/>
              </w:rPr>
              <w:t>Adam Stone</w:t>
            </w:r>
          </w:p>
        </w:tc>
      </w:tr>
      <w:tr>
        <w:trPr>
          <w:trHeight w:val="188"/>
        </w:trPr>
        <w:tc>
          <w:tcPr>
            <w:tcW w:w="3400" w:type="dxa"/>
            <w:vAlign w:val="bottom"/>
          </w:tcPr>
          <w:p>
            <w:pPr>
              <w:spacing w:after="0"/>
              <w:rPr>
                <w:sz w:val="16"/>
                <w:szCs w:val="16"/>
                <w:color w:val="auto"/>
              </w:rPr>
            </w:pPr>
          </w:p>
        </w:tc>
        <w:tc>
          <w:tcPr>
            <w:tcW w:w="2800" w:type="dxa"/>
            <w:vAlign w:val="bottom"/>
          </w:tcPr>
          <w:p>
            <w:pPr>
              <w:ind w:left="2260"/>
              <w:spacing w:after="0"/>
              <w:rPr>
                <w:sz w:val="20"/>
                <w:szCs w:val="20"/>
                <w:color w:val="auto"/>
              </w:rPr>
            </w:pPr>
            <w:r>
              <w:rPr>
                <w:rFonts w:ascii="Arial" w:cs="Arial" w:eastAsia="Arial" w:hAnsi="Arial"/>
                <w:sz w:val="15"/>
                <w:szCs w:val="15"/>
                <w:color w:val="auto"/>
              </w:rPr>
              <w:t>Title:</w:t>
            </w:r>
          </w:p>
        </w:tc>
        <w:tc>
          <w:tcPr>
            <w:tcW w:w="508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491"/>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99.1</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Filed by ARYA Sciences Acquisition Corp III</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Pursuant to Rule 425 under the Securities Act of 1933</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and deemed filed pursuant to Rule 14a-12</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Subject Company: ARYA Sciences Acquisition Corp III</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Commission File No. 001-39434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130175</wp:posOffset>
            </wp:positionV>
            <wp:extent cx="7207885" cy="4297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50"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11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88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88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7885" cy="4388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2021-04-07T15:32:43Z</dcterms:created>
  <dcterms:modified xsi:type="dcterms:W3CDTF">2021-04-07T15:32:43Z</dcterms:modified>
</cp:coreProperties>
</file>