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May 3, 2022</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NAUTILUS BIOTECHNOLOGY,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50"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Arial" w:cs="Arial" w:eastAsia="Arial" w:hAnsi="Arial"/>
          <w:sz w:val="15"/>
          <w:szCs w:val="15"/>
          <w:color w:val="auto"/>
        </w:rPr>
        <w:t>(State or other jurisdiction</w:t>
      </w:r>
    </w:p>
    <w:p>
      <w:pPr>
        <w:spacing w:after="0" w:line="21"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93"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2701 Eastlake Avenue East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540"/>
        <w:spacing w:after="0"/>
        <w:rPr>
          <w:sz w:val="20"/>
          <w:szCs w:val="20"/>
          <w:color w:val="auto"/>
        </w:rPr>
      </w:pPr>
      <w:r>
        <w:rPr>
          <w:rFonts w:ascii="Arial" w:cs="Arial" w:eastAsia="Arial" w:hAnsi="Arial"/>
          <w:sz w:val="18"/>
          <w:szCs w:val="18"/>
          <w:b w:val="1"/>
          <w:bCs w:val="1"/>
          <w:color w:val="auto"/>
        </w:rPr>
        <w:t>98102</w:t>
      </w:r>
    </w:p>
    <w:p>
      <w:pPr>
        <w:spacing w:after="0" w:line="27" w:lineRule="exact"/>
        <w:rPr>
          <w:sz w:val="24"/>
          <w:szCs w:val="24"/>
          <w:color w:val="auto"/>
        </w:rPr>
      </w:pPr>
    </w:p>
    <w:p>
      <w:pPr>
        <w:jc w:val="center"/>
        <w:ind w:right="25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4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NAUT</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5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May 3, 2022, Nautilus Biotechnology, Inc. issued a press release reporting its financial results for the quarter ended March 31, 2022. A copy of the press release is furnished herewith as Exhibit 99.1 to this Current Report on Form 8-K.</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34" w:lineRule="exact"/>
        <w:rPr>
          <w:sz w:val="20"/>
          <w:szCs w:val="20"/>
          <w:color w:val="auto"/>
        </w:rPr>
      </w:pPr>
    </w:p>
    <w:p>
      <w:pPr>
        <w:ind w:left="20"/>
        <w:spacing w:after="0"/>
        <w:tabs>
          <w:tab w:leader="none" w:pos="96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May 3, 2022.</w:t>
        </w:r>
      </w:hyperlink>
    </w:p>
    <w:p>
      <w:pPr>
        <w:spacing w:after="0" w:line="23" w:lineRule="exact"/>
        <w:rPr>
          <w:sz w:val="20"/>
          <w:szCs w:val="20"/>
          <w:color w:val="auto"/>
        </w:rPr>
      </w:pPr>
    </w:p>
    <w:p>
      <w:pPr>
        <w:ind w:left="980" w:hanging="95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3, 2022</w:t>
      </w:r>
    </w:p>
    <w:p>
      <w:pPr>
        <w:spacing w:after="0" w:line="26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Reports First Quarter 2022 Financial Results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SEATTLE, WA, May 3, 2022 </w:t>
      </w:r>
      <w:r>
        <w:rPr>
          <w:rFonts w:ascii="Arial" w:cs="Arial" w:eastAsia="Arial" w:hAnsi="Arial"/>
          <w:sz w:val="18"/>
          <w:szCs w:val="18"/>
          <w:color w:val="auto"/>
        </w:rPr>
        <w:t>– Nautilus Biotechnology, Inc. (NASDAQ: NAUT; or “Nautilus”), a company pioneering a single molecule proteome</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today reported financial results for the first quarter ended March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56" w:lineRule="exact"/>
        <w:rPr>
          <w:sz w:val="20"/>
          <w:szCs w:val="20"/>
          <w:color w:val="auto"/>
        </w:rPr>
      </w:pPr>
    </w:p>
    <w:p>
      <w:pPr>
        <w:ind w:left="660" w:right="120" w:hanging="328"/>
        <w:spacing w:after="0" w:line="29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Shared a manuscript titled “Development of highly dense and scalable single protein arrays for single-molecule studies” that demonstrates an important element of creating high quality, high-density, single-molecule protein arrays that allow massively parallel detection and identification.</w:t>
      </w:r>
    </w:p>
    <w:p>
      <w:pPr>
        <w:ind w:left="660" w:right="2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results from our research collaboration with Genentech at the annual meeting of the US Human Proteome Organization in a poster titled ‘Single-Molecule Detection of Isoform-Specific Tau Phosphorylation’.</w:t>
      </w:r>
    </w:p>
    <w:p>
      <w:pPr>
        <w:ind w:left="660" w:right="48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a poster at the American Association of Cancer Research’s annual meeting including data that demonstrated our ability to produce antibodies that bind to trimer and tetramer peptide targets at picomolar affinity.</w:t>
      </w:r>
    </w:p>
    <w:p>
      <w:pPr>
        <w:spacing w:after="0" w:line="199"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“Each scientific objective we reach and each business milestone we achieve is designed to get us one step closer to our goal of improving the lives and health of people around the world”, said Sujal Patel, CEO of Nautilus. “With our goal of providing ubiquitous access to the proteome, we hope to expand countless research horizons and enable boundless scientific exploration and discovery. Our team of scientific and engineering innovators is fully aligned towards and committed to realizing these important objectives.”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Financial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were $16.0 million for the first quarter of 2022, a 90% increase from $8.4 million for the three months ended March 31, 2021. The increase in operating expenses was driven primarily by an increase in headcount to support ongoing development of our products as well as the costs associated with being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loss was $15.8 million for the first quarter of 2022, as compared to a net loss of $8.4 million for the corresponding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$349.0 million as of March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Nautilus will host a conference call to discuss the first quarter 2022 financial results, business developments and outlook before market open on Tuesday, May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2022 at 5:30 AM Pacific Time / 8:30 AM Eastern Time. Live audio of the webcast will be available on the “Investors” section of the company website at: </w:t>
      </w:r>
      <w:r>
        <w:rPr>
          <w:rFonts w:ascii="Arial" w:cs="Arial" w:eastAsia="Arial" w:hAnsi="Arial"/>
          <w:sz w:val="18"/>
          <w:szCs w:val="18"/>
          <w:u w:val="single" w:color="auto"/>
          <w:color w:val="0563C1"/>
        </w:rPr>
        <w:t>www.nautilus.bio</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Nautilus Biotechnology, Inc.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in Seattle, Washington, Nautilus is a development stage life sciences company creating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regarding our collaborations and strategic partnerships, including our expectations with respect to the suitability of the Nautilus product platform to investigate proteins and proteoforms, and the ability of our strategic partnership to accelerate technology development and enhance protein detection; and expectations with respect to the functionality and performance of Nautilus’ product platform, its potential impact on providing proteome access, pharmaceutical development and drug discovery, expanding research horizons, and enabling scientific explorations and discovery. These statements are based on numerous assumptions concerning the development of Nautilus’ products and target markets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88" w:lineRule="auto"/>
        <w:rPr>
          <w:sz w:val="20"/>
          <w:szCs w:val="20"/>
          <w:color w:val="auto"/>
        </w:rPr>
      </w:pPr>
      <w:r>
        <w:rPr>
          <w:rFonts w:ascii="Arial" w:cs="Arial" w:eastAsia="Arial" w:hAnsi="Arial"/>
          <w:sz w:val="16"/>
          <w:szCs w:val="16"/>
          <w:color w:val="auto"/>
        </w:rPr>
        <w:t>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 March 31, 2022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Information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Thermal for Nautilus Biotechnology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Kaustuva Das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press@nautilus.bio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investorrelations@nautilus.bio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1"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Balance Sheets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 of March 31, 2022 and December 31, 2021 (Unaudited)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2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188,622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384,673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196"/>
        </w:trPr>
        <w:tc>
          <w:tcPr>
            <w:tcW w:w="7280" w:type="dxa"/>
            <w:vAlign w:val="bottom"/>
          </w:tcPr>
          <w:p>
            <w:pPr>
              <w:ind w:left="24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34,964</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34,874</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446,654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444,388</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(96,403)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(80,640)</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349,709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363,576</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384,673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320" w:top="140" w:right="131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Months Ended March 31, 2022 and 2021 (Unaudited)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9,658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23"/>
        </w:trPr>
        <w:tc>
          <w:tcPr>
            <w:tcW w:w="70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0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124,418,580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32,999,880</w:t>
            </w:r>
          </w:p>
        </w:tc>
        <w:tc>
          <w:tcPr>
            <w:tcW w:w="0" w:type="dxa"/>
            <w:vAlign w:val="bottom"/>
          </w:tcPr>
          <w:p>
            <w:pPr>
              <w:spacing w:after="0"/>
              <w:rPr>
                <w:sz w:val="1"/>
                <w:szCs w:val="1"/>
                <w:color w:val="auto"/>
              </w:rPr>
            </w:pPr>
          </w:p>
        </w:tc>
      </w:tr>
      <w:tr>
        <w:trPr>
          <w:trHeight w:val="203"/>
        </w:trPr>
        <w:tc>
          <w:tcPr>
            <w:tcW w:w="706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stockholders, basic and diluted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hanging="332"/>
        <w:spacing w:after="0" w:line="273" w:lineRule="auto"/>
        <w:tabs>
          <w:tab w:leader="none" w:pos="36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weighted-average number of shares of Common Stock outstanding prior to the Business Combination have been retroactively restated to reflect the exchange ratio of approximately 3.6281 established in the Business Combination.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0"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Cash Flows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Months Ended March 31, 2022 and 2021 (Unaudited)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12"/>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on securities,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maturities of securities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23"/>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23,518</w:t>
            </w:r>
          </w:p>
        </w:tc>
      </w:tr>
      <w:tr>
        <w:trPr>
          <w:trHeight w:val="20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Payments of offering costs</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223"/>
        </w:trPr>
        <w:tc>
          <w:tcPr>
            <w:tcW w:w="7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r>
      <w:tr>
        <w:trPr>
          <w:trHeight w:val="223"/>
        </w:trPr>
        <w:tc>
          <w:tcPr>
            <w:tcW w:w="7280" w:type="dxa"/>
            <w:vAlign w:val="bottom"/>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15,196</w:t>
            </w:r>
          </w:p>
        </w:tc>
      </w:tr>
      <w:tr>
        <w:trPr>
          <w:trHeight w:val="257"/>
        </w:trPr>
        <w:tc>
          <w:tcPr>
            <w:tcW w:w="7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sectPr>
      <w:pgSz w:w="11900" w:h="16838" w:orient="portrait"/>
      <w:cols w:equalWidth="0" w:num="1">
        <w:col w:w="10260"/>
      </w:cols>
      <w:pgMar w:left="320" w:top="140"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2022-05-03T05:27:43Z</dcterms:created>
  <dcterms:modified xsi:type="dcterms:W3CDTF">2022-05-03T05:27:43Z</dcterms:modified>
</cp:coreProperties>
</file>