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742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47"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6"/>
            <w:vMerge w:val="restart"/>
          </w:tcPr>
          <w:p>
            <w:pPr>
              <w:ind w:left="20"/>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Posard Matthew L.</w:t>
              </w:r>
            </w:hyperlink>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tcPr>
          <w:p>
            <w:pPr>
              <w:spacing w:after="0" w:line="103" w:lineRule="exact"/>
              <w:rPr>
                <w:rFonts w:ascii="Times New Roman" w:cs="Times New Roman" w:eastAsia="Times New Roman" w:hAnsi="Times New Roman"/>
                <w:sz w:val="11"/>
                <w:szCs w:val="11"/>
                <w:color w:val="0000EE"/>
              </w:rPr>
            </w:pPr>
            <w:hyperlink r:id="rId13">
              <w:r>
                <w:rPr>
                  <w:rFonts w:ascii="Times New Roman" w:cs="Times New Roman" w:eastAsia="Times New Roman" w:hAnsi="Times New Roman"/>
                  <w:sz w:val="11"/>
                  <w:szCs w:val="11"/>
                  <w:color w:val="0000EE"/>
                </w:rPr>
                <w:t xml:space="preserve">Nautilus Biotechnology,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NAUT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60" w:type="dxa"/>
            <w:vAlign w:val="bottom"/>
            <w:gridSpan w:val="6"/>
            <w:vMerge w:val="continue"/>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8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0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40" w:type="dxa"/>
            <w:vAlign w:val="bottom"/>
            <w:gridSpan w:val="8"/>
            <w:vMerge w:val="continue"/>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60" w:type="dxa"/>
            <w:vAlign w:val="bottom"/>
            <w:gridSpan w:val="7"/>
            <w:vMerge w:val="restart"/>
          </w:tcPr>
          <w:p>
            <w:pPr>
              <w:ind w:left="20"/>
              <w:spacing w:after="0"/>
              <w:rPr>
                <w:sz w:val="20"/>
                <w:szCs w:val="20"/>
                <w:color w:val="auto"/>
              </w:rPr>
            </w:pPr>
            <w:r>
              <w:rPr>
                <w:rFonts w:ascii="Times New Roman" w:cs="Times New Roman" w:eastAsia="Times New Roman" w:hAnsi="Times New Roman"/>
                <w:sz w:val="17"/>
                <w:szCs w:val="17"/>
                <w:color w:val="0000FF"/>
              </w:rPr>
              <w:t>C/O NAUTILUS BIOTECHNOLOGY, INC.</w:t>
            </w:r>
          </w:p>
        </w:tc>
        <w:tc>
          <w:tcPr>
            <w:tcW w:w="1300" w:type="dxa"/>
            <w:vAlign w:val="bottom"/>
            <w:gridSpan w:val="5"/>
          </w:tcPr>
          <w:p>
            <w:pPr>
              <w:ind w:left="260"/>
              <w:spacing w:after="0"/>
              <w:rPr>
                <w:sz w:val="20"/>
                <w:szCs w:val="20"/>
                <w:color w:val="auto"/>
              </w:rPr>
            </w:pPr>
            <w:r>
              <w:rPr>
                <w:rFonts w:ascii="Times New Roman" w:cs="Times New Roman" w:eastAsia="Times New Roman" w:hAnsi="Times New Roman"/>
                <w:sz w:val="17"/>
                <w:szCs w:val="17"/>
                <w:color w:val="0000FF"/>
              </w:rPr>
              <w:t>06/15/2022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560" w:type="dxa"/>
            <w:vAlign w:val="bottom"/>
            <w:gridSpan w:val="7"/>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w w:val="97"/>
              </w:rPr>
              <w:t>2701 EASTLAKE AVENUE EAST</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6"/>
            <w:vMerge w:val="continue"/>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520" w:type="dxa"/>
            <w:vAlign w:val="bottom"/>
            <w:gridSpan w:val="9"/>
            <w:vMerge w:val="continue"/>
          </w:tcPr>
          <w:p>
            <w:pPr>
              <w:spacing w:after="0"/>
              <w:rPr>
                <w:sz w:val="6"/>
                <w:szCs w:val="6"/>
                <w:color w:val="auto"/>
              </w:rPr>
            </w:pPr>
          </w:p>
        </w:tc>
        <w:tc>
          <w:tcPr>
            <w:tcW w:w="240" w:type="dxa"/>
            <w:vAlign w:val="bottom"/>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restart"/>
          </w:tcPr>
          <w:p>
            <w:pPr>
              <w:spacing w:after="0"/>
              <w:rPr>
                <w:sz w:val="6"/>
                <w:szCs w:val="6"/>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0" w:type="dxa"/>
            <w:vAlign w:val="bottom"/>
            <w:gridSpan w:val="10"/>
          </w:tcPr>
          <w:p>
            <w:pPr>
              <w:ind w:left="26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SEATTLE</w:t>
            </w:r>
          </w:p>
        </w:tc>
        <w:tc>
          <w:tcPr>
            <w:tcW w:w="12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WA</w:t>
            </w: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98102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ind w:left="140"/>
              <w:spacing w:after="0" w:line="142"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0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860" w:type="dxa"/>
            <w:vAlign w:val="bottom"/>
            <w:tcBorders>
              <w:bottom w:val="single" w:sz="8" w:color="2C2C2C"/>
            </w:tcBorders>
            <w:gridSpan w:val="3"/>
          </w:tcPr>
          <w:p>
            <w:pPr>
              <w:spacing w:after="0"/>
              <w:rPr>
                <w:sz w:val="10"/>
                <w:szCs w:val="10"/>
                <w:color w:val="auto"/>
              </w:rPr>
            </w:pPr>
          </w:p>
        </w:tc>
        <w:tc>
          <w:tcPr>
            <w:tcW w:w="1400" w:type="dxa"/>
            <w:vAlign w:val="bottom"/>
            <w:tcBorders>
              <w:bottom w:val="single" w:sz="8" w:color="2C2C2C"/>
            </w:tcBorders>
            <w:gridSpan w:val="3"/>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04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580" w:type="dxa"/>
            <w:vAlign w:val="bottom"/>
            <w:tcBorders>
              <w:bottom w:val="single" w:sz="8" w:color="2C2C2C"/>
            </w:tcBorders>
            <w:gridSpan w:val="4"/>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6"/>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22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860" w:type="dxa"/>
            <w:vAlign w:val="bottom"/>
            <w:tcBorders>
              <w:bottom w:val="single" w:sz="8" w:color="2C2C2C"/>
            </w:tcBorders>
            <w:gridSpan w:val="3"/>
          </w:tcPr>
          <w:p>
            <w:pPr>
              <w:spacing w:after="0"/>
              <w:rPr>
                <w:sz w:val="7"/>
                <w:szCs w:val="7"/>
                <w:color w:val="auto"/>
              </w:rPr>
            </w:pPr>
          </w:p>
        </w:tc>
        <w:tc>
          <w:tcPr>
            <w:tcW w:w="1700" w:type="dxa"/>
            <w:vAlign w:val="bottom"/>
            <w:tcBorders>
              <w:bottom w:val="single" w:sz="8" w:color="2C2C2C"/>
            </w:tcBorders>
            <w:gridSpan w:val="4"/>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220" w:type="dxa"/>
            <w:vAlign w:val="bottom"/>
            <w:tcBorders>
              <w:top w:val="single" w:sz="8" w:color="2C2C2C"/>
            </w:tcBorders>
          </w:tcPr>
          <w:p>
            <w:pPr>
              <w:spacing w:after="0"/>
              <w:rPr>
                <w:sz w:val="18"/>
                <w:szCs w:val="18"/>
                <w:color w:val="auto"/>
              </w:rPr>
            </w:pPr>
          </w:p>
        </w:tc>
        <w:tc>
          <w:tcPr>
            <w:tcW w:w="7040" w:type="dxa"/>
            <w:vAlign w:val="bottom"/>
            <w:tcBorders>
              <w:top w:val="single" w:sz="8" w:color="2C2C2C"/>
            </w:tcBorders>
            <w:gridSpan w:val="19"/>
          </w:tcPr>
          <w:p>
            <w:pPr>
              <w:ind w:left="8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gridSpan w:val="4"/>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3"/>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2.7</w:t>
            </w:r>
          </w:p>
        </w:tc>
        <w:tc>
          <w:tcPr>
            <w:tcW w:w="140" w:type="dxa"/>
            <w:vAlign w:val="bottom"/>
          </w:tcPr>
          <w:p>
            <w:pPr>
              <w:spacing w:after="0"/>
              <w:rPr>
                <w:sz w:val="16"/>
                <w:szCs w:val="16"/>
                <w:color w:val="auto"/>
              </w:rPr>
            </w:pPr>
          </w:p>
        </w:tc>
        <w:tc>
          <w:tcPr>
            <w:tcW w:w="1080" w:type="dxa"/>
            <w:vAlign w:val="bottom"/>
            <w:gridSpan w:val="2"/>
          </w:tcPr>
          <w:p>
            <w:pPr>
              <w:jc w:val="right"/>
              <w:ind w:right="156"/>
              <w:spacing w:after="0"/>
              <w:rPr>
                <w:sz w:val="20"/>
                <w:szCs w:val="20"/>
                <w:color w:val="auto"/>
              </w:rPr>
            </w:pPr>
            <w:r>
              <w:rPr>
                <w:rFonts w:ascii="Times New Roman" w:cs="Times New Roman" w:eastAsia="Times New Roman" w:hAnsi="Times New Roman"/>
                <w:sz w:val="13"/>
                <w:szCs w:val="13"/>
                <w:color w:val="0000FF"/>
              </w:rPr>
              <w:t>06/15/2022</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86,467</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0000FF"/>
              </w:rPr>
              <w:t>06/15/2032</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spacing w:after="0" w:line="194" w:lineRule="exact"/>
              <w:rPr>
                <w:sz w:val="20"/>
                <w:szCs w:val="20"/>
                <w:color w:val="auto"/>
              </w:rPr>
            </w:pPr>
            <w:r>
              <w:rPr>
                <w:rFonts w:ascii="Times New Roman" w:cs="Times New Roman" w:eastAsia="Times New Roman" w:hAnsi="Times New Roman"/>
                <w:sz w:val="17"/>
                <w:szCs w:val="17"/>
                <w:color w:val="0000FF"/>
              </w:rPr>
              <w:t>86,467</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86,467</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Subject to reporting person's continuous status as a "Service Provider" (as defined in the Issuer's 2021 Equity Incentive Plan) through each applicable vesting date, one-twelfth (1/12th) of the shares subject to the Option shall vest on a monthly basis following the date of grant on the same day of the month as such grant date (or on the last day of the month, if there is no corresponding day in such month).</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Matthew B. Murphy, as</w:t>
            </w:r>
          </w:p>
        </w:tc>
        <w:tc>
          <w:tcPr>
            <w:tcW w:w="42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06/16/2022</w:t>
            </w:r>
          </w:p>
        </w:tc>
        <w:tc>
          <w:tcPr>
            <w:tcW w:w="0" w:type="dxa"/>
            <w:vAlign w:val="bottom"/>
          </w:tcPr>
          <w:p>
            <w:pPr>
              <w:spacing w:after="0"/>
              <w:rPr>
                <w:sz w:val="1"/>
                <w:szCs w:val="1"/>
                <w:color w:val="auto"/>
              </w:rPr>
            </w:pPr>
          </w:p>
        </w:tc>
      </w:tr>
      <w:tr>
        <w:trPr>
          <w:trHeight w:val="88"/>
        </w:trPr>
        <w:tc>
          <w:tcPr>
            <w:tcW w:w="112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10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43792" TargetMode="External"/><Relationship Id="rId13" Type="http://schemas.openxmlformats.org/officeDocument/2006/relationships/hyperlink" Target="http://www.sec.gov/cgi-bin/browse-edgar?action=getcompany&amp;CIK=00018088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2022-06-16T19:11:37Z</dcterms:created>
  <dcterms:modified xsi:type="dcterms:W3CDTF">2022-06-16T19:11:37Z</dcterms:modified>
</cp:coreProperties>
</file>