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360" w:right="278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287020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ARYA Sciences Acquisition Corp III</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ordinary shares, $0.0001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par value per share</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G3166W106</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August 11, 2020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279400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660" w:hanging="203"/>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85" w:lineRule="exact"/>
        <w:rPr>
          <w:sz w:val="24"/>
          <w:szCs w:val="24"/>
          <w:color w:val="auto"/>
        </w:rPr>
      </w:pPr>
    </w:p>
    <w:p>
      <w:pPr>
        <w:ind w:left="660" w:hanging="203"/>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65" w:lineRule="exact"/>
        <w:rPr>
          <w:sz w:val="24"/>
          <w:szCs w:val="24"/>
          <w:color w:val="auto"/>
        </w:rPr>
      </w:pPr>
    </w:p>
    <w:p>
      <w:pPr>
        <w:ind w:left="46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57" w:lineRule="exact"/>
        <w:rPr>
          <w:sz w:val="24"/>
          <w:szCs w:val="24"/>
          <w:color w:val="auto"/>
        </w:rPr>
      </w:pPr>
    </w:p>
    <w:p>
      <w:pPr>
        <w:ind w:left="460" w:right="220" w:hanging="445"/>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spacing w:after="0"/>
        <w:tabs>
          <w:tab w:leader="none" w:pos="570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G3166W106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7 Pages</w:t>
      </w:r>
    </w:p>
    <w:p>
      <w:pPr>
        <w:spacing w:after="0" w:line="171" w:lineRule="exact"/>
        <w:rPr>
          <w:sz w:val="20"/>
          <w:szCs w:val="20"/>
          <w:color w:val="auto"/>
        </w:rPr>
      </w:pPr>
    </w:p>
    <w:p>
      <w:pPr>
        <w:ind w:left="640" w:hanging="38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220970"/>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Bain Capital Life Sciences Fund II, L.P.</w:t>
      </w:r>
    </w:p>
    <w:p>
      <w:pPr>
        <w:spacing w:after="0" w:line="36" w:lineRule="exact"/>
        <w:rPr>
          <w:sz w:val="20"/>
          <w:szCs w:val="20"/>
          <w:color w:val="auto"/>
        </w:rPr>
      </w:pPr>
    </w:p>
    <w:p>
      <w:pPr>
        <w:ind w:left="640" w:hanging="38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4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8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40" w:hanging="38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80" w:type="dxa"/>
        <w:tblCellMar>
          <w:top w:w="0" w:type="dxa"/>
          <w:left w:w="0" w:type="dxa"/>
          <w:bottom w:w="0" w:type="dxa"/>
          <w:right w:w="0" w:type="dxa"/>
        </w:tblCellMar>
      </w:tblPr>
      <w:tr>
        <w:trPr>
          <w:trHeight w:val="244"/>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Class A ordinary shares</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5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9500" w:type="dxa"/>
            <w:vAlign w:val="bottom"/>
            <w:vMerge w:val="restart"/>
          </w:tcPr>
          <w:p>
            <w:pPr>
              <w:ind w:left="140"/>
              <w:spacing w:after="0"/>
              <w:rPr>
                <w:sz w:val="20"/>
                <w:szCs w:val="20"/>
                <w:color w:val="auto"/>
              </w:rPr>
            </w:pPr>
            <w:r>
              <w:rPr>
                <w:rFonts w:ascii="Arial" w:cs="Arial" w:eastAsia="Arial" w:hAnsi="Arial"/>
                <w:sz w:val="18"/>
                <w:szCs w:val="18"/>
                <w:color w:val="auto"/>
              </w:rPr>
              <w:t>891,429 Class A ordinary shares</w:t>
            </w:r>
          </w:p>
        </w:tc>
        <w:tc>
          <w:tcPr>
            <w:tcW w:w="0" w:type="dxa"/>
            <w:vAlign w:val="bottom"/>
          </w:tcPr>
          <w:p>
            <w:pPr>
              <w:spacing w:after="0"/>
              <w:rPr>
                <w:sz w:val="1"/>
                <w:szCs w:val="1"/>
                <w:color w:val="auto"/>
              </w:rPr>
            </w:pPr>
          </w:p>
        </w:tc>
      </w:tr>
      <w:tr>
        <w:trPr>
          <w:trHeight w:val="230"/>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Owned by</w:t>
            </w:r>
          </w:p>
        </w:tc>
        <w:tc>
          <w:tcPr>
            <w:tcW w:w="50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5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5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500" w:type="dxa"/>
            <w:vAlign w:val="bottom"/>
          </w:tcPr>
          <w:p>
            <w:pPr>
              <w:spacing w:after="0"/>
              <w:rPr>
                <w:sz w:val="18"/>
                <w:szCs w:val="18"/>
                <w:color w:val="auto"/>
              </w:rPr>
            </w:pPr>
          </w:p>
        </w:tc>
        <w:tc>
          <w:tcPr>
            <w:tcW w:w="9500" w:type="dxa"/>
            <w:vAlign w:val="bottom"/>
          </w:tcPr>
          <w:p>
            <w:pPr>
              <w:ind w:left="140"/>
              <w:spacing w:after="0"/>
              <w:rPr>
                <w:sz w:val="20"/>
                <w:szCs w:val="20"/>
                <w:color w:val="auto"/>
              </w:rPr>
            </w:pPr>
            <w:r>
              <w:rPr>
                <w:rFonts w:ascii="Arial" w:cs="Arial" w:eastAsia="Arial" w:hAnsi="Arial"/>
                <w:sz w:val="18"/>
                <w:szCs w:val="18"/>
                <w:color w:val="auto"/>
              </w:rPr>
              <w:t>0 Class A ordinary shares</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50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5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891,429 Class A ordinary shares</w:t>
      </w:r>
    </w:p>
    <w:p>
      <w:pPr>
        <w:spacing w:after="0" w:line="36" w:lineRule="exact"/>
        <w:rPr>
          <w:sz w:val="20"/>
          <w:szCs w:val="20"/>
          <w:color w:val="auto"/>
        </w:rPr>
      </w:pPr>
    </w:p>
    <w:p>
      <w:pPr>
        <w:ind w:left="620" w:hanging="36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891,429 Class A ordinary shares</w:t>
      </w:r>
    </w:p>
    <w:p>
      <w:pPr>
        <w:spacing w:after="0" w:line="36" w:lineRule="exact"/>
        <w:rPr>
          <w:sz w:val="20"/>
          <w:szCs w:val="20"/>
          <w:color w:val="auto"/>
        </w:rPr>
      </w:pPr>
    </w:p>
    <w:p>
      <w:pPr>
        <w:ind w:left="640" w:hanging="47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6960" w:hanging="475"/>
        <w:spacing w:after="0" w:line="40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w:t>
      </w:r>
    </w:p>
    <w:p>
      <w:pPr>
        <w:spacing w:after="0" w:line="1" w:lineRule="exact"/>
        <w:rPr>
          <w:rFonts w:ascii="Arial" w:cs="Arial" w:eastAsia="Arial" w:hAnsi="Arial"/>
          <w:sz w:val="18"/>
          <w:szCs w:val="18"/>
          <w:color w:val="auto"/>
        </w:rPr>
      </w:pPr>
    </w:p>
    <w:p>
      <w:pPr>
        <w:ind w:left="640" w:hanging="475"/>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60"/>
          </w:cols>
          <w:pgMar w:left="320" w:top="274" w:right="319" w:bottom="1440" w:gutter="0" w:footer="0" w:header="0"/>
        </w:sectPr>
      </w:pPr>
    </w:p>
    <w:bookmarkStart w:id="2" w:name="page3"/>
    <w:bookmarkEnd w:id="2"/>
    <w:p>
      <w:pPr>
        <w:spacing w:after="0"/>
        <w:tabs>
          <w:tab w:leader="none" w:pos="570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G3166W106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7 Pages</w:t>
      </w:r>
    </w:p>
    <w:p>
      <w:pPr>
        <w:spacing w:after="0" w:line="171" w:lineRule="exact"/>
        <w:rPr>
          <w:sz w:val="20"/>
          <w:szCs w:val="20"/>
          <w:color w:val="auto"/>
        </w:rPr>
      </w:pPr>
    </w:p>
    <w:p>
      <w:pPr>
        <w:ind w:left="640" w:hanging="385"/>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220335"/>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BCIP Life Sciences Associates, LP</w:t>
      </w:r>
    </w:p>
    <w:p>
      <w:pPr>
        <w:spacing w:after="0" w:line="36" w:lineRule="exact"/>
        <w:rPr>
          <w:sz w:val="20"/>
          <w:szCs w:val="20"/>
          <w:color w:val="auto"/>
        </w:rPr>
      </w:pPr>
    </w:p>
    <w:p>
      <w:pPr>
        <w:ind w:left="640" w:hanging="38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4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8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40" w:hanging="385"/>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80" w:type="dxa"/>
        <w:tblCellMar>
          <w:top w:w="0" w:type="dxa"/>
          <w:left w:w="0" w:type="dxa"/>
          <w:bottom w:w="0" w:type="dxa"/>
          <w:right w:w="0" w:type="dxa"/>
        </w:tblCellMar>
      </w:tblPr>
      <w:tr>
        <w:trPr>
          <w:trHeight w:val="244"/>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Class A ordinary shares</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5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9500" w:type="dxa"/>
            <w:vAlign w:val="bottom"/>
            <w:vMerge w:val="restart"/>
          </w:tcPr>
          <w:p>
            <w:pPr>
              <w:ind w:left="140"/>
              <w:spacing w:after="0"/>
              <w:rPr>
                <w:sz w:val="20"/>
                <w:szCs w:val="20"/>
                <w:color w:val="auto"/>
              </w:rPr>
            </w:pPr>
            <w:r>
              <w:rPr>
                <w:rFonts w:ascii="Arial" w:cs="Arial" w:eastAsia="Arial" w:hAnsi="Arial"/>
                <w:sz w:val="18"/>
                <w:szCs w:val="18"/>
                <w:color w:val="auto"/>
              </w:rPr>
              <w:t>108,571 Class A ordinary shares</w:t>
            </w:r>
          </w:p>
        </w:tc>
        <w:tc>
          <w:tcPr>
            <w:tcW w:w="0" w:type="dxa"/>
            <w:vAlign w:val="bottom"/>
          </w:tcPr>
          <w:p>
            <w:pPr>
              <w:spacing w:after="0"/>
              <w:rPr>
                <w:sz w:val="1"/>
                <w:szCs w:val="1"/>
                <w:color w:val="auto"/>
              </w:rPr>
            </w:pPr>
          </w:p>
        </w:tc>
      </w:tr>
      <w:tr>
        <w:trPr>
          <w:trHeight w:val="230"/>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Owned by</w:t>
            </w:r>
          </w:p>
        </w:tc>
        <w:tc>
          <w:tcPr>
            <w:tcW w:w="50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5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5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87"/>
              </w:rPr>
              <w:t>Person</w:t>
            </w:r>
          </w:p>
        </w:tc>
        <w:tc>
          <w:tcPr>
            <w:tcW w:w="500" w:type="dxa"/>
            <w:vAlign w:val="bottom"/>
          </w:tcPr>
          <w:p>
            <w:pPr>
              <w:spacing w:after="0"/>
              <w:rPr>
                <w:sz w:val="18"/>
                <w:szCs w:val="18"/>
                <w:color w:val="auto"/>
              </w:rPr>
            </w:pPr>
          </w:p>
        </w:tc>
        <w:tc>
          <w:tcPr>
            <w:tcW w:w="9500" w:type="dxa"/>
            <w:vAlign w:val="bottom"/>
          </w:tcPr>
          <w:p>
            <w:pPr>
              <w:ind w:left="140"/>
              <w:spacing w:after="0"/>
              <w:rPr>
                <w:sz w:val="20"/>
                <w:szCs w:val="20"/>
                <w:color w:val="auto"/>
              </w:rPr>
            </w:pPr>
            <w:r>
              <w:rPr>
                <w:rFonts w:ascii="Arial" w:cs="Arial" w:eastAsia="Arial" w:hAnsi="Arial"/>
                <w:sz w:val="18"/>
                <w:szCs w:val="18"/>
                <w:color w:val="auto"/>
              </w:rPr>
              <w:t>0 Class A ordinary shares</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50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5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108,571 Class A ordinary shares</w:t>
      </w:r>
    </w:p>
    <w:p>
      <w:pPr>
        <w:spacing w:after="0" w:line="36" w:lineRule="exact"/>
        <w:rPr>
          <w:sz w:val="20"/>
          <w:szCs w:val="20"/>
          <w:color w:val="auto"/>
        </w:rPr>
      </w:pPr>
    </w:p>
    <w:p>
      <w:pPr>
        <w:ind w:left="620" w:hanging="365"/>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108,571 Class A ordinary shares</w:t>
      </w:r>
    </w:p>
    <w:p>
      <w:pPr>
        <w:spacing w:after="0" w:line="36" w:lineRule="exact"/>
        <w:rPr>
          <w:sz w:val="20"/>
          <w:szCs w:val="20"/>
          <w:color w:val="auto"/>
        </w:rPr>
      </w:pPr>
    </w:p>
    <w:p>
      <w:pPr>
        <w:ind w:left="640" w:hanging="47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6960" w:hanging="475"/>
        <w:spacing w:after="0" w:line="402"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0.7%</w:t>
      </w:r>
    </w:p>
    <w:p>
      <w:pPr>
        <w:spacing w:after="0" w:line="1" w:lineRule="exact"/>
        <w:rPr>
          <w:rFonts w:ascii="Arial" w:cs="Arial" w:eastAsia="Arial" w:hAnsi="Arial"/>
          <w:sz w:val="18"/>
          <w:szCs w:val="18"/>
          <w:color w:val="auto"/>
        </w:rPr>
      </w:pPr>
    </w:p>
    <w:p>
      <w:pPr>
        <w:ind w:left="640" w:hanging="47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60"/>
          </w:cols>
          <w:pgMar w:left="320" w:top="274" w:right="319"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issuer to which this filing on Schedule 13G relates is ARYA Sciences Acquisition Corp III (the “Issuer”).</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executive offices of the Issuer are located at 51 Astor Place, 10th Floor, New York, New York 10003.</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Schedule 13G is being filed jointly by Bain Capital Life Sciences Fund II, L.P., a Cayman exempted limited partnership (“BCLS II”), and BCIP Life Sciences Associates, LP, a Delaware limited partnership (“BCIPLS” and, together with BCLS II, the “Reporting Persons”).</w:t>
      </w:r>
    </w:p>
    <w:p>
      <w:pPr>
        <w:spacing w:after="0" w:line="170"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Bain Capital Life Sciences Investors, LLC, a Delaware limited liability company (“BCLSI”), whose managers are Jeffrey Schwartz and Adam Koppel, is the manager of Bain Capital Life Sciences Investors II, LLC, a Cayman limited liability company (“BCLSI II”), which is the general partner of BCLS II.</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Boylston Coinvestors, LLC, a Delaware limited liability company (“Boylston”), is the general partner of BCIPLS. BCLSI governs the investment strategy and decision-making process with respect to investments held by BCIPLS.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a result, each of BCLSI, Mr. Schwartz and Dr. Koppel may be deemed to share voting and dispositive power with respect to the securities held by the Reporting Persons.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Reporting Persons have entered into a Joint Filing Agreement, dated August 13, 2020, pursuant to which the Reporting Persons have agreed to file this Schedule 13G jointly in accordance with the provisions of Rule 13d-1(k)(1) promulgated under the Act.</w:t>
      </w:r>
    </w:p>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principal business address of each of the Reporting Persons, BCLSI, BCLSI II, Boylston, Mr. Schwartz and Dr. Koppel is 200 Clarendon Street, Boston, Massachusetts 02116.</w:t>
      </w:r>
    </w:p>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BCLS II and BCLSI II are each organized under the laws of the Cayman Islands. BCIPLS, BCLSI and Boylston are each organized under the laws of the State of Delaware. Mr. Schwartz and Dr. Koppel are citizens of the United States.</w:t>
      </w:r>
    </w:p>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class of securities of the Issuer to which this Schedule 13G relates is Class A ordinary shares, $0.0001 par value per share (“Class A ordinary shares”).</w:t>
      </w:r>
    </w:p>
    <w:p>
      <w:pPr>
        <w:spacing w:after="0" w:line="39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CUSIP number of the Class A ordinary shares is G3166W106.</w:t>
      </w:r>
    </w:p>
    <w:p>
      <w:pPr>
        <w:sectPr>
          <w:pgSz w:w="11900" w:h="16838" w:orient="portrait"/>
          <w:cols w:equalWidth="0" w:num="1">
            <w:col w:w="11200"/>
          </w:cols>
          <w:pgMar w:left="320" w:top="270" w:right="379" w:bottom="1440" w:gutter="0" w:footer="0" w:header="0"/>
        </w:sectPr>
      </w:pPr>
    </w:p>
    <w:bookmarkStart w:id="4" w:name="page5"/>
    <w:bookmarkEnd w:id="4"/>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3" w:lineRule="exact"/>
        <w:rPr>
          <w:sz w:val="20"/>
          <w:szCs w:val="20"/>
          <w:color w:val="auto"/>
        </w:rPr>
      </w:pPr>
    </w:p>
    <w:p>
      <w:pPr>
        <w:ind w:left="260" w:hanging="252"/>
        <w:spacing w:after="0" w:line="207" w:lineRule="exact"/>
        <w:tabs>
          <w:tab w:leader="none" w:pos="2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117"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117"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117"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117"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117"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117"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920" w:right="400" w:hanging="912"/>
        <w:spacing w:after="0" w:line="223" w:lineRule="exact"/>
        <w:tabs>
          <w:tab w:leader="none" w:pos="23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spacing w:after="0" w:line="94" w:lineRule="exact"/>
        <w:rPr>
          <w:rFonts w:ascii="Arial" w:cs="Arial" w:eastAsia="Arial" w:hAnsi="Arial"/>
          <w:sz w:val="18"/>
          <w:szCs w:val="18"/>
          <w:color w:val="auto"/>
        </w:rPr>
      </w:pPr>
    </w:p>
    <w:p>
      <w:pPr>
        <w:ind w:left="220" w:hanging="212"/>
        <w:spacing w:after="0" w:line="207" w:lineRule="exact"/>
        <w:tabs>
          <w:tab w:leader="none" w:pos="22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17"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 of the date hereof, BCLS II holds 891,429 Class A ordinary shares, representing approximately 5.8% of the Issuer’s outstanding Class A ordinary shares, and BCIPLS holds 108,571 Class A ordinary shares, representing approximately 0.7% of the Issuer’s outstanding Class A ordinary shares.</w:t>
      </w:r>
    </w:p>
    <w:p>
      <w:pPr>
        <w:spacing w:after="0" w:line="124"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As a result of the foregoing and the relationships described in Item 2(a), the Reporting Persons may be deemed to collectively beneficially own an aggregate of 1,000,000 Class A ordinary shares, representing approximately 6.5% of the Issuer’s outstanding Class A ordinary shares.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percentage of the Issuer’s outstanding Class A ordinary shares held by the Reporting Persons is based on 15,449,000 Class A ordinary shares issued and outstanding immediately following the closing of the Issuer’s initial public offering and concurrent private placement on August 11, 2020, after giving effect to the exercise in full of the underwriters’ over-allotment option, as reported by the Issuer in its Prospectus filed with the Securities and Exchange Commission (the “SEC”) pursuant to Rule 424(b)(4) under the Securities Act of 1933, as amended, on August 10, 2020 and its Current Report on Form 8-K filed with the SEC on August 12,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Percent of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Item 4(a) 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Number of shares as to which the person has:</w:t>
      </w:r>
    </w:p>
    <w:p>
      <w:pPr>
        <w:spacing w:after="0" w:line="121" w:lineRule="exact"/>
        <w:rPr>
          <w:sz w:val="20"/>
          <w:szCs w:val="20"/>
          <w:color w:val="auto"/>
        </w:rPr>
      </w:pPr>
    </w:p>
    <w:p>
      <w:pPr>
        <w:ind w:right="8060" w:firstLine="8"/>
        <w:spacing w:after="0" w:line="402"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0 Class A ordinary shares</w:t>
      </w:r>
    </w:p>
    <w:p>
      <w:pPr>
        <w:sectPr>
          <w:pgSz w:w="11900" w:h="16838" w:orient="portrait"/>
          <w:cols w:equalWidth="0" w:num="1">
            <w:col w:w="11140"/>
          </w:cols>
          <w:pgMar w:left="320" w:top="270" w:right="439" w:bottom="1440" w:gutter="0" w:footer="0" w:header="0"/>
        </w:sectPr>
      </w:pPr>
    </w:p>
    <w:bookmarkStart w:id="5" w:name="page6"/>
    <w:bookmarkEnd w:id="5"/>
    <w:p>
      <w:pPr>
        <w:ind w:right="7840" w:firstLine="8"/>
        <w:spacing w:after="0" w:line="483" w:lineRule="auto"/>
        <w:tabs>
          <w:tab w:leader="none" w:pos="265"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Shared power to vote or to direct the vote: BCLS II 891,429 Class A ordinary shares</w:t>
      </w:r>
    </w:p>
    <w:p>
      <w:pPr>
        <w:spacing w:after="0" w:line="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BCIPLS</w:t>
        <w:tab/>
        <w:t>108,571 Class A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Class A ordinary shares</w:t>
      </w:r>
    </w:p>
    <w:p>
      <w:pPr>
        <w:spacing w:after="0" w:line="117" w:lineRule="exact"/>
        <w:rPr>
          <w:sz w:val="20"/>
          <w:szCs w:val="20"/>
          <w:color w:val="auto"/>
        </w:rPr>
      </w:pPr>
    </w:p>
    <w:p>
      <w:pPr>
        <w:ind w:right="6900" w:firstLine="8"/>
        <w:spacing w:after="0" w:line="530" w:lineRule="auto"/>
        <w:tabs>
          <w:tab w:leader="none" w:pos="3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BCLS II 891,429 Class A ordinary shares</w:t>
      </w:r>
    </w:p>
    <w:p>
      <w:pPr>
        <w:spacing w:after="0" w:line="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BCIPLS</w:t>
        <w:tab/>
        <w:t>108,571 Class A ordinary shares</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00" w:hanging="998"/>
        <w:spacing w:after="0" w:line="282" w:lineRule="auto"/>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60"/>
          </w:cols>
          <w:pgMar w:left="320" w:top="274" w:right="419" w:bottom="1440" w:gutter="0" w:footer="0" w:header="0"/>
        </w:sectPr>
      </w:pPr>
    </w:p>
    <w:bookmarkStart w:id="6" w:name="page7"/>
    <w:bookmarkEnd w:id="6"/>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in this statement is true, complete and correct.</w:t>
      </w:r>
    </w:p>
    <w:p>
      <w:pPr>
        <w:spacing w:after="0" w:line="193"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Dated: August 13, 2020</w:t>
      </w:r>
      <w:r>
        <w:rPr>
          <w:sz w:val="20"/>
          <w:szCs w:val="20"/>
          <w:color w:val="auto"/>
        </w:rPr>
        <w:tab/>
      </w:r>
      <w:r>
        <w:rPr>
          <w:rFonts w:ascii="Arial" w:cs="Arial" w:eastAsia="Arial" w:hAnsi="Arial"/>
          <w:sz w:val="16"/>
          <w:szCs w:val="16"/>
          <w:b w:val="1"/>
          <w:bCs w:val="1"/>
          <w:color w:val="auto"/>
        </w:rPr>
        <w:t>Bain Capital Life Sciences Fund II, L.P.</w:t>
      </w:r>
    </w:p>
    <w:p>
      <w:pPr>
        <w:spacing w:after="0" w:line="229" w:lineRule="exact"/>
        <w:rPr>
          <w:sz w:val="20"/>
          <w:szCs w:val="20"/>
          <w:color w:val="auto"/>
        </w:rPr>
      </w:pPr>
    </w:p>
    <w:p>
      <w:pPr>
        <w:ind w:left="6840"/>
        <w:spacing w:after="0"/>
        <w:tabs>
          <w:tab w:leader="none" w:pos="7300" w:val="left"/>
        </w:tabs>
        <w:rPr>
          <w:sz w:val="20"/>
          <w:szCs w:val="20"/>
          <w:color w:val="auto"/>
        </w:rPr>
      </w:pPr>
      <w:r>
        <w:rPr>
          <w:rFonts w:ascii="Arial" w:cs="Arial" w:eastAsia="Arial" w:hAnsi="Arial"/>
          <w:sz w:val="18"/>
          <w:szCs w:val="18"/>
          <w:color w:val="auto"/>
        </w:rPr>
        <w:t>By:</w:t>
        <w:tab/>
        <w:t>Bain Capital Life Sciences Investors II, LLC</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40"/>
        <w:spacing w:after="0"/>
        <w:tabs>
          <w:tab w:leader="none" w:pos="7300" w:val="left"/>
        </w:tabs>
        <w:rPr>
          <w:sz w:val="20"/>
          <w:szCs w:val="20"/>
          <w:color w:val="auto"/>
        </w:rPr>
      </w:pPr>
      <w:r>
        <w:rPr>
          <w:rFonts w:ascii="Arial" w:cs="Arial" w:eastAsia="Arial" w:hAnsi="Arial"/>
          <w:sz w:val="18"/>
          <w:szCs w:val="18"/>
          <w:color w:val="auto"/>
        </w:rPr>
        <w:t>By:</w:t>
        <w:tab/>
        <w:t>Bain Capital Life Sciences Investors, LLC</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6840"/>
        <w:spacing w:after="0"/>
        <w:tabs>
          <w:tab w:leader="none" w:pos="7300" w:val="left"/>
        </w:tabs>
        <w:rPr>
          <w:sz w:val="20"/>
          <w:szCs w:val="20"/>
          <w:color w:val="auto"/>
        </w:rPr>
      </w:pPr>
      <w:r>
        <w:rPr>
          <w:rFonts w:ascii="Arial" w:cs="Arial" w:eastAsia="Arial" w:hAnsi="Arial"/>
          <w:sz w:val="18"/>
          <w:szCs w:val="18"/>
          <w:color w:val="auto"/>
        </w:rPr>
        <w:t>By:</w:t>
        <w:tab/>
        <w:t>/s/ Jeffrey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320"/>
        <w:spacing w:after="0"/>
        <w:tabs>
          <w:tab w:leader="none" w:pos="7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Schwartz</w:t>
      </w:r>
    </w:p>
    <w:p>
      <w:pPr>
        <w:spacing w:after="0" w:line="23" w:lineRule="exact"/>
        <w:rPr>
          <w:sz w:val="20"/>
          <w:szCs w:val="20"/>
          <w:color w:val="auto"/>
        </w:rPr>
      </w:pPr>
    </w:p>
    <w:p>
      <w:pPr>
        <w:ind w:left="7320"/>
        <w:spacing w:after="0"/>
        <w:tabs>
          <w:tab w:leader="none" w:pos="7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7"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BCIP Life Sciences Associates, LP</w:t>
      </w:r>
    </w:p>
    <w:p>
      <w:pPr>
        <w:spacing w:after="0" w:line="229" w:lineRule="exact"/>
        <w:rPr>
          <w:sz w:val="20"/>
          <w:szCs w:val="20"/>
          <w:color w:val="auto"/>
        </w:rPr>
      </w:pPr>
    </w:p>
    <w:p>
      <w:pPr>
        <w:ind w:left="6840"/>
        <w:spacing w:after="0"/>
        <w:tabs>
          <w:tab w:leader="none" w:pos="7300" w:val="left"/>
        </w:tabs>
        <w:rPr>
          <w:sz w:val="20"/>
          <w:szCs w:val="20"/>
          <w:color w:val="auto"/>
        </w:rPr>
      </w:pPr>
      <w:r>
        <w:rPr>
          <w:rFonts w:ascii="Arial" w:cs="Arial" w:eastAsia="Arial" w:hAnsi="Arial"/>
          <w:sz w:val="18"/>
          <w:szCs w:val="18"/>
          <w:color w:val="auto"/>
        </w:rPr>
        <w:t>By:</w:t>
        <w:tab/>
        <w:t>Boylston Coinvestors, LLC</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40"/>
        <w:spacing w:after="0"/>
        <w:tabs>
          <w:tab w:leader="none" w:pos="7300" w:val="left"/>
        </w:tabs>
        <w:rPr>
          <w:sz w:val="20"/>
          <w:szCs w:val="20"/>
          <w:color w:val="auto"/>
        </w:rPr>
      </w:pPr>
      <w:r>
        <w:rPr>
          <w:rFonts w:ascii="Arial" w:cs="Arial" w:eastAsia="Arial" w:hAnsi="Arial"/>
          <w:sz w:val="18"/>
          <w:szCs w:val="18"/>
          <w:color w:val="auto"/>
        </w:rPr>
        <w:t>By:</w:t>
        <w:tab/>
        <w:t>/s/ Jeffrey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320"/>
        <w:spacing w:after="0"/>
        <w:tabs>
          <w:tab w:leader="none" w:pos="7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Schwartz</w:t>
      </w:r>
    </w:p>
    <w:p>
      <w:pPr>
        <w:spacing w:after="0" w:line="23" w:lineRule="exact"/>
        <w:rPr>
          <w:sz w:val="20"/>
          <w:szCs w:val="20"/>
          <w:color w:val="auto"/>
        </w:rPr>
      </w:pPr>
    </w:p>
    <w:p>
      <w:pPr>
        <w:ind w:left="7320"/>
        <w:spacing w:after="0"/>
        <w:tabs>
          <w:tab w:leader="none" w:pos="7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ectPr>
          <w:pgSz w:w="11900" w:h="16838" w:orient="portrait"/>
          <w:cols w:equalWidth="0" w:num="1">
            <w:col w:w="10960"/>
          </w:cols>
          <w:pgMar w:left="320" w:top="270" w:right="6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REGARDING THE JOINT FILING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117" w:lineRule="exact"/>
        <w:rPr>
          <w:sz w:val="20"/>
          <w:szCs w:val="20"/>
          <w:color w:val="auto"/>
        </w:rPr>
      </w:pPr>
    </w:p>
    <w:p>
      <w:pPr>
        <w:ind w:left="460" w:right="180" w:hanging="3"/>
        <w:spacing w:after="0" w:line="277" w:lineRule="auto"/>
        <w:tabs>
          <w:tab w:leader="none" w:pos="6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62" w:lineRule="exact"/>
        <w:rPr>
          <w:rFonts w:ascii="Arial" w:cs="Arial" w:eastAsia="Arial" w:hAnsi="Arial"/>
          <w:sz w:val="18"/>
          <w:szCs w:val="18"/>
          <w:color w:val="auto"/>
        </w:rPr>
      </w:pPr>
    </w:p>
    <w:p>
      <w:pPr>
        <w:ind w:left="460" w:hanging="3"/>
        <w:spacing w:after="0" w:line="311" w:lineRule="auto"/>
        <w:tabs>
          <w:tab w:leader="none" w:pos="7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2"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color w:val="auto"/>
        </w:rPr>
        <w:t>Dated: August 13, 2020</w:t>
      </w:r>
      <w:r>
        <w:rPr>
          <w:sz w:val="20"/>
          <w:szCs w:val="20"/>
          <w:color w:val="auto"/>
        </w:rPr>
        <w:tab/>
      </w:r>
      <w:r>
        <w:rPr>
          <w:rFonts w:ascii="Arial" w:cs="Arial" w:eastAsia="Arial" w:hAnsi="Arial"/>
          <w:sz w:val="16"/>
          <w:szCs w:val="16"/>
          <w:b w:val="1"/>
          <w:bCs w:val="1"/>
          <w:color w:val="auto"/>
        </w:rPr>
        <w:t>Bain Capital Life Sciences Fund II, L.P.</w:t>
      </w:r>
    </w:p>
    <w:p>
      <w:pPr>
        <w:spacing w:after="0" w:line="229" w:lineRule="exact"/>
        <w:rPr>
          <w:sz w:val="20"/>
          <w:szCs w:val="20"/>
          <w:color w:val="auto"/>
        </w:rPr>
      </w:pPr>
    </w:p>
    <w:p>
      <w:pPr>
        <w:ind w:left="690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Life Sciences Investors II, LLC</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90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Bain Capital Life Sciences Investors, LLC</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690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320"/>
        <w:spacing w:after="0"/>
        <w:tabs>
          <w:tab w:leader="none" w:pos="7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Schwartz</w:t>
      </w:r>
    </w:p>
    <w:p>
      <w:pPr>
        <w:spacing w:after="0" w:line="23" w:lineRule="exact"/>
        <w:rPr>
          <w:sz w:val="20"/>
          <w:szCs w:val="20"/>
          <w:color w:val="auto"/>
        </w:rPr>
      </w:pPr>
    </w:p>
    <w:p>
      <w:pPr>
        <w:ind w:left="7320"/>
        <w:spacing w:after="0"/>
        <w:tabs>
          <w:tab w:leader="none" w:pos="7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7"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BCIP Life Sciences Associates, LP</w:t>
      </w:r>
    </w:p>
    <w:p>
      <w:pPr>
        <w:spacing w:after="0" w:line="229" w:lineRule="exact"/>
        <w:rPr>
          <w:sz w:val="20"/>
          <w:szCs w:val="20"/>
          <w:color w:val="auto"/>
        </w:rPr>
      </w:pPr>
    </w:p>
    <w:p>
      <w:pPr>
        <w:ind w:left="690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Boylston Coinvestors, LLC</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90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320"/>
        <w:spacing w:after="0"/>
        <w:tabs>
          <w:tab w:leader="none" w:pos="7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Schwartz</w:t>
      </w:r>
    </w:p>
    <w:p>
      <w:pPr>
        <w:spacing w:after="0" w:line="23" w:lineRule="exact"/>
        <w:rPr>
          <w:sz w:val="20"/>
          <w:szCs w:val="20"/>
          <w:color w:val="auto"/>
        </w:rPr>
      </w:pPr>
    </w:p>
    <w:p>
      <w:pPr>
        <w:ind w:left="7320"/>
        <w:spacing w:after="0"/>
        <w:tabs>
          <w:tab w:leader="none" w:pos="7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2"/>
      <w:numFmt w:val="bullet"/>
      <w:start w:val="1"/>
    </w:lvl>
  </w:abstractNum>
  <w:abstractNum w:abstractNumId="5">
    <w:nsid w:val="3352255A"/>
    <w:multiLevelType w:val="hybridMultilevel"/>
    <w:lvl w:ilvl="0">
      <w:lvlJc w:val="left"/>
      <w:lvlText w:val="3"/>
      <w:numFmt w:val="bullet"/>
      <w:start w:val="1"/>
    </w:lvl>
  </w:abstractNum>
  <w:abstractNum w:abstractNumId="6">
    <w:nsid w:val="109CF92E"/>
    <w:multiLevelType w:val="hybridMultilevel"/>
    <w:lvl w:ilvl="0">
      <w:lvlJc w:val="left"/>
      <w:lvlText w:val="4"/>
      <w:numFmt w:val="bullet"/>
      <w:start w:val="1"/>
    </w:lvl>
  </w:abstractNum>
  <w:abstractNum w:abstractNumId="7">
    <w:nsid w:val="DED7263"/>
    <w:multiLevelType w:val="hybridMultilevel"/>
    <w:lvl w:ilvl="0">
      <w:lvlJc w:val="left"/>
      <w:lvlText w:val="9"/>
      <w:numFmt w:val="bullet"/>
      <w:start w:val="1"/>
    </w:lvl>
  </w:abstractNum>
  <w:abstractNum w:abstractNumId="8">
    <w:nsid w:val="7FDCC233"/>
    <w:multiLevelType w:val="hybridMultilevel"/>
    <w:lvl w:ilvl="0">
      <w:lvlJc w:val="left"/>
      <w:lvlText w:val="%1"/>
      <w:numFmt w:val="decimal"/>
      <w:start w:val="10"/>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4"/>
      <w:numFmt w:val="bullet"/>
      <w:start w:val="1"/>
    </w:lvl>
  </w:abstractNum>
  <w:abstractNum w:abstractNumId="13">
    <w:nsid w:val="25E45D32"/>
    <w:multiLevelType w:val="hybridMultilevel"/>
    <w:lvl w:ilvl="0">
      <w:lvlJc w:val="left"/>
      <w:lvlText w:val="9"/>
      <w:numFmt w:val="bullet"/>
      <w:start w:val="1"/>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lowerRoman"/>
      <w:start w:val="2"/>
    </w:lvl>
  </w:abstractNum>
  <w:abstractNum w:abstractNumId="18">
    <w:nsid w:val="257130A3"/>
    <w:multiLevelType w:val="hybridMultilevel"/>
    <w:lvl w:ilvl="0">
      <w:lvlJc w:val="left"/>
      <w:lvlText w:val="(%1)"/>
      <w:numFmt w:val="lowerRoman"/>
      <w:start w:val="4"/>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2020-08-13T15:37:12Z</dcterms:created>
  <dcterms:modified xsi:type="dcterms:W3CDTF">2020-08-13T15:37:12Z</dcterms:modified>
</cp:coreProperties>
</file>