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6"/>
          <w:szCs w:val="16"/>
          <w:b w:val="1"/>
          <w:bCs w:val="1"/>
          <w:color w:val="auto"/>
        </w:rPr>
        <w:t>As filed with the Securities and Exchange Commission on July 22, 2021</w:t>
      </w:r>
    </w:p>
    <w:p>
      <w:pPr>
        <w:spacing w:after="0" w:line="20" w:lineRule="exact"/>
        <w:rPr>
          <w:sz w:val="24"/>
          <w:szCs w:val="24"/>
          <w:color w:val="auto"/>
        </w:rPr>
      </w:pPr>
    </w:p>
    <w:p>
      <w:pPr>
        <w:ind w:left="94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120015</wp:posOffset>
            </wp:positionV>
            <wp:extent cx="1194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FORM S-1</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REGISTRATION STATEMENT</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121920</wp:posOffset>
            </wp:positionV>
            <wp:extent cx="1194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NAUTILUS BIOTECHNOLOGY,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120650</wp:posOffset>
            </wp:positionV>
            <wp:extent cx="1194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2800" w:type="dxa"/>
            <w:vAlign w:val="bottom"/>
          </w:tcPr>
          <w:p>
            <w:pPr>
              <w:jc w:val="center"/>
              <w:ind w:right="909"/>
              <w:spacing w:after="0"/>
              <w:rPr>
                <w:sz w:val="20"/>
                <w:szCs w:val="20"/>
                <w:color w:val="auto"/>
              </w:rPr>
            </w:pPr>
            <w:r>
              <w:rPr>
                <w:rFonts w:ascii="Arial" w:cs="Arial" w:eastAsia="Arial" w:hAnsi="Arial"/>
                <w:sz w:val="14"/>
                <w:szCs w:val="14"/>
                <w:b w:val="1"/>
                <w:bCs w:val="1"/>
                <w:color w:val="auto"/>
                <w:w w:val="94"/>
              </w:rPr>
              <w:t>Delaware</w:t>
            </w:r>
          </w:p>
        </w:tc>
        <w:tc>
          <w:tcPr>
            <w:tcW w:w="384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3826</w:t>
            </w:r>
          </w:p>
        </w:tc>
        <w:tc>
          <w:tcPr>
            <w:tcW w:w="2460" w:type="dxa"/>
            <w:vAlign w:val="bottom"/>
          </w:tcPr>
          <w:p>
            <w:pPr>
              <w:jc w:val="center"/>
              <w:ind w:left="989"/>
              <w:spacing w:after="0"/>
              <w:rPr>
                <w:sz w:val="20"/>
                <w:szCs w:val="20"/>
                <w:color w:val="auto"/>
              </w:rPr>
            </w:pPr>
            <w:r>
              <w:rPr>
                <w:rFonts w:ascii="Arial" w:cs="Arial" w:eastAsia="Arial" w:hAnsi="Arial"/>
                <w:sz w:val="14"/>
                <w:szCs w:val="14"/>
                <w:b w:val="1"/>
                <w:bCs w:val="1"/>
                <w:color w:val="auto"/>
                <w:w w:val="90"/>
              </w:rPr>
              <w:t>98-1541723</w:t>
            </w:r>
          </w:p>
        </w:tc>
      </w:tr>
      <w:tr>
        <w:trPr>
          <w:trHeight w:val="144"/>
        </w:trPr>
        <w:tc>
          <w:tcPr>
            <w:tcW w:w="2800" w:type="dxa"/>
            <w:vAlign w:val="bottom"/>
          </w:tcPr>
          <w:p>
            <w:pPr>
              <w:jc w:val="center"/>
              <w:ind w:right="889"/>
              <w:spacing w:after="0" w:line="143" w:lineRule="exact"/>
              <w:rPr>
                <w:sz w:val="20"/>
                <w:szCs w:val="20"/>
                <w:color w:val="auto"/>
              </w:rPr>
            </w:pPr>
            <w:r>
              <w:rPr>
                <w:rFonts w:ascii="Arial" w:cs="Arial" w:eastAsia="Arial" w:hAnsi="Arial"/>
                <w:sz w:val="14"/>
                <w:szCs w:val="14"/>
                <w:b w:val="1"/>
                <w:bCs w:val="1"/>
                <w:color w:val="auto"/>
                <w:w w:val="91"/>
              </w:rPr>
              <w:t>(State or other jurisdiction of</w:t>
            </w:r>
          </w:p>
        </w:tc>
        <w:tc>
          <w:tcPr>
            <w:tcW w:w="3840" w:type="dxa"/>
            <w:vAlign w:val="bottom"/>
          </w:tcPr>
          <w:p>
            <w:pPr>
              <w:jc w:val="center"/>
              <w:ind w:right="49"/>
              <w:spacing w:after="0" w:line="143" w:lineRule="exact"/>
              <w:rPr>
                <w:sz w:val="20"/>
                <w:szCs w:val="20"/>
                <w:color w:val="auto"/>
              </w:rPr>
            </w:pPr>
            <w:r>
              <w:rPr>
                <w:rFonts w:ascii="Arial" w:cs="Arial" w:eastAsia="Arial" w:hAnsi="Arial"/>
                <w:sz w:val="14"/>
                <w:szCs w:val="14"/>
                <w:b w:val="1"/>
                <w:bCs w:val="1"/>
                <w:color w:val="auto"/>
                <w:w w:val="95"/>
              </w:rPr>
              <w:t>(Primary Standard Industrial</w:t>
            </w:r>
          </w:p>
        </w:tc>
        <w:tc>
          <w:tcPr>
            <w:tcW w:w="2460" w:type="dxa"/>
            <w:vAlign w:val="bottom"/>
          </w:tcPr>
          <w:p>
            <w:pPr>
              <w:jc w:val="center"/>
              <w:ind w:left="1009"/>
              <w:spacing w:after="0" w:line="143"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2800" w:type="dxa"/>
            <w:vAlign w:val="bottom"/>
          </w:tcPr>
          <w:p>
            <w:pPr>
              <w:jc w:val="center"/>
              <w:ind w:right="889"/>
              <w:spacing w:after="0"/>
              <w:rPr>
                <w:sz w:val="20"/>
                <w:szCs w:val="20"/>
                <w:color w:val="auto"/>
              </w:rPr>
            </w:pPr>
            <w:r>
              <w:rPr>
                <w:rFonts w:ascii="Arial" w:cs="Arial" w:eastAsia="Arial" w:hAnsi="Arial"/>
                <w:sz w:val="14"/>
                <w:szCs w:val="14"/>
                <w:b w:val="1"/>
                <w:bCs w:val="1"/>
                <w:color w:val="auto"/>
                <w:w w:val="92"/>
              </w:rPr>
              <w:t>incorporation or organization)</w:t>
            </w:r>
          </w:p>
        </w:tc>
        <w:tc>
          <w:tcPr>
            <w:tcW w:w="38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Classification Code Number)</w:t>
            </w:r>
          </w:p>
        </w:tc>
        <w:tc>
          <w:tcPr>
            <w:tcW w:w="2460" w:type="dxa"/>
            <w:vAlign w:val="bottom"/>
          </w:tcPr>
          <w:p>
            <w:pPr>
              <w:jc w:val="center"/>
              <w:ind w:left="989"/>
              <w:spacing w:after="0"/>
              <w:rPr>
                <w:sz w:val="20"/>
                <w:szCs w:val="20"/>
                <w:color w:val="auto"/>
              </w:rPr>
            </w:pPr>
            <w:r>
              <w:rPr>
                <w:rFonts w:ascii="Arial" w:cs="Arial" w:eastAsia="Arial" w:hAnsi="Arial"/>
                <w:sz w:val="14"/>
                <w:szCs w:val="14"/>
                <w:b w:val="1"/>
                <w:bCs w:val="1"/>
                <w:color w:val="auto"/>
                <w:w w:val="94"/>
              </w:rPr>
              <w:t>Identification Number)</w:t>
            </w:r>
          </w:p>
        </w:tc>
      </w:tr>
      <w:tr>
        <w:trPr>
          <w:trHeight w:val="377"/>
        </w:trPr>
        <w:tc>
          <w:tcPr>
            <w:tcW w:w="2800" w:type="dxa"/>
            <w:vAlign w:val="bottom"/>
          </w:tcPr>
          <w:p>
            <w:pPr>
              <w:spacing w:after="0"/>
              <w:rPr>
                <w:sz w:val="24"/>
                <w:szCs w:val="24"/>
                <w:color w:val="auto"/>
              </w:rPr>
            </w:pPr>
          </w:p>
        </w:tc>
        <w:tc>
          <w:tcPr>
            <w:tcW w:w="384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425 Pontius Ave N, Ste 202</w:t>
            </w:r>
          </w:p>
        </w:tc>
        <w:tc>
          <w:tcPr>
            <w:tcW w:w="2460" w:type="dxa"/>
            <w:vAlign w:val="bottom"/>
          </w:tcPr>
          <w:p>
            <w:pPr>
              <w:spacing w:after="0"/>
              <w:rPr>
                <w:sz w:val="24"/>
                <w:szCs w:val="24"/>
                <w:color w:val="auto"/>
              </w:rPr>
            </w:pPr>
          </w:p>
        </w:tc>
      </w:tr>
      <w:tr>
        <w:trPr>
          <w:trHeight w:val="159"/>
        </w:trPr>
        <w:tc>
          <w:tcPr>
            <w:tcW w:w="2800" w:type="dxa"/>
            <w:vAlign w:val="bottom"/>
          </w:tcPr>
          <w:p>
            <w:pPr>
              <w:spacing w:after="0"/>
              <w:rPr>
                <w:sz w:val="13"/>
                <w:szCs w:val="13"/>
                <w:color w:val="auto"/>
              </w:rPr>
            </w:pPr>
          </w:p>
        </w:tc>
        <w:tc>
          <w:tcPr>
            <w:tcW w:w="3840" w:type="dxa"/>
            <w:vAlign w:val="bottom"/>
          </w:tcPr>
          <w:p>
            <w:pPr>
              <w:jc w:val="center"/>
              <w:ind w:right="49"/>
              <w:spacing w:after="0" w:line="159" w:lineRule="exact"/>
              <w:rPr>
                <w:sz w:val="20"/>
                <w:szCs w:val="20"/>
                <w:color w:val="auto"/>
              </w:rPr>
            </w:pPr>
            <w:r>
              <w:rPr>
                <w:rFonts w:ascii="Arial" w:cs="Arial" w:eastAsia="Arial" w:hAnsi="Arial"/>
                <w:sz w:val="14"/>
                <w:szCs w:val="14"/>
                <w:b w:val="1"/>
                <w:bCs w:val="1"/>
                <w:color w:val="auto"/>
                <w:w w:val="90"/>
              </w:rPr>
              <w:t>Seattle, Washington 98109</w:t>
            </w:r>
          </w:p>
        </w:tc>
        <w:tc>
          <w:tcPr>
            <w:tcW w:w="2460" w:type="dxa"/>
            <w:vAlign w:val="bottom"/>
          </w:tcPr>
          <w:p>
            <w:pPr>
              <w:spacing w:after="0"/>
              <w:rPr>
                <w:sz w:val="13"/>
                <w:szCs w:val="13"/>
                <w:color w:val="auto"/>
              </w:rPr>
            </w:pPr>
          </w:p>
        </w:tc>
      </w:tr>
      <w:tr>
        <w:trPr>
          <w:trHeight w:val="175"/>
        </w:trPr>
        <w:tc>
          <w:tcPr>
            <w:tcW w:w="2800" w:type="dxa"/>
            <w:vAlign w:val="bottom"/>
          </w:tcPr>
          <w:p>
            <w:pPr>
              <w:spacing w:after="0"/>
              <w:rPr>
                <w:sz w:val="15"/>
                <w:szCs w:val="15"/>
                <w:color w:val="auto"/>
              </w:rPr>
            </w:pPr>
          </w:p>
        </w:tc>
        <w:tc>
          <w:tcPr>
            <w:tcW w:w="38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(206) 333-2001</w:t>
            </w:r>
          </w:p>
        </w:tc>
        <w:tc>
          <w:tcPr>
            <w:tcW w:w="2460" w:type="dxa"/>
            <w:vAlign w:val="bottom"/>
          </w:tcPr>
          <w:p>
            <w:pPr>
              <w:spacing w:after="0"/>
              <w:rPr>
                <w:sz w:val="15"/>
                <w:szCs w:val="15"/>
                <w:color w:val="auto"/>
              </w:rPr>
            </w:pPr>
          </w:p>
        </w:tc>
      </w:tr>
    </w:tbl>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120650</wp:posOffset>
            </wp:positionV>
            <wp:extent cx="1194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9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Sujal Patel</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jc w:val="center"/>
        <w:ind w:right="-99"/>
        <w:spacing w:after="0" w:line="237" w:lineRule="auto"/>
        <w:rPr>
          <w:sz w:val="20"/>
          <w:szCs w:val="20"/>
          <w:color w:val="auto"/>
        </w:rPr>
      </w:pPr>
      <w:r>
        <w:rPr>
          <w:rFonts w:ascii="Arial" w:cs="Arial" w:eastAsia="Arial" w:hAnsi="Arial"/>
          <w:sz w:val="14"/>
          <w:szCs w:val="14"/>
          <w:b w:val="1"/>
          <w:bCs w:val="1"/>
          <w:color w:val="auto"/>
        </w:rPr>
        <w:t>425 Pontius Ave N, Ste 202</w:t>
      </w:r>
    </w:p>
    <w:p>
      <w:pPr>
        <w:jc w:val="center"/>
        <w:ind w:right="-99"/>
        <w:spacing w:after="0" w:line="237" w:lineRule="auto"/>
        <w:rPr>
          <w:sz w:val="20"/>
          <w:szCs w:val="20"/>
          <w:color w:val="auto"/>
        </w:rPr>
      </w:pPr>
      <w:r>
        <w:rPr>
          <w:rFonts w:ascii="Arial" w:cs="Arial" w:eastAsia="Arial" w:hAnsi="Arial"/>
          <w:sz w:val="14"/>
          <w:szCs w:val="14"/>
          <w:b w:val="1"/>
          <w:bCs w:val="1"/>
          <w:color w:val="auto"/>
        </w:rPr>
        <w:t>Seattle, Washington 98109</w:t>
      </w:r>
    </w:p>
    <w:p>
      <w:pPr>
        <w:jc w:val="center"/>
        <w:ind w:right="-99"/>
        <w:spacing w:after="0" w:line="237" w:lineRule="auto"/>
        <w:rPr>
          <w:sz w:val="20"/>
          <w:szCs w:val="20"/>
          <w:color w:val="auto"/>
        </w:rPr>
      </w:pPr>
      <w:r>
        <w:rPr>
          <w:rFonts w:ascii="Arial" w:cs="Arial" w:eastAsia="Arial" w:hAnsi="Arial"/>
          <w:sz w:val="14"/>
          <w:szCs w:val="14"/>
          <w:b w:val="1"/>
          <w:bCs w:val="1"/>
          <w:color w:val="auto"/>
        </w:rPr>
        <w:t>(206) 333-2001</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120650</wp:posOffset>
            </wp:positionV>
            <wp:extent cx="1194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97" w:lineRule="exact"/>
        <w:rPr>
          <w:sz w:val="24"/>
          <w:szCs w:val="24"/>
          <w:color w:val="auto"/>
        </w:rPr>
      </w:pPr>
    </w:p>
    <w:tbl>
      <w:tblPr>
        <w:tblLayout w:type="fixed"/>
        <w:tblInd w:w="1620" w:type="dxa"/>
        <w:tblCellMar>
          <w:top w:w="0" w:type="dxa"/>
          <w:left w:w="0" w:type="dxa"/>
          <w:bottom w:w="0" w:type="dxa"/>
          <w:right w:w="0" w:type="dxa"/>
        </w:tblCellMar>
      </w:tblPr>
      <w:tr>
        <w:trPr>
          <w:trHeight w:val="180"/>
        </w:trPr>
        <w:tc>
          <w:tcPr>
            <w:tcW w:w="3060" w:type="dxa"/>
            <w:vAlign w:val="bottom"/>
          </w:tcPr>
          <w:p>
            <w:pPr>
              <w:spacing w:after="0"/>
              <w:rPr>
                <w:sz w:val="15"/>
                <w:szCs w:val="15"/>
                <w:color w:val="auto"/>
              </w:rPr>
            </w:pPr>
          </w:p>
        </w:tc>
        <w:tc>
          <w:tcPr>
            <w:tcW w:w="4560" w:type="dxa"/>
            <w:vAlign w:val="bottom"/>
          </w:tcPr>
          <w:p>
            <w:pPr>
              <w:ind w:left="660"/>
              <w:spacing w:after="0"/>
              <w:rPr>
                <w:sz w:val="20"/>
                <w:szCs w:val="20"/>
                <w:color w:val="auto"/>
              </w:rPr>
            </w:pPr>
            <w:r>
              <w:rPr>
                <w:rFonts w:ascii="Arial" w:cs="Arial" w:eastAsia="Arial" w:hAnsi="Arial"/>
                <w:sz w:val="14"/>
                <w:szCs w:val="14"/>
                <w:b w:val="1"/>
                <w:bCs w:val="1"/>
                <w:i w:val="1"/>
                <w:iCs w:val="1"/>
                <w:color w:val="auto"/>
              </w:rPr>
              <w:t>Copies to:</w:t>
            </w:r>
          </w:p>
        </w:tc>
      </w:tr>
      <w:tr>
        <w:trPr>
          <w:trHeight w:val="316"/>
        </w:trPr>
        <w:tc>
          <w:tcPr>
            <w:tcW w:w="3060" w:type="dxa"/>
            <w:vAlign w:val="bottom"/>
          </w:tcPr>
          <w:p>
            <w:pPr>
              <w:jc w:val="center"/>
              <w:ind w:right="589"/>
              <w:spacing w:after="0"/>
              <w:rPr>
                <w:sz w:val="20"/>
                <w:szCs w:val="20"/>
                <w:color w:val="auto"/>
              </w:rPr>
            </w:pPr>
            <w:r>
              <w:rPr>
                <w:rFonts w:ascii="Arial" w:cs="Arial" w:eastAsia="Arial" w:hAnsi="Arial"/>
                <w:sz w:val="14"/>
                <w:szCs w:val="14"/>
                <w:b w:val="1"/>
                <w:bCs w:val="1"/>
                <w:color w:val="auto"/>
                <w:w w:val="92"/>
              </w:rPr>
              <w:t>Robert F. Kornegay</w:t>
            </w:r>
          </w:p>
        </w:tc>
        <w:tc>
          <w:tcPr>
            <w:tcW w:w="4560" w:type="dxa"/>
            <w:vAlign w:val="bottom"/>
          </w:tcPr>
          <w:p>
            <w:pPr>
              <w:jc w:val="center"/>
              <w:ind w:left="2889"/>
              <w:spacing w:after="0"/>
              <w:rPr>
                <w:sz w:val="20"/>
                <w:szCs w:val="20"/>
                <w:color w:val="auto"/>
              </w:rPr>
            </w:pPr>
            <w:r>
              <w:rPr>
                <w:rFonts w:ascii="Arial" w:cs="Arial" w:eastAsia="Arial" w:hAnsi="Arial"/>
                <w:sz w:val="14"/>
                <w:szCs w:val="14"/>
                <w:b w:val="1"/>
                <w:bCs w:val="1"/>
                <w:color w:val="auto"/>
                <w:w w:val="97"/>
              </w:rPr>
              <w:t>Matthew Murphy</w:t>
            </w:r>
          </w:p>
        </w:tc>
      </w:tr>
      <w:tr>
        <w:trPr>
          <w:trHeight w:val="133"/>
        </w:trPr>
        <w:tc>
          <w:tcPr>
            <w:tcW w:w="3060" w:type="dxa"/>
            <w:vAlign w:val="bottom"/>
          </w:tcPr>
          <w:p>
            <w:pPr>
              <w:jc w:val="center"/>
              <w:ind w:right="609"/>
              <w:spacing w:after="0" w:line="133" w:lineRule="exact"/>
              <w:rPr>
                <w:sz w:val="20"/>
                <w:szCs w:val="20"/>
                <w:color w:val="auto"/>
              </w:rPr>
            </w:pPr>
            <w:r>
              <w:rPr>
                <w:rFonts w:ascii="Arial" w:cs="Arial" w:eastAsia="Arial" w:hAnsi="Arial"/>
                <w:sz w:val="14"/>
                <w:szCs w:val="14"/>
                <w:b w:val="1"/>
                <w:bCs w:val="1"/>
                <w:color w:val="auto"/>
                <w:w w:val="93"/>
              </w:rPr>
              <w:t>Michael Nordtvedt</w:t>
            </w:r>
          </w:p>
        </w:tc>
        <w:tc>
          <w:tcPr>
            <w:tcW w:w="4560" w:type="dxa"/>
            <w:vAlign w:val="bottom"/>
          </w:tcPr>
          <w:p>
            <w:pPr>
              <w:jc w:val="center"/>
              <w:ind w:left="2869"/>
              <w:spacing w:after="0" w:line="133" w:lineRule="exact"/>
              <w:rPr>
                <w:sz w:val="20"/>
                <w:szCs w:val="20"/>
                <w:color w:val="auto"/>
              </w:rPr>
            </w:pPr>
            <w:r>
              <w:rPr>
                <w:rFonts w:ascii="Arial" w:cs="Arial" w:eastAsia="Arial" w:hAnsi="Arial"/>
                <w:sz w:val="14"/>
                <w:szCs w:val="14"/>
                <w:b w:val="1"/>
                <w:bCs w:val="1"/>
                <w:color w:val="auto"/>
                <w:w w:val="91"/>
              </w:rPr>
              <w:t>General Counsel</w:t>
            </w:r>
          </w:p>
        </w:tc>
      </w:tr>
      <w:tr>
        <w:trPr>
          <w:trHeight w:val="133"/>
        </w:trPr>
        <w:tc>
          <w:tcPr>
            <w:tcW w:w="3060" w:type="dxa"/>
            <w:vAlign w:val="bottom"/>
          </w:tcPr>
          <w:p>
            <w:pPr>
              <w:jc w:val="center"/>
              <w:ind w:right="609"/>
              <w:spacing w:after="0" w:line="133" w:lineRule="exact"/>
              <w:rPr>
                <w:sz w:val="20"/>
                <w:szCs w:val="20"/>
                <w:color w:val="auto"/>
              </w:rPr>
            </w:pPr>
            <w:r>
              <w:rPr>
                <w:rFonts w:ascii="Arial" w:cs="Arial" w:eastAsia="Arial" w:hAnsi="Arial"/>
                <w:sz w:val="14"/>
                <w:szCs w:val="14"/>
                <w:b w:val="1"/>
                <w:bCs w:val="1"/>
                <w:color w:val="auto"/>
                <w:w w:val="94"/>
              </w:rPr>
              <w:t>Zachary B. Myers</w:t>
            </w:r>
          </w:p>
        </w:tc>
        <w:tc>
          <w:tcPr>
            <w:tcW w:w="4560" w:type="dxa"/>
            <w:vAlign w:val="bottom"/>
          </w:tcPr>
          <w:p>
            <w:pPr>
              <w:jc w:val="center"/>
              <w:ind w:left="2889"/>
              <w:spacing w:after="0" w:line="133" w:lineRule="exact"/>
              <w:rPr>
                <w:sz w:val="20"/>
                <w:szCs w:val="20"/>
                <w:color w:val="auto"/>
              </w:rPr>
            </w:pPr>
            <w:r>
              <w:rPr>
                <w:rFonts w:ascii="Arial" w:cs="Arial" w:eastAsia="Arial" w:hAnsi="Arial"/>
                <w:sz w:val="14"/>
                <w:szCs w:val="14"/>
                <w:b w:val="1"/>
                <w:bCs w:val="1"/>
                <w:color w:val="auto"/>
                <w:w w:val="89"/>
              </w:rPr>
              <w:t>425 Pontius Ave N, Ste 202</w:t>
            </w:r>
          </w:p>
        </w:tc>
      </w:tr>
      <w:tr>
        <w:trPr>
          <w:trHeight w:val="133"/>
        </w:trPr>
        <w:tc>
          <w:tcPr>
            <w:tcW w:w="3060" w:type="dxa"/>
            <w:vAlign w:val="bottom"/>
          </w:tcPr>
          <w:p>
            <w:pPr>
              <w:jc w:val="center"/>
              <w:ind w:right="589"/>
              <w:spacing w:after="0" w:line="133" w:lineRule="exact"/>
              <w:rPr>
                <w:sz w:val="20"/>
                <w:szCs w:val="20"/>
                <w:color w:val="auto"/>
              </w:rPr>
            </w:pPr>
            <w:r>
              <w:rPr>
                <w:rFonts w:ascii="Arial" w:cs="Arial" w:eastAsia="Arial" w:hAnsi="Arial"/>
                <w:sz w:val="14"/>
                <w:szCs w:val="14"/>
                <w:b w:val="1"/>
                <w:bCs w:val="1"/>
                <w:color w:val="auto"/>
                <w:w w:val="91"/>
              </w:rPr>
              <w:t>Wilson Sonsini Goodrich &amp; Rosati, P.C.</w:t>
            </w:r>
          </w:p>
        </w:tc>
        <w:tc>
          <w:tcPr>
            <w:tcW w:w="4560" w:type="dxa"/>
            <w:vAlign w:val="bottom"/>
          </w:tcPr>
          <w:p>
            <w:pPr>
              <w:jc w:val="center"/>
              <w:ind w:left="2869"/>
              <w:spacing w:after="0" w:line="133" w:lineRule="exact"/>
              <w:rPr>
                <w:sz w:val="20"/>
                <w:szCs w:val="20"/>
                <w:color w:val="auto"/>
              </w:rPr>
            </w:pPr>
            <w:r>
              <w:rPr>
                <w:rFonts w:ascii="Arial" w:cs="Arial" w:eastAsia="Arial" w:hAnsi="Arial"/>
                <w:sz w:val="14"/>
                <w:szCs w:val="14"/>
                <w:b w:val="1"/>
                <w:bCs w:val="1"/>
                <w:color w:val="auto"/>
                <w:w w:val="89"/>
              </w:rPr>
              <w:t>Seattle, Washington 98109</w:t>
            </w:r>
          </w:p>
        </w:tc>
      </w:tr>
      <w:tr>
        <w:trPr>
          <w:trHeight w:val="133"/>
        </w:trPr>
        <w:tc>
          <w:tcPr>
            <w:tcW w:w="3060" w:type="dxa"/>
            <w:vAlign w:val="bottom"/>
          </w:tcPr>
          <w:p>
            <w:pPr>
              <w:jc w:val="center"/>
              <w:ind w:right="609"/>
              <w:spacing w:after="0" w:line="133" w:lineRule="exact"/>
              <w:rPr>
                <w:sz w:val="20"/>
                <w:szCs w:val="20"/>
                <w:color w:val="auto"/>
              </w:rPr>
            </w:pPr>
            <w:r>
              <w:rPr>
                <w:rFonts w:ascii="Arial" w:cs="Arial" w:eastAsia="Arial" w:hAnsi="Arial"/>
                <w:sz w:val="14"/>
                <w:szCs w:val="14"/>
                <w:b w:val="1"/>
                <w:bCs w:val="1"/>
                <w:color w:val="auto"/>
                <w:w w:val="93"/>
              </w:rPr>
              <w:t>650 Page Mill Road</w:t>
            </w:r>
          </w:p>
        </w:tc>
        <w:tc>
          <w:tcPr>
            <w:tcW w:w="4560" w:type="dxa"/>
            <w:vAlign w:val="bottom"/>
          </w:tcPr>
          <w:p>
            <w:pPr>
              <w:jc w:val="center"/>
              <w:ind w:left="2889"/>
              <w:spacing w:after="0" w:line="133" w:lineRule="exact"/>
              <w:rPr>
                <w:sz w:val="20"/>
                <w:szCs w:val="20"/>
                <w:color w:val="auto"/>
              </w:rPr>
            </w:pPr>
            <w:r>
              <w:rPr>
                <w:rFonts w:ascii="Arial" w:cs="Arial" w:eastAsia="Arial" w:hAnsi="Arial"/>
                <w:sz w:val="14"/>
                <w:szCs w:val="14"/>
                <w:b w:val="1"/>
                <w:bCs w:val="1"/>
                <w:color w:val="auto"/>
                <w:w w:val="91"/>
              </w:rPr>
              <w:t>(206) 333-2001</w:t>
            </w:r>
          </w:p>
        </w:tc>
      </w:tr>
      <w:tr>
        <w:trPr>
          <w:trHeight w:val="133"/>
        </w:trPr>
        <w:tc>
          <w:tcPr>
            <w:tcW w:w="3060" w:type="dxa"/>
            <w:vAlign w:val="bottom"/>
          </w:tcPr>
          <w:p>
            <w:pPr>
              <w:jc w:val="center"/>
              <w:ind w:right="589"/>
              <w:spacing w:after="0" w:line="133" w:lineRule="exact"/>
              <w:rPr>
                <w:sz w:val="20"/>
                <w:szCs w:val="20"/>
                <w:color w:val="auto"/>
              </w:rPr>
            </w:pPr>
            <w:r>
              <w:rPr>
                <w:rFonts w:ascii="Arial" w:cs="Arial" w:eastAsia="Arial" w:hAnsi="Arial"/>
                <w:sz w:val="14"/>
                <w:szCs w:val="14"/>
                <w:b w:val="1"/>
                <w:bCs w:val="1"/>
                <w:color w:val="auto"/>
                <w:w w:val="93"/>
              </w:rPr>
              <w:t>Palo Alto, California 94304</w:t>
            </w:r>
          </w:p>
        </w:tc>
        <w:tc>
          <w:tcPr>
            <w:tcW w:w="4560" w:type="dxa"/>
            <w:vAlign w:val="bottom"/>
          </w:tcPr>
          <w:p>
            <w:pPr>
              <w:spacing w:after="0"/>
              <w:rPr>
                <w:sz w:val="11"/>
                <w:szCs w:val="11"/>
                <w:color w:val="auto"/>
              </w:rPr>
            </w:pPr>
          </w:p>
        </w:tc>
      </w:tr>
      <w:tr>
        <w:trPr>
          <w:trHeight w:val="184"/>
        </w:trPr>
        <w:tc>
          <w:tcPr>
            <w:tcW w:w="3060" w:type="dxa"/>
            <w:vAlign w:val="bottom"/>
          </w:tcPr>
          <w:p>
            <w:pPr>
              <w:jc w:val="center"/>
              <w:ind w:right="589"/>
              <w:spacing w:after="0"/>
              <w:rPr>
                <w:sz w:val="20"/>
                <w:szCs w:val="20"/>
                <w:color w:val="auto"/>
              </w:rPr>
            </w:pPr>
            <w:r>
              <w:rPr>
                <w:rFonts w:ascii="Arial" w:cs="Arial" w:eastAsia="Arial" w:hAnsi="Arial"/>
                <w:sz w:val="14"/>
                <w:szCs w:val="14"/>
                <w:b w:val="1"/>
                <w:bCs w:val="1"/>
                <w:color w:val="auto"/>
                <w:w w:val="91"/>
              </w:rPr>
              <w:t>(650) 493-9300</w:t>
            </w:r>
          </w:p>
        </w:tc>
        <w:tc>
          <w:tcPr>
            <w:tcW w:w="45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169545</wp:posOffset>
            </wp:positionV>
            <wp:extent cx="1194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121"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116" w:lineRule="exact"/>
        <w:rPr>
          <w:sz w:val="24"/>
          <w:szCs w:val="24"/>
          <w:color w:val="auto"/>
        </w:rPr>
      </w:pPr>
    </w:p>
    <w:p>
      <w:pPr>
        <w:ind w:right="60"/>
        <w:spacing w:after="0" w:line="284"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6" w:lineRule="exact"/>
        <w:rPr>
          <w:sz w:val="24"/>
          <w:szCs w:val="24"/>
          <w:color w:val="auto"/>
        </w:rPr>
      </w:pPr>
    </w:p>
    <w:p>
      <w:pPr>
        <w:ind w:right="260"/>
        <w:spacing w:after="0" w:line="284"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6" w:lineRule="exact"/>
        <w:rPr>
          <w:sz w:val="24"/>
          <w:szCs w:val="24"/>
          <w:color w:val="auto"/>
        </w:rPr>
      </w:pPr>
    </w:p>
    <w:p>
      <w:pPr>
        <w:ind w:right="260"/>
        <w:spacing w:after="0" w:line="284"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56"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1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5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16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8" w:lineRule="exact"/>
        <w:rPr>
          <w:sz w:val="24"/>
          <w:szCs w:val="24"/>
          <w:color w:val="auto"/>
        </w:rPr>
      </w:pPr>
    </w:p>
    <w:p>
      <w:pPr>
        <w:ind w:right="10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22225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6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CALCULATION OF REGISTRATION FEE</w:t>
      </w:r>
    </w:p>
    <w:p>
      <w:pPr>
        <w:sectPr>
          <w:pgSz w:w="11900" w:h="16838" w:orient="portrait"/>
          <w:cols w:equalWidth="0" w:num="1">
            <w:col w:w="11240"/>
          </w:cols>
          <w:pgMar w:left="320" w:top="5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Title of Each Class of Securities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3230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0880" cy="8255"/>
                    </a:xfrm>
                    <a:prstGeom prst="rect">
                      <a:avLst/>
                    </a:prstGeom>
                    <a:noFill/>
                  </pic:spPr>
                </pic:pic>
              </a:graphicData>
            </a:graphic>
          </wp:anchor>
        </w:drawing>
      </w:r>
    </w:p>
    <w:p>
      <w:pPr>
        <w:spacing w:after="0" w:line="39" w:lineRule="exact"/>
        <w:rPr>
          <w:sz w:val="20"/>
          <w:szCs w:val="20"/>
          <w:color w:val="auto"/>
        </w:rPr>
      </w:pPr>
    </w:p>
    <w:p>
      <w:pPr>
        <w:ind w:left="20" w:right="1280"/>
        <w:spacing w:after="0" w:line="310" w:lineRule="auto"/>
        <w:rPr>
          <w:sz w:val="20"/>
          <w:szCs w:val="20"/>
          <w:color w:val="auto"/>
        </w:rPr>
      </w:pPr>
      <w:r>
        <w:rPr>
          <w:rFonts w:ascii="Arial" w:cs="Arial" w:eastAsia="Arial" w:hAnsi="Arial"/>
          <w:sz w:val="18"/>
          <w:szCs w:val="18"/>
          <w:color w:val="auto"/>
        </w:rPr>
        <w:t xml:space="preserve">Common Stock, par value $0.0001 per share </w:t>
      </w:r>
      <w:r>
        <w:rPr>
          <w:rFonts w:ascii="Arial" w:cs="Arial" w:eastAsia="Arial" w:hAnsi="Arial"/>
          <w:sz w:val="18"/>
          <w:szCs w:val="18"/>
          <w:b w:val="1"/>
          <w:bCs w:val="1"/>
          <w:color w:val="auto"/>
        </w:rPr>
        <w:t>TOTAL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Proposed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 to</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6"/>
              </w:rPr>
              <w:t>Proposed</w:t>
            </w:r>
          </w:p>
        </w:tc>
        <w:tc>
          <w:tcPr>
            <w:tcW w:w="200" w:type="dxa"/>
            <w:vAlign w:val="bottom"/>
          </w:tcPr>
          <w:p>
            <w:pPr>
              <w:spacing w:after="0"/>
              <w:rPr>
                <w:sz w:val="11"/>
                <w:szCs w:val="11"/>
                <w:color w:val="auto"/>
              </w:rPr>
            </w:pPr>
          </w:p>
        </w:tc>
        <w:tc>
          <w:tcPr>
            <w:tcW w:w="140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1"/>
                <w:szCs w:val="11"/>
                <w:color w:val="auto"/>
              </w:rPr>
            </w:pPr>
          </w:p>
        </w:tc>
        <w:tc>
          <w:tcPr>
            <w:tcW w:w="106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33"/>
        </w:trPr>
        <w:tc>
          <w:tcPr>
            <w:tcW w:w="1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580"/>
              <w:spacing w:after="0" w:line="133" w:lineRule="exact"/>
              <w:rPr>
                <w:sz w:val="20"/>
                <w:szCs w:val="20"/>
                <w:color w:val="auto"/>
              </w:rPr>
            </w:pPr>
            <w:r>
              <w:rPr>
                <w:rFonts w:ascii="Arial" w:cs="Arial" w:eastAsia="Arial" w:hAnsi="Arial"/>
                <w:sz w:val="14"/>
                <w:szCs w:val="14"/>
                <w:b w:val="1"/>
                <w:bCs w:val="1"/>
                <w:color w:val="auto"/>
                <w:w w:val="89"/>
              </w:rPr>
              <w:t>Aggregate</w:t>
            </w: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5"/>
              </w:rPr>
              <w:t>be</w:t>
            </w:r>
          </w:p>
        </w:tc>
        <w:tc>
          <w:tcPr>
            <w:tcW w:w="162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Maximum Offering</w:t>
            </w:r>
          </w:p>
        </w:tc>
        <w:tc>
          <w:tcPr>
            <w:tcW w:w="200" w:type="dxa"/>
            <w:vAlign w:val="bottom"/>
          </w:tcPr>
          <w:p>
            <w:pPr>
              <w:spacing w:after="0"/>
              <w:rPr>
                <w:sz w:val="11"/>
                <w:szCs w:val="11"/>
                <w:color w:val="auto"/>
              </w:rPr>
            </w:pPr>
          </w:p>
        </w:tc>
        <w:tc>
          <w:tcPr>
            <w:tcW w:w="140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1"/>
                <w:szCs w:val="11"/>
                <w:color w:val="auto"/>
              </w:rPr>
            </w:pPr>
          </w:p>
        </w:tc>
        <w:tc>
          <w:tcPr>
            <w:tcW w:w="10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84"/>
              </w:rPr>
              <w:t>Registered</w:t>
            </w:r>
            <w:r>
              <w:rPr>
                <w:rFonts w:ascii="Arial" w:cs="Arial" w:eastAsia="Arial" w:hAnsi="Arial"/>
                <w:sz w:val="18"/>
                <w:szCs w:val="18"/>
                <w:b w:val="1"/>
                <w:bCs w:val="1"/>
                <w:color w:val="auto"/>
                <w:w w:val="84"/>
                <w:vertAlign w:val="superscript"/>
              </w:rPr>
              <w:t>(1)</w:t>
            </w: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Price per Share</w:t>
            </w: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19"/>
        </w:trPr>
        <w:tc>
          <w:tcPr>
            <w:tcW w:w="1600" w:type="dxa"/>
            <w:vAlign w:val="bottom"/>
            <w:gridSpan w:val="2"/>
          </w:tcPr>
          <w:p>
            <w:pPr>
              <w:jc w:val="right"/>
              <w:ind w:right="220"/>
              <w:spacing w:after="0" w:line="220" w:lineRule="exact"/>
              <w:rPr>
                <w:sz w:val="20"/>
                <w:szCs w:val="20"/>
                <w:color w:val="auto"/>
              </w:rPr>
            </w:pPr>
            <w:r>
              <w:rPr>
                <w:rFonts w:ascii="Arial" w:cs="Arial" w:eastAsia="Arial" w:hAnsi="Arial"/>
                <w:sz w:val="18"/>
                <w:szCs w:val="18"/>
                <w:color w:val="auto"/>
              </w:rPr>
              <w:t xml:space="preserve">95,645,056 </w:t>
            </w:r>
            <w:r>
              <w:rPr>
                <w:rFonts w:ascii="Arial" w:cs="Arial" w:eastAsia="Arial" w:hAnsi="Arial"/>
                <w:sz w:val="22"/>
                <w:szCs w:val="22"/>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line="220" w:lineRule="exact"/>
              <w:rPr>
                <w:sz w:val="20"/>
                <w:szCs w:val="20"/>
                <w:color w:val="auto"/>
              </w:rPr>
            </w:pPr>
            <w:r>
              <w:rPr>
                <w:rFonts w:ascii="Arial" w:cs="Arial" w:eastAsia="Arial" w:hAnsi="Arial"/>
                <w:sz w:val="18"/>
                <w:szCs w:val="18"/>
                <w:color w:val="auto"/>
              </w:rPr>
              <w:t xml:space="preserve">9.27 </w:t>
            </w:r>
            <w:r>
              <w:rPr>
                <w:rFonts w:ascii="Arial" w:cs="Arial" w:eastAsia="Arial" w:hAnsi="Arial"/>
                <w:sz w:val="22"/>
                <w:szCs w:val="22"/>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80"/>
              <w:spacing w:after="0" w:line="220" w:lineRule="exact"/>
              <w:rPr>
                <w:sz w:val="20"/>
                <w:szCs w:val="20"/>
                <w:color w:val="auto"/>
              </w:rPr>
            </w:pPr>
            <w:r>
              <w:rPr>
                <w:rFonts w:ascii="Arial" w:cs="Arial" w:eastAsia="Arial" w:hAnsi="Arial"/>
                <w:sz w:val="18"/>
                <w:szCs w:val="18"/>
                <w:color w:val="auto"/>
                <w:w w:val="97"/>
              </w:rPr>
              <w:t xml:space="preserve">886,629,669   </w:t>
            </w:r>
            <w:r>
              <w:rPr>
                <w:rFonts w:ascii="Arial" w:cs="Arial" w:eastAsia="Arial" w:hAnsi="Arial"/>
                <w:sz w:val="22"/>
                <w:szCs w:val="22"/>
                <w:color w:val="auto"/>
                <w:w w:val="97"/>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96,732</w:t>
            </w: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ectPr>
          <w:pgSz w:w="11900" w:h="16838" w:orient="portrait"/>
          <w:cols w:equalWidth="0" w:num="2">
            <w:col w:w="4460" w:space="720"/>
            <w:col w:w="6060"/>
          </w:cols>
          <w:pgMar w:left="320" w:top="519" w:right="339" w:bottom="1440" w:gutter="0" w:footer="0" w:header="0"/>
          <w:type w:val="continuous"/>
        </w:sectPr>
      </w:pPr>
    </w:p>
    <w:p>
      <w:pPr>
        <w:jc w:val="both"/>
        <w:ind w:left="320" w:hanging="314"/>
        <w:spacing w:after="0" w:line="237" w:lineRule="auto"/>
        <w:tabs>
          <w:tab w:leader="none" w:pos="31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this Registration Statement shall also cover any additional shares of the Registrant’s common stock (“Common Stock”) that become issuable as a result of any stock dividend, stock split, recapitalization, or other similar transaction effected without the receipt of consideration that results in an increase to the number of outstanding shares of Common Stock, as applicable.</w:t>
      </w:r>
    </w:p>
    <w:p>
      <w:pPr>
        <w:ind w:left="320" w:hanging="314"/>
        <w:spacing w:after="0"/>
        <w:tabs>
          <w:tab w:leader="none" w:pos="32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number of shares of Common Stock being registered hereunder are being registered for sale by the selling securityholders named in this Registration Statement, and represents the sum of</w:t>
      </w:r>
    </w:p>
    <w:p>
      <w:pPr>
        <w:spacing w:after="0" w:line="21" w:lineRule="exact"/>
        <w:rPr>
          <w:rFonts w:ascii="Arial" w:cs="Arial" w:eastAsia="Arial" w:hAnsi="Arial"/>
          <w:sz w:val="12"/>
          <w:szCs w:val="12"/>
          <w:color w:val="auto"/>
        </w:rPr>
      </w:pPr>
    </w:p>
    <w:p>
      <w:pPr>
        <w:ind w:left="320" w:right="40"/>
        <w:spacing w:after="0" w:line="237" w:lineRule="auto"/>
        <w:rPr>
          <w:rFonts w:ascii="Arial" w:cs="Arial" w:eastAsia="Arial" w:hAnsi="Arial"/>
          <w:sz w:val="12"/>
          <w:szCs w:val="12"/>
          <w:color w:val="auto"/>
        </w:rPr>
      </w:pPr>
      <w:r>
        <w:rPr>
          <w:rFonts w:ascii="Arial" w:cs="Arial" w:eastAsia="Arial" w:hAnsi="Arial"/>
          <w:sz w:val="14"/>
          <w:szCs w:val="14"/>
          <w:color w:val="auto"/>
        </w:rPr>
        <w:t>(a) 20,000,000 shares of Common Stock issued in the PIPE Financing (as defined below), (b) 4,286,500 shares of Common Stock issued in connection with the Domestication (as defined below), (c) 69,655,827 shares of Common Stock issued in connection with the Business Combination (as defined below), and (d) 1,702,729 shares of Common Stock issuable upon the exercise of certain outstanding options to purchase Common Stock.</w:t>
      </w:r>
    </w:p>
    <w:p>
      <w:pPr>
        <w:ind w:left="320" w:right="120" w:hanging="314"/>
        <w:spacing w:after="0" w:line="242" w:lineRule="auto"/>
        <w:tabs>
          <w:tab w:leader="none" w:pos="31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457(c) under the Securities Act, and solely for the purpose of calculating the registration fee, the proposed maximum offering price per share is $9.27, which is the average of the high and low prices of shares of Common Stock on The Nasdaq Global Select Market (“Nasdaq”) on July 19, 2021 (such date being within five business days of the date that this Registration Statement was filed with the U.S. Securities and Exchange Commission (the “SEC”)).</w:t>
      </w:r>
    </w:p>
    <w:p>
      <w:pPr>
        <w:spacing w:after="0" w:line="1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149225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type w:val="continuous"/>
        </w:sectPr>
      </w:pPr>
    </w:p>
    <w:bookmarkStart w:id="2" w:name="page3"/>
    <w:bookmarkEnd w:id="2"/>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(“Old Nautilus”).</w:t>
      </w:r>
    </w:p>
    <w:p>
      <w:pPr>
        <w:spacing w:after="0" w:line="128"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Old Nautilus (the “Merger”), with Old Nautilus as the surviving company in the Merger and, after giving effect to such Merger, Old Nautilus becoming a wholly-owned subsidiary of New Nautilus.</w:t>
      </w:r>
    </w:p>
    <w:p>
      <w:pPr>
        <w:spacing w:after="0" w:line="128"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Upon the Domestication, all of the outstanding Class A and Class B ordinary shares of ARYA were exchanged for an equivalent number of shares of common stock of New Nautilus, par value $0.0001 per share (“Common Stock”). In accordance with the terms and subject to the conditions of the Business Combination Agreement, at the effective time of the Merger (the “Effective Time”), (i) each share of Old Nautilus outstanding as of immediately prior to the Effective Time was exchanged for shares of Common Stock of New Nautilus, and (ii) all vested and unvested options to purchase shares of Old Nautilus were exchanged for comparable options to purchase shares of Common Stock of New Nautilus.</w:t>
      </w:r>
    </w:p>
    <w:p>
      <w:pPr>
        <w:spacing w:after="0" w:line="98"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immediately prior to the Effective Time, an aggregate of 20,000,000 shares of New Nautilus Common Stock at a price of $10.00 per share (the “PIPE Shares”), for aggregate gross proceeds of $200,000,000 (the “PIPE Financing”). ARYA granted the PIPE Investors certain registration rights in connection with the PIPE Financing. Also concurrently with the execution of the Business Combination Agreement, ARYA entered into the Amended and Restated Registration Rights and Lock-Up Agreement with certain stockholders of ARYA and Old Nautilus, which obligated the Company to register the resale of certain shares of our Common Stock issued in connection with the Domestication and the Business Combination.</w:t>
      </w:r>
    </w:p>
    <w:p>
      <w:pPr>
        <w:spacing w:after="0" w:line="10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began trading on the Nasdaq Global Select Market (“Nasdaq”) under the symbol “NAUT.”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951230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right="40"/>
        <w:spacing w:after="0" w:line="258" w:lineRule="auto"/>
        <w:rPr>
          <w:sz w:val="20"/>
          <w:szCs w:val="20"/>
          <w:color w:val="auto"/>
        </w:rPr>
      </w:pPr>
      <w:r>
        <w:rPr>
          <w:rFonts w:ascii="Arial" w:cs="Arial" w:eastAsia="Arial" w:hAnsi="Arial"/>
          <w:sz w:val="18"/>
          <w:szCs w:val="18"/>
          <w:b w:val="1"/>
          <w:bCs w:val="1"/>
          <w:color w:val="F1665F"/>
        </w:rPr>
        <w:t>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w:t>
      </w:r>
    </w:p>
    <w:p>
      <w:pPr>
        <w:spacing w:after="0" w:line="74" w:lineRule="exact"/>
        <w:rPr>
          <w:sz w:val="20"/>
          <w:szCs w:val="20"/>
          <w:color w:val="auto"/>
        </w:rPr>
      </w:pPr>
    </w:p>
    <w:p>
      <w:pPr>
        <w:ind w:left="20"/>
        <w:spacing w:after="0"/>
        <w:tabs>
          <w:tab w:leader="none" w:pos="5620" w:val="left"/>
          <w:tab w:leader="none" w:pos="10220" w:val="left"/>
        </w:tabs>
        <w:rPr>
          <w:sz w:val="20"/>
          <w:szCs w:val="20"/>
          <w:color w:val="auto"/>
        </w:rPr>
      </w:pPr>
      <w:r>
        <w:rPr>
          <w:rFonts w:ascii="Arial" w:cs="Arial" w:eastAsia="Arial" w:hAnsi="Arial"/>
          <w:sz w:val="18"/>
          <w:szCs w:val="18"/>
          <w:b w:val="1"/>
          <w:bCs w:val="1"/>
          <w:color w:val="F1665F"/>
        </w:rPr>
        <w:t>PRELIMINARY PROSPECTUS</w:t>
      </w:r>
      <w:r>
        <w:rPr>
          <w:sz w:val="20"/>
          <w:szCs w:val="20"/>
          <w:color w:val="auto"/>
        </w:rPr>
        <w:tab/>
      </w:r>
      <w:r>
        <w:rPr>
          <w:rFonts w:ascii="Arial" w:cs="Arial" w:eastAsia="Arial" w:hAnsi="Arial"/>
          <w:sz w:val="18"/>
          <w:szCs w:val="18"/>
          <w:b w:val="1"/>
          <w:bCs w:val="1"/>
          <w:color w:val="F1665F"/>
        </w:rPr>
        <w:t>Subject to Completion</w:t>
      </w:r>
      <w:r>
        <w:rPr>
          <w:sz w:val="20"/>
          <w:szCs w:val="20"/>
          <w:color w:val="auto"/>
        </w:rPr>
        <w:tab/>
      </w:r>
      <w:r>
        <w:rPr>
          <w:rFonts w:ascii="Arial" w:cs="Arial" w:eastAsia="Arial" w:hAnsi="Arial"/>
          <w:sz w:val="15"/>
          <w:szCs w:val="15"/>
          <w:b w:val="1"/>
          <w:bCs w:val="1"/>
          <w:color w:val="F1665F"/>
        </w:rPr>
        <w:t>July 22,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95,645,056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19685</wp:posOffset>
            </wp:positionV>
            <wp:extent cx="2103120" cy="833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3120" cy="83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This prospectus relates to (i) the resale of 4,286,500 shares of common stock, par value $0.0001 per share (the “Common Stock”) issued in connection with the Domestication by certain of the selling securityholders named in this prospectus (each a “selling securityholder” and, collectively, the “selling securityholders”), (ii) the resale of 69,655,827 shares of Common Stock issued in connection with the Business Combination by certain of the selling securityholders, (iii) the resale of 20,000,000 shares of common stock issued in the PIPE Financing by certain of the selling securityholders, and (iv) the issuance by us and resale of 1,702,729 shares of Common Stock reserved for issuance upon the exercise of certain outstanding options to purchase Common Stock. This prospectus also covers any additional securities that may become issuable by reason of stock splits, stock dividends or other similar transactions.</w:t>
      </w:r>
    </w:p>
    <w:p>
      <w:pPr>
        <w:spacing w:after="0" w:line="9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are registering the offer and sale of these securities to satisfy certain registration rights we have granted. We will not receive any of the proceeds from the sale of the securities by the selling securityholders. We will pay the expenses associated with registering the sales by the selling securityholders, as described in more detail in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appearing elsewhere in this prospectus.</w:t>
      </w:r>
    </w:p>
    <w:p>
      <w:pPr>
        <w:spacing w:after="0" w:line="135" w:lineRule="exact"/>
        <w:rPr>
          <w:sz w:val="20"/>
          <w:szCs w:val="20"/>
          <w:color w:val="auto"/>
        </w:rPr>
      </w:pPr>
    </w:p>
    <w:p>
      <w:pPr>
        <w:jc w:val="both"/>
        <w:ind w:right="160" w:firstLine="318"/>
        <w:spacing w:after="0" w:line="365" w:lineRule="auto"/>
        <w:rPr>
          <w:sz w:val="20"/>
          <w:szCs w:val="20"/>
          <w:color w:val="auto"/>
        </w:rPr>
      </w:pPr>
      <w:r>
        <w:rPr>
          <w:rFonts w:ascii="Arial" w:cs="Arial" w:eastAsia="Arial" w:hAnsi="Arial"/>
          <w:sz w:val="15"/>
          <w:szCs w:val="15"/>
          <w:color w:val="auto"/>
        </w:rPr>
        <w:t>The selling securityholders may sell the securities described in this prospectus in a number of different ways and at varying prices. We provide more information about how the selling securityholders may sell their securities in the section 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appearing elsewhere in this prospectus.</w:t>
      </w:r>
    </w:p>
    <w:p>
      <w:pPr>
        <w:spacing w:after="0" w:line="58"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The selling securityholders may sell any, all or none of the securities and we do not know when or in what amount the selling securityholders may sell their securities hereunder following the effective date of this registration statement.</w:t>
      </w:r>
    </w:p>
    <w:p>
      <w:pPr>
        <w:spacing w:after="0" w:line="128" w:lineRule="exact"/>
        <w:rPr>
          <w:sz w:val="20"/>
          <w:szCs w:val="20"/>
          <w:color w:val="auto"/>
        </w:rPr>
      </w:pPr>
    </w:p>
    <w:p>
      <w:pPr>
        <w:jc w:val="both"/>
        <w:ind w:right="160" w:firstLine="318"/>
        <w:spacing w:after="0" w:line="277" w:lineRule="auto"/>
        <w:rPr>
          <w:sz w:val="20"/>
          <w:szCs w:val="20"/>
          <w:color w:val="auto"/>
        </w:rPr>
      </w:pPr>
      <w:r>
        <w:rPr>
          <w:rFonts w:ascii="Arial" w:cs="Arial" w:eastAsia="Arial" w:hAnsi="Arial"/>
          <w:sz w:val="17"/>
          <w:szCs w:val="17"/>
          <w:color w:val="auto"/>
        </w:rPr>
        <w:t>Of the shares of Common Stock that may be offered or sold by selling securityholders identified in this prospectus, certain of our selling securityholders are subject to lock-up restrictions with respect to 83,157,327 of those shares pursuant to our bylaws and/or other agreements further described in the sections titled “</w:t>
      </w:r>
      <w:r>
        <w:rPr>
          <w:rFonts w:ascii="Arial" w:cs="Arial" w:eastAsia="Arial" w:hAnsi="Arial"/>
          <w:sz w:val="17"/>
          <w:szCs w:val="17"/>
          <w:i w:val="1"/>
          <w:iCs w:val="1"/>
          <w:color w:val="auto"/>
        </w:rPr>
        <w:t>Certain Relationships, Related Party and Other Transactions</w:t>
      </w:r>
      <w:r>
        <w:rPr>
          <w:rFonts w:ascii="Arial" w:cs="Arial" w:eastAsia="Arial" w:hAnsi="Arial"/>
          <w:sz w:val="17"/>
          <w:szCs w:val="17"/>
          <w:color w:val="auto"/>
        </w:rPr>
        <w:t>” appearing elsewhere in this prospectus.</w:t>
      </w:r>
    </w:p>
    <w:p>
      <w:pPr>
        <w:spacing w:after="0" w:line="11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Our Common Stock is listed on The Nasdaq Global Select Market (“Nasdaq”) under the symbol “NAUT.” On July 21, 2021, the last quoted sale price for our Common Stock as reported on Nasdaq was $9.20.</w:t>
      </w:r>
    </w:p>
    <w:p>
      <w:pPr>
        <w:spacing w:after="0" w:line="122" w:lineRule="exact"/>
        <w:rPr>
          <w:sz w:val="20"/>
          <w:szCs w:val="20"/>
          <w:color w:val="auto"/>
        </w:rPr>
      </w:pPr>
    </w:p>
    <w:p>
      <w:pPr>
        <w:ind w:right="400" w:firstLine="318"/>
        <w:spacing w:after="0" w:line="271"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16" w:lineRule="exact"/>
        <w:rPr>
          <w:sz w:val="20"/>
          <w:szCs w:val="20"/>
          <w:color w:val="auto"/>
        </w:rPr>
      </w:pPr>
    </w:p>
    <w:p>
      <w:pPr>
        <w:ind w:right="360" w:firstLine="318"/>
        <w:spacing w:after="0" w:line="301" w:lineRule="auto"/>
        <w:rPr>
          <w:sz w:val="20"/>
          <w:szCs w:val="20"/>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the section titled “</w:t>
      </w:r>
      <w:r>
        <w:rPr>
          <w:rFonts w:ascii="Arial" w:cs="Arial" w:eastAsia="Arial" w:hAnsi="Arial"/>
          <w:sz w:val="17"/>
          <w:szCs w:val="17"/>
          <w:b w:val="1"/>
          <w:bCs w:val="1"/>
          <w:i w:val="1"/>
          <w:iCs w:val="1"/>
          <w:u w:val="single" w:color="auto"/>
          <w:color w:val="0000FF"/>
        </w:rPr>
        <w:t>Risk Factors</w:t>
      </w:r>
      <w:r>
        <w:rPr>
          <w:rFonts w:ascii="Arial" w:cs="Arial" w:eastAsia="Arial" w:hAnsi="Arial"/>
          <w:sz w:val="17"/>
          <w:szCs w:val="17"/>
          <w:b w:val="1"/>
          <w:bCs w:val="1"/>
          <w:color w:val="auto"/>
        </w:rPr>
        <w:t>” beginning on page 6 of this prospectus.</w:t>
      </w:r>
    </w:p>
    <w:p>
      <w:pPr>
        <w:spacing w:after="0" w:line="93" w:lineRule="exact"/>
        <w:rPr>
          <w:sz w:val="20"/>
          <w:szCs w:val="20"/>
          <w:color w:val="auto"/>
        </w:rPr>
      </w:pPr>
    </w:p>
    <w:p>
      <w:pPr>
        <w:ind w:right="780" w:firstLine="318"/>
        <w:spacing w:after="0" w:line="271"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16" w:lineRule="exact"/>
        <w:rPr>
          <w:sz w:val="20"/>
          <w:szCs w:val="20"/>
          <w:color w:val="auto"/>
        </w:rPr>
      </w:pPr>
    </w:p>
    <w:p>
      <w:pPr>
        <w:ind w:right="100" w:firstLine="318"/>
        <w:spacing w:after="0" w:line="271" w:lineRule="auto"/>
        <w:rPr>
          <w:sz w:val="20"/>
          <w:szCs w:val="20"/>
          <w:color w:val="auto"/>
        </w:rPr>
      </w:pPr>
      <w:r>
        <w:rPr>
          <w:rFonts w:ascii="Arial" w:cs="Arial" w:eastAsia="Arial" w:hAnsi="Arial"/>
          <w:sz w:val="18"/>
          <w:szCs w:val="18"/>
          <w:b w:val="1"/>
          <w:bCs w:val="1"/>
          <w:color w:val="auto"/>
        </w:rPr>
        <w:t>Neither the Securities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101600</wp:posOffset>
            </wp:positionV>
            <wp:extent cx="1514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Pr>
          <w:p>
            <w:pPr>
              <w:ind w:left="3980"/>
              <w:spacing w:after="0"/>
              <w:rPr>
                <w:sz w:val="20"/>
                <w:szCs w:val="20"/>
                <w:color w:val="auto"/>
              </w:rPr>
            </w:pPr>
            <w:r>
              <w:rPr>
                <w:rFonts w:ascii="Arial" w:cs="Arial" w:eastAsia="Arial" w:hAnsi="Arial"/>
                <w:sz w:val="18"/>
                <w:szCs w:val="18"/>
                <w:i w:val="1"/>
                <w:iCs w:val="1"/>
                <w:color w:val="auto"/>
              </w:rPr>
              <w:t>The date of this prospectus is</w:t>
            </w:r>
          </w:p>
        </w:tc>
        <w:tc>
          <w:tcPr>
            <w:tcW w:w="4820" w:type="dxa"/>
            <w:vAlign w:val="bottom"/>
          </w:tcPr>
          <w:p>
            <w:pPr>
              <w:jc w:val="right"/>
              <w:ind w:right="3872"/>
              <w:spacing w:after="0"/>
              <w:rPr>
                <w:sz w:val="20"/>
                <w:szCs w:val="20"/>
                <w:color w:val="auto"/>
              </w:rPr>
            </w:pPr>
            <w:r>
              <w:rPr>
                <w:rFonts w:ascii="Arial" w:cs="Arial" w:eastAsia="Arial" w:hAnsi="Arial"/>
                <w:sz w:val="18"/>
                <w:szCs w:val="18"/>
                <w:i w:val="1"/>
                <w:iCs w:val="1"/>
                <w:color w:val="auto"/>
              </w:rPr>
              <w:t>, 2021.</w:t>
            </w:r>
          </w:p>
        </w:tc>
      </w:tr>
      <w:tr>
        <w:trPr>
          <w:trHeight w:val="908"/>
        </w:trPr>
        <w:tc>
          <w:tcPr>
            <w:tcW w:w="6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60" w:type="dxa"/>
            <w:vAlign w:val="bottom"/>
            <w:gridSpan w:val="3"/>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3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58"/>
        </w:trPr>
        <w:tc>
          <w:tcPr>
            <w:tcW w:w="162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About This Prospectus</w:t>
              </w:r>
            </w:hyperlink>
          </w:p>
        </w:tc>
        <w:tc>
          <w:tcPr>
            <w:tcW w:w="930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5">
              <w:r>
                <w:rPr>
                  <w:rFonts w:ascii="Arial" w:cs="Arial" w:eastAsia="Arial" w:hAnsi="Arial"/>
                  <w:sz w:val="18"/>
                  <w:szCs w:val="18"/>
                  <w:color w:val="0000FF"/>
                  <w:w w:val="74"/>
                </w:rPr>
                <w:t>ii</w:t>
              </w:r>
            </w:hyperlink>
          </w:p>
        </w:tc>
      </w:tr>
      <w:tr>
        <w:trPr>
          <w:trHeight w:val="205"/>
        </w:trPr>
        <w:tc>
          <w:tcPr>
            <w:tcW w:w="10920" w:type="dxa"/>
            <w:vAlign w:val="bottom"/>
            <w:gridSpan w:val="20"/>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Market and Industry Data</w:t>
              </w:r>
            </w:hyperlink>
          </w:p>
        </w:tc>
        <w:tc>
          <w:tcPr>
            <w:tcW w:w="100" w:type="dxa"/>
            <w:vAlign w:val="bottom"/>
          </w:tcPr>
          <w:p>
            <w:pPr>
              <w:spacing w:after="0"/>
              <w:rPr>
                <w:sz w:val="17"/>
                <w:szCs w:val="17"/>
                <w:color w:val="auto"/>
              </w:rPr>
            </w:pPr>
          </w:p>
        </w:tc>
        <w:tc>
          <w:tcPr>
            <w:tcW w:w="180" w:type="dxa"/>
            <w:vAlign w:val="bottom"/>
            <w:gridSpan w:val="2"/>
          </w:tcPr>
          <w:p>
            <w:pPr>
              <w:jc w:val="right"/>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ii</w:t>
              </w:r>
            </w:hyperlink>
          </w:p>
        </w:tc>
      </w:tr>
      <w:tr>
        <w:trPr>
          <w:trHeight w:val="205"/>
        </w:trPr>
        <w:tc>
          <w:tcPr>
            <w:tcW w:w="1820" w:type="dxa"/>
            <w:vAlign w:val="bottom"/>
            <w:tcBorders>
              <w:top w:val="single" w:sz="8" w:color="0000FF"/>
            </w:tcBorders>
            <w:gridSpan w:val="13"/>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Trademarks</w:t>
              </w:r>
            </w:hyperlink>
          </w:p>
        </w:tc>
        <w:tc>
          <w:tcPr>
            <w:tcW w:w="91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jc w:val="right"/>
              <w:spacing w:after="0" w:line="205" w:lineRule="exact"/>
              <w:rPr>
                <w:rFonts w:ascii="Arial" w:cs="Arial" w:eastAsia="Arial" w:hAnsi="Arial"/>
                <w:sz w:val="18"/>
                <w:szCs w:val="18"/>
                <w:color w:val="0000FF"/>
                <w:w w:val="74"/>
              </w:rPr>
            </w:pPr>
            <w:hyperlink w:anchor="page6">
              <w:r>
                <w:rPr>
                  <w:rFonts w:ascii="Arial" w:cs="Arial" w:eastAsia="Arial" w:hAnsi="Arial"/>
                  <w:sz w:val="18"/>
                  <w:szCs w:val="18"/>
                  <w:color w:val="0000FF"/>
                  <w:w w:val="74"/>
                </w:rPr>
                <w:t>ii</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1500" w:type="dxa"/>
            <w:vAlign w:val="bottom"/>
            <w:gridSpan w:val="9"/>
          </w:tcPr>
          <w:p>
            <w:pPr>
              <w:spacing w:after="0" w:line="205" w:lineRule="exact"/>
              <w:rPr>
                <w:rFonts w:ascii="Arial" w:cs="Arial" w:eastAsia="Arial" w:hAnsi="Arial"/>
                <w:sz w:val="18"/>
                <w:szCs w:val="18"/>
                <w:color w:val="0000FF"/>
                <w:w w:val="85"/>
              </w:rPr>
            </w:pPr>
            <w:hyperlink w:anchor="page6">
              <w:r>
                <w:rPr>
                  <w:rFonts w:ascii="Arial" w:cs="Arial" w:eastAsia="Arial" w:hAnsi="Arial"/>
                  <w:sz w:val="18"/>
                  <w:szCs w:val="18"/>
                  <w:color w:val="0000FF"/>
                  <w:w w:val="85"/>
                </w:rPr>
                <w:t>Prospectus Summary</w:t>
              </w:r>
            </w:hyperlink>
          </w:p>
        </w:tc>
        <w:tc>
          <w:tcPr>
            <w:tcW w:w="9420" w:type="dxa"/>
            <w:vAlign w:val="bottom"/>
            <w:gridSpan w:val="11"/>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900" w:type="dxa"/>
            <w:vAlign w:val="bottom"/>
            <w:gridSpan w:val="4"/>
          </w:tcPr>
          <w:p>
            <w:pPr>
              <w:spacing w:after="0" w:line="205" w:lineRule="exact"/>
              <w:rPr>
                <w:rFonts w:ascii="Arial" w:cs="Arial" w:eastAsia="Arial" w:hAnsi="Arial"/>
                <w:sz w:val="18"/>
                <w:szCs w:val="18"/>
                <w:color w:val="0000FF"/>
                <w:w w:val="87"/>
              </w:rPr>
            </w:pPr>
            <w:hyperlink w:anchor="page11">
              <w:r>
                <w:rPr>
                  <w:rFonts w:ascii="Arial" w:cs="Arial" w:eastAsia="Arial" w:hAnsi="Arial"/>
                  <w:sz w:val="18"/>
                  <w:szCs w:val="18"/>
                  <w:color w:val="0000FF"/>
                  <w:w w:val="87"/>
                </w:rPr>
                <w:t>Risk Factors</w:t>
              </w:r>
            </w:hyperlink>
          </w:p>
        </w:tc>
        <w:tc>
          <w:tcPr>
            <w:tcW w:w="600" w:type="dxa"/>
            <w:vAlign w:val="bottom"/>
            <w:gridSpan w:val="5"/>
          </w:tcPr>
          <w:p>
            <w:pPr>
              <w:spacing w:after="0"/>
              <w:rPr>
                <w:sz w:val="17"/>
                <w:szCs w:val="17"/>
                <w:color w:val="auto"/>
              </w:rPr>
            </w:pPr>
          </w:p>
        </w:tc>
        <w:tc>
          <w:tcPr>
            <w:tcW w:w="9420" w:type="dxa"/>
            <w:vAlign w:val="bottom"/>
            <w:gridSpan w:val="11"/>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rPr>
            </w:pPr>
            <w:hyperlink w:anchor="page11">
              <w:r>
                <w:rPr>
                  <w:rFonts w:ascii="Arial" w:cs="Arial" w:eastAsia="Arial" w:hAnsi="Arial"/>
                  <w:sz w:val="18"/>
                  <w:szCs w:val="18"/>
                  <w:color w:val="0000FF"/>
                </w:rPr>
                <w:t>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4080" w:type="dxa"/>
            <w:vAlign w:val="bottom"/>
            <w:tcBorders>
              <w:bottom w:val="single" w:sz="8" w:color="0000FF"/>
            </w:tcBorders>
            <w:gridSpan w:val="16"/>
          </w:tcPr>
          <w:p>
            <w:pPr>
              <w:spacing w:after="0" w:line="205"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Cautionary Note Regarding Forward-Looking Statements</w:t>
              </w:r>
            </w:hyperlink>
          </w:p>
        </w:tc>
        <w:tc>
          <w:tcPr>
            <w:tcW w:w="68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45</w:t>
              </w:r>
            </w:hyperlink>
          </w:p>
        </w:tc>
      </w:tr>
      <w:tr>
        <w:trPr>
          <w:trHeight w:val="205"/>
        </w:trPr>
        <w:tc>
          <w:tcPr>
            <w:tcW w:w="1160" w:type="dxa"/>
            <w:vAlign w:val="bottom"/>
            <w:tcBorders>
              <w:bottom w:val="single" w:sz="8" w:color="0000FF"/>
            </w:tcBorders>
            <w:gridSpan w:val="7"/>
          </w:tcPr>
          <w:p>
            <w:pPr>
              <w:spacing w:after="0" w:line="205" w:lineRule="exact"/>
              <w:rPr>
                <w:rFonts w:ascii="Arial" w:cs="Arial" w:eastAsia="Arial" w:hAnsi="Arial"/>
                <w:sz w:val="18"/>
                <w:szCs w:val="18"/>
                <w:color w:val="0000FF"/>
                <w:w w:val="85"/>
              </w:rPr>
            </w:pPr>
            <w:hyperlink w:anchor="page52">
              <w:r>
                <w:rPr>
                  <w:rFonts w:ascii="Arial" w:cs="Arial" w:eastAsia="Arial" w:hAnsi="Arial"/>
                  <w:sz w:val="18"/>
                  <w:szCs w:val="18"/>
                  <w:color w:val="0000FF"/>
                  <w:w w:val="85"/>
                </w:rPr>
                <w:t>Use of Proceeds</w:t>
              </w:r>
            </w:hyperlink>
          </w:p>
        </w:tc>
        <w:tc>
          <w:tcPr>
            <w:tcW w:w="976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52">
              <w:r>
                <w:rPr>
                  <w:rFonts w:ascii="Arial" w:cs="Arial" w:eastAsia="Arial" w:hAnsi="Arial"/>
                  <w:sz w:val="18"/>
                  <w:szCs w:val="18"/>
                  <w:color w:val="0000FF"/>
                  <w:w w:val="79"/>
                </w:rPr>
                <w:t>47</w:t>
              </w:r>
            </w:hyperlink>
          </w:p>
        </w:tc>
      </w:tr>
      <w:tr>
        <w:trPr>
          <w:trHeight w:val="205"/>
        </w:trPr>
        <w:tc>
          <w:tcPr>
            <w:tcW w:w="10920" w:type="dxa"/>
            <w:vAlign w:val="bottom"/>
            <w:gridSpan w:val="20"/>
          </w:tcPr>
          <w:p>
            <w:pPr>
              <w:spacing w:after="0" w:line="205" w:lineRule="exact"/>
              <w:rPr>
                <w:rFonts w:ascii="Arial" w:cs="Arial" w:eastAsia="Arial" w:hAnsi="Arial"/>
                <w:sz w:val="18"/>
                <w:szCs w:val="18"/>
                <w:color w:val="0000FF"/>
              </w:rPr>
            </w:pPr>
            <w:hyperlink w:anchor="page53">
              <w:r>
                <w:rPr>
                  <w:rFonts w:ascii="Arial" w:cs="Arial" w:eastAsia="Arial" w:hAnsi="Arial"/>
                  <w:sz w:val="18"/>
                  <w:szCs w:val="18"/>
                  <w:color w:val="0000FF"/>
                </w:rPr>
                <w:t>Market Price of and Dividends on the Registrant’s Common Equity and Related Stockholder Matters</w:t>
              </w:r>
            </w:hyperlink>
          </w:p>
        </w:tc>
        <w:tc>
          <w:tcPr>
            <w:tcW w:w="280" w:type="dxa"/>
            <w:vAlign w:val="bottom"/>
            <w:gridSpan w:val="3"/>
          </w:tcPr>
          <w:p>
            <w:pPr>
              <w:jc w:val="right"/>
              <w:spacing w:after="0" w:line="205" w:lineRule="exact"/>
              <w:rPr>
                <w:rFonts w:ascii="Arial" w:cs="Arial" w:eastAsia="Arial" w:hAnsi="Arial"/>
                <w:sz w:val="18"/>
                <w:szCs w:val="18"/>
                <w:color w:val="0000FF"/>
              </w:rPr>
            </w:pPr>
            <w:hyperlink w:anchor="page53">
              <w:r>
                <w:rPr>
                  <w:rFonts w:ascii="Arial" w:cs="Arial" w:eastAsia="Arial" w:hAnsi="Arial"/>
                  <w:sz w:val="18"/>
                  <w:szCs w:val="18"/>
                  <w:color w:val="0000FF"/>
                </w:rPr>
                <w:t>48</w:t>
              </w:r>
            </w:hyperlink>
          </w:p>
        </w:tc>
      </w:tr>
      <w:tr>
        <w:trPr>
          <w:trHeight w:val="205"/>
        </w:trPr>
        <w:tc>
          <w:tcPr>
            <w:tcW w:w="7120" w:type="dxa"/>
            <w:vAlign w:val="bottom"/>
            <w:tcBorders>
              <w:top w:val="single" w:sz="8" w:color="0000FF"/>
            </w:tcBorders>
            <w:gridSpan w:val="19"/>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Management’s Discussion and Analysis of Financial Condition and Results of Operations</w:t>
              </w:r>
            </w:hyperlink>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54">
              <w:r>
                <w:rPr>
                  <w:rFonts w:ascii="Arial" w:cs="Arial" w:eastAsia="Arial" w:hAnsi="Arial"/>
                  <w:sz w:val="18"/>
                  <w:szCs w:val="18"/>
                  <w:color w:val="0000FF"/>
                  <w:w w:val="79"/>
                </w:rPr>
                <w:t>49</w:t>
              </w:r>
            </w:hyperlink>
          </w:p>
        </w:tc>
      </w:tr>
      <w:tr>
        <w:trPr>
          <w:trHeight w:val="205"/>
        </w:trPr>
        <w:tc>
          <w:tcPr>
            <w:tcW w:w="64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4"/>
              </w:rPr>
            </w:pPr>
            <w:hyperlink w:anchor="page68">
              <w:r>
                <w:rPr>
                  <w:rFonts w:ascii="Arial" w:cs="Arial" w:eastAsia="Arial" w:hAnsi="Arial"/>
                  <w:sz w:val="18"/>
                  <w:szCs w:val="18"/>
                  <w:color w:val="0000FF"/>
                  <w:w w:val="84"/>
                </w:rPr>
                <w:t>Business</w:t>
              </w:r>
            </w:hyperlink>
          </w:p>
        </w:tc>
        <w:tc>
          <w:tcPr>
            <w:tcW w:w="5700" w:type="dxa"/>
            <w:vAlign w:val="bottom"/>
            <w:tcBorders>
              <w:top w:val="single" w:sz="8" w:color="0000FF"/>
            </w:tcBorders>
            <w:gridSpan w:val="16"/>
          </w:tcPr>
          <w:p>
            <w:pPr>
              <w:spacing w:after="0"/>
              <w:rPr>
                <w:sz w:val="17"/>
                <w:szCs w:val="17"/>
                <w:color w:val="auto"/>
              </w:rPr>
            </w:pPr>
          </w:p>
        </w:tc>
        <w:tc>
          <w:tcPr>
            <w:tcW w:w="4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63</w:t>
              </w:r>
            </w:hyperlink>
          </w:p>
        </w:tc>
      </w:tr>
      <w:tr>
        <w:trPr>
          <w:trHeight w:val="205"/>
        </w:trPr>
        <w:tc>
          <w:tcPr>
            <w:tcW w:w="10920" w:type="dxa"/>
            <w:vAlign w:val="bottom"/>
            <w:gridSpan w:val="20"/>
          </w:tcPr>
          <w:p>
            <w:pPr>
              <w:spacing w:after="0" w:line="205" w:lineRule="exact"/>
              <w:rPr>
                <w:rFonts w:ascii="Arial" w:cs="Arial" w:eastAsia="Arial" w:hAnsi="Arial"/>
                <w:sz w:val="18"/>
                <w:szCs w:val="18"/>
                <w:color w:val="0000FF"/>
              </w:rPr>
            </w:pPr>
            <w:hyperlink w:anchor="page105">
              <w:r>
                <w:rPr>
                  <w:rFonts w:ascii="Arial" w:cs="Arial" w:eastAsia="Arial" w:hAnsi="Arial"/>
                  <w:sz w:val="18"/>
                  <w:szCs w:val="18"/>
                  <w:color w:val="0000FF"/>
                </w:rPr>
                <w:t>Management</w:t>
              </w:r>
            </w:hyperlink>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100</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760" w:type="dxa"/>
            <w:vAlign w:val="bottom"/>
            <w:gridSpan w:val="12"/>
          </w:tcPr>
          <w:p>
            <w:pPr>
              <w:spacing w:after="0" w:line="205" w:lineRule="exact"/>
              <w:rPr>
                <w:rFonts w:ascii="Arial" w:cs="Arial" w:eastAsia="Arial" w:hAnsi="Arial"/>
                <w:sz w:val="18"/>
                <w:szCs w:val="18"/>
                <w:color w:val="0000FF"/>
                <w:w w:val="86"/>
              </w:rPr>
            </w:pPr>
            <w:hyperlink w:anchor="page112">
              <w:r>
                <w:rPr>
                  <w:rFonts w:ascii="Arial" w:cs="Arial" w:eastAsia="Arial" w:hAnsi="Arial"/>
                  <w:sz w:val="18"/>
                  <w:szCs w:val="18"/>
                  <w:color w:val="0000FF"/>
                  <w:w w:val="86"/>
                </w:rPr>
                <w:t>Executive Compensation</w:t>
              </w:r>
            </w:hyperlink>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12">
              <w:r>
                <w:rPr>
                  <w:rFonts w:ascii="Arial" w:cs="Arial" w:eastAsia="Arial" w:hAnsi="Arial"/>
                  <w:sz w:val="18"/>
                  <w:szCs w:val="18"/>
                  <w:color w:val="0000FF"/>
                  <w:w w:val="86"/>
                </w:rPr>
                <w:t>107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4260" w:type="dxa"/>
            <w:vAlign w:val="bottom"/>
            <w:gridSpan w:val="17"/>
          </w:tcPr>
          <w:p>
            <w:pPr>
              <w:spacing w:after="0" w:line="205" w:lineRule="exact"/>
              <w:rPr>
                <w:rFonts w:ascii="Arial" w:cs="Arial" w:eastAsia="Arial" w:hAnsi="Arial"/>
                <w:sz w:val="18"/>
                <w:szCs w:val="18"/>
                <w:color w:val="0000FF"/>
                <w:w w:val="87"/>
              </w:rPr>
            </w:pPr>
            <w:hyperlink w:anchor="page131">
              <w:r>
                <w:rPr>
                  <w:rFonts w:ascii="Arial" w:cs="Arial" w:eastAsia="Arial" w:hAnsi="Arial"/>
                  <w:sz w:val="18"/>
                  <w:szCs w:val="18"/>
                  <w:color w:val="0000FF"/>
                  <w:w w:val="87"/>
                </w:rPr>
                <w:t>Certain Relationships, Related Party and Other Transactions</w:t>
              </w:r>
            </w:hyperlink>
          </w:p>
        </w:tc>
        <w:tc>
          <w:tcPr>
            <w:tcW w:w="6660" w:type="dxa"/>
            <w:vAlign w:val="bottom"/>
            <w:gridSpan w:val="3"/>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31">
              <w:r>
                <w:rPr>
                  <w:rFonts w:ascii="Arial" w:cs="Arial" w:eastAsia="Arial" w:hAnsi="Arial"/>
                  <w:sz w:val="18"/>
                  <w:szCs w:val="18"/>
                  <w:color w:val="0000FF"/>
                  <w:w w:val="86"/>
                </w:rPr>
                <w:t>126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1760" w:type="dxa"/>
            <w:vAlign w:val="bottom"/>
            <w:gridSpan w:val="12"/>
          </w:tcPr>
          <w:p>
            <w:pPr>
              <w:spacing w:after="0" w:line="205" w:lineRule="exact"/>
              <w:rPr>
                <w:rFonts w:ascii="Arial" w:cs="Arial" w:eastAsia="Arial" w:hAnsi="Arial"/>
                <w:sz w:val="18"/>
                <w:szCs w:val="18"/>
                <w:color w:val="0000FF"/>
                <w:w w:val="86"/>
              </w:rPr>
            </w:pPr>
            <w:hyperlink w:anchor="page138">
              <w:r>
                <w:rPr>
                  <w:rFonts w:ascii="Arial" w:cs="Arial" w:eastAsia="Arial" w:hAnsi="Arial"/>
                  <w:sz w:val="18"/>
                  <w:szCs w:val="18"/>
                  <w:color w:val="0000FF"/>
                  <w:w w:val="86"/>
                </w:rPr>
                <w:t>Principal Securityholders</w:t>
              </w:r>
            </w:hyperlink>
          </w:p>
        </w:tc>
        <w:tc>
          <w:tcPr>
            <w:tcW w:w="2500" w:type="dxa"/>
            <w:vAlign w:val="bottom"/>
            <w:gridSpan w:val="5"/>
          </w:tcPr>
          <w:p>
            <w:pPr>
              <w:spacing w:after="0"/>
              <w:rPr>
                <w:sz w:val="17"/>
                <w:szCs w:val="17"/>
                <w:color w:val="auto"/>
              </w:rPr>
            </w:pPr>
          </w:p>
        </w:tc>
        <w:tc>
          <w:tcPr>
            <w:tcW w:w="6660" w:type="dxa"/>
            <w:vAlign w:val="bottom"/>
            <w:gridSpan w:val="3"/>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38">
              <w:r>
                <w:rPr>
                  <w:rFonts w:ascii="Arial" w:cs="Arial" w:eastAsia="Arial" w:hAnsi="Arial"/>
                  <w:sz w:val="18"/>
                  <w:szCs w:val="18"/>
                  <w:color w:val="0000FF"/>
                  <w:w w:val="86"/>
                </w:rPr>
                <w:t>133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660" w:type="dxa"/>
            <w:vAlign w:val="bottom"/>
            <w:gridSpan w:val="11"/>
          </w:tcPr>
          <w:p>
            <w:pPr>
              <w:spacing w:after="0" w:line="205" w:lineRule="exact"/>
              <w:rPr>
                <w:rFonts w:ascii="Arial" w:cs="Arial" w:eastAsia="Arial" w:hAnsi="Arial"/>
                <w:sz w:val="18"/>
                <w:szCs w:val="18"/>
                <w:color w:val="0000FF"/>
                <w:w w:val="89"/>
              </w:rPr>
            </w:pPr>
            <w:hyperlink w:anchor="page141">
              <w:r>
                <w:rPr>
                  <w:rFonts w:ascii="Arial" w:cs="Arial" w:eastAsia="Arial" w:hAnsi="Arial"/>
                  <w:sz w:val="18"/>
                  <w:szCs w:val="18"/>
                  <w:color w:val="0000FF"/>
                  <w:w w:val="89"/>
                </w:rPr>
                <w:t>Selling Securityholders</w:t>
              </w:r>
            </w:hyperlink>
          </w:p>
        </w:tc>
        <w:tc>
          <w:tcPr>
            <w:tcW w:w="100" w:type="dxa"/>
            <w:vAlign w:val="bottom"/>
          </w:tcPr>
          <w:p>
            <w:pPr>
              <w:spacing w:after="0"/>
              <w:rPr>
                <w:sz w:val="17"/>
                <w:szCs w:val="17"/>
                <w:color w:val="auto"/>
              </w:rPr>
            </w:pPr>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41">
              <w:r>
                <w:rPr>
                  <w:rFonts w:ascii="Arial" w:cs="Arial" w:eastAsia="Arial" w:hAnsi="Arial"/>
                  <w:sz w:val="18"/>
                  <w:szCs w:val="18"/>
                  <w:color w:val="0000FF"/>
                  <w:w w:val="86"/>
                </w:rPr>
                <w:t>136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760" w:type="dxa"/>
            <w:vAlign w:val="bottom"/>
            <w:gridSpan w:val="12"/>
          </w:tcPr>
          <w:p>
            <w:pPr>
              <w:spacing w:after="0" w:line="205" w:lineRule="exact"/>
              <w:rPr>
                <w:rFonts w:ascii="Arial" w:cs="Arial" w:eastAsia="Arial" w:hAnsi="Arial"/>
                <w:sz w:val="18"/>
                <w:szCs w:val="18"/>
                <w:color w:val="0000FF"/>
                <w:w w:val="88"/>
              </w:rPr>
            </w:pPr>
            <w:hyperlink w:anchor="page146">
              <w:r>
                <w:rPr>
                  <w:rFonts w:ascii="Arial" w:cs="Arial" w:eastAsia="Arial" w:hAnsi="Arial"/>
                  <w:sz w:val="18"/>
                  <w:szCs w:val="18"/>
                  <w:color w:val="0000FF"/>
                  <w:w w:val="88"/>
                </w:rPr>
                <w:t>Description of Securities</w:t>
              </w:r>
            </w:hyperlink>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46">
              <w:r>
                <w:rPr>
                  <w:rFonts w:ascii="Arial" w:cs="Arial" w:eastAsia="Arial" w:hAnsi="Arial"/>
                  <w:sz w:val="18"/>
                  <w:szCs w:val="18"/>
                  <w:color w:val="0000FF"/>
                  <w:w w:val="86"/>
                </w:rPr>
                <w:t>141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760" w:type="dxa"/>
            <w:vAlign w:val="bottom"/>
            <w:gridSpan w:val="12"/>
          </w:tcPr>
          <w:p>
            <w:pPr>
              <w:spacing w:after="0" w:line="205" w:lineRule="exact"/>
              <w:rPr>
                <w:rFonts w:ascii="Arial" w:cs="Arial" w:eastAsia="Arial" w:hAnsi="Arial"/>
                <w:sz w:val="18"/>
                <w:szCs w:val="18"/>
                <w:color w:val="0000FF"/>
              </w:rPr>
            </w:pPr>
            <w:hyperlink w:anchor="page151">
              <w:r>
                <w:rPr>
                  <w:rFonts w:ascii="Arial" w:cs="Arial" w:eastAsia="Arial" w:hAnsi="Arial"/>
                  <w:sz w:val="18"/>
                  <w:szCs w:val="18"/>
                  <w:color w:val="0000FF"/>
                </w:rPr>
                <w:t>Plan of Distribution</w:t>
              </w:r>
            </w:hyperlink>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51">
              <w:r>
                <w:rPr>
                  <w:rFonts w:ascii="Arial" w:cs="Arial" w:eastAsia="Arial" w:hAnsi="Arial"/>
                  <w:sz w:val="18"/>
                  <w:szCs w:val="18"/>
                  <w:color w:val="0000FF"/>
                  <w:w w:val="86"/>
                </w:rPr>
                <w:t>146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400" w:type="dxa"/>
            <w:vAlign w:val="bottom"/>
            <w:gridSpan w:val="8"/>
          </w:tcPr>
          <w:p>
            <w:pPr>
              <w:spacing w:after="0" w:line="205" w:lineRule="exact"/>
              <w:rPr>
                <w:rFonts w:ascii="Arial" w:cs="Arial" w:eastAsia="Arial" w:hAnsi="Arial"/>
                <w:sz w:val="18"/>
                <w:szCs w:val="18"/>
                <w:color w:val="0000FF"/>
              </w:rPr>
            </w:pPr>
            <w:hyperlink w:anchor="page154">
              <w:r>
                <w:rPr>
                  <w:rFonts w:ascii="Arial" w:cs="Arial" w:eastAsia="Arial" w:hAnsi="Arial"/>
                  <w:sz w:val="18"/>
                  <w:szCs w:val="18"/>
                  <w:color w:val="0000FF"/>
                </w:rPr>
                <w:t>Legal Matters</w:t>
              </w:r>
            </w:hyperlink>
          </w:p>
        </w:tc>
        <w:tc>
          <w:tcPr>
            <w:tcW w:w="9520" w:type="dxa"/>
            <w:vAlign w:val="bottom"/>
            <w:gridSpan w:val="12"/>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54">
              <w:r>
                <w:rPr>
                  <w:rFonts w:ascii="Arial" w:cs="Arial" w:eastAsia="Arial" w:hAnsi="Arial"/>
                  <w:sz w:val="18"/>
                  <w:szCs w:val="18"/>
                  <w:color w:val="0000FF"/>
                  <w:w w:val="86"/>
                </w:rPr>
                <w:t>149</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980" w:type="dxa"/>
            <w:vAlign w:val="bottom"/>
            <w:gridSpan w:val="6"/>
          </w:tcPr>
          <w:p>
            <w:pPr>
              <w:spacing w:after="0" w:line="205" w:lineRule="exact"/>
              <w:rPr>
                <w:rFonts w:ascii="Arial" w:cs="Arial" w:eastAsia="Arial" w:hAnsi="Arial"/>
                <w:sz w:val="18"/>
                <w:szCs w:val="18"/>
                <w:color w:val="0000FF"/>
              </w:rPr>
            </w:pPr>
            <w:hyperlink w:anchor="page155">
              <w:r>
                <w:rPr>
                  <w:rFonts w:ascii="Arial" w:cs="Arial" w:eastAsia="Arial" w:hAnsi="Arial"/>
                  <w:sz w:val="18"/>
                  <w:szCs w:val="18"/>
                  <w:color w:val="0000FF"/>
                </w:rPr>
                <w:t>Experts</w:t>
              </w:r>
            </w:hyperlink>
          </w:p>
        </w:tc>
        <w:tc>
          <w:tcPr>
            <w:tcW w:w="9940" w:type="dxa"/>
            <w:vAlign w:val="bottom"/>
            <w:gridSpan w:val="14"/>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55">
              <w:r>
                <w:rPr>
                  <w:rFonts w:ascii="Arial" w:cs="Arial" w:eastAsia="Arial" w:hAnsi="Arial"/>
                  <w:sz w:val="18"/>
                  <w:szCs w:val="18"/>
                  <w:color w:val="0000FF"/>
                  <w:w w:val="86"/>
                </w:rPr>
                <w:t>149</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0920" w:type="dxa"/>
            <w:vAlign w:val="bottom"/>
            <w:gridSpan w:val="20"/>
          </w:tcPr>
          <w:p>
            <w:pPr>
              <w:spacing w:after="0" w:line="205" w:lineRule="exact"/>
              <w:rPr>
                <w:rFonts w:ascii="Arial" w:cs="Arial" w:eastAsia="Arial" w:hAnsi="Arial"/>
                <w:sz w:val="18"/>
                <w:szCs w:val="18"/>
                <w:color w:val="0000FF"/>
              </w:rPr>
            </w:pPr>
            <w:hyperlink w:anchor="page155">
              <w:r>
                <w:rPr>
                  <w:rFonts w:ascii="Arial" w:cs="Arial" w:eastAsia="Arial" w:hAnsi="Arial"/>
                  <w:sz w:val="18"/>
                  <w:szCs w:val="18"/>
                  <w:color w:val="0000FF"/>
                </w:rPr>
                <w:t>Where You Can Find Additional Information</w:t>
              </w:r>
            </w:hyperlink>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55">
              <w:r>
                <w:rPr>
                  <w:rFonts w:ascii="Arial" w:cs="Arial" w:eastAsia="Arial" w:hAnsi="Arial"/>
                  <w:sz w:val="18"/>
                  <w:szCs w:val="18"/>
                  <w:color w:val="0000FF"/>
                  <w:w w:val="86"/>
                </w:rPr>
                <w:t>150</w:t>
              </w:r>
            </w:hyperlink>
          </w:p>
        </w:tc>
      </w:tr>
      <w:tr>
        <w:trPr>
          <w:trHeight w:val="205"/>
        </w:trPr>
        <w:tc>
          <w:tcPr>
            <w:tcW w:w="3180" w:type="dxa"/>
            <w:vAlign w:val="bottom"/>
            <w:tcBorders>
              <w:top w:val="single" w:sz="8" w:color="0000FF"/>
            </w:tcBorders>
            <w:gridSpan w:val="15"/>
          </w:tcPr>
          <w:p>
            <w:pPr>
              <w:spacing w:after="0" w:line="205" w:lineRule="exact"/>
              <w:rPr>
                <w:rFonts w:ascii="Arial" w:cs="Arial" w:eastAsia="Arial" w:hAnsi="Arial"/>
                <w:sz w:val="18"/>
                <w:szCs w:val="18"/>
                <w:color w:val="0000FF"/>
              </w:rPr>
            </w:pPr>
            <w:hyperlink w:anchor="page156">
              <w:r>
                <w:rPr>
                  <w:rFonts w:ascii="Arial" w:cs="Arial" w:eastAsia="Arial" w:hAnsi="Arial"/>
                  <w:sz w:val="18"/>
                  <w:szCs w:val="18"/>
                  <w:color w:val="0000FF"/>
                </w:rPr>
                <w:t>Index to Financial Statements</w:t>
              </w:r>
            </w:hyperlink>
          </w:p>
        </w:tc>
        <w:tc>
          <w:tcPr>
            <w:tcW w:w="774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5"/>
                <w:szCs w:val="15"/>
                <w:color w:val="0000FF"/>
                <w:w w:val="70"/>
              </w:rPr>
            </w:pPr>
            <w:hyperlink w:anchor="page156">
              <w:r>
                <w:rPr>
                  <w:rFonts w:ascii="Arial" w:cs="Arial" w:eastAsia="Arial" w:hAnsi="Arial"/>
                  <w:sz w:val="15"/>
                  <w:szCs w:val="15"/>
                  <w:color w:val="0000FF"/>
                  <w:w w:val="70"/>
                </w:rPr>
                <w:t>F-1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66"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prepared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0"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3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41"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AND INDUSTRY DATA</w:t>
      </w:r>
    </w:p>
    <w:p>
      <w:pPr>
        <w:spacing w:after="0" w:line="17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These and other factors could cause results to differ materially from those expressed in the estimates made by the independent parties or by us.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170"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0"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“Business,” and “Management’s Discussion and Analysis of Financial Condition and Results of Operations” included elsewhere in this prospectus.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BIOTECHNOLOGY,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01"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28"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195580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93" w:lineRule="exact"/>
        <w:rPr>
          <w:sz w:val="20"/>
          <w:szCs w:val="20"/>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321"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June 30, 2021, we were comprised of approximately 89 employees, with 34 of such employees holding a Ph.D. Our organization is driven by the pursuit of deep, hard science, and our Scientific Advisory Board is comprised of world-renowned scientific leaders that support our vision.</w:t>
      </w:r>
    </w:p>
    <w:p>
      <w:pPr>
        <w:spacing w:after="0" w:line="126"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Our investor relations website is located at http://www.nautilus.bio/investors/. We use our investor relations website to post important information for investors, including news releases, analyst presentations, and supplemental financial information, and as a means of disclosing material non-public information and for complying with its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195580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65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72650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On June 9, 2021 (the “Closing Date”), Nautilus Biotechnology, Inc., a Delaware corporation (f/k/a ARYA Sciences Acquisition Corp III, a Cayman Islands exempted company and our predecessor company (“ARYA”)) (the “Company”), consummated the previously announced merger pursuant to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(“Old Nautilus”).</w:t>
      </w:r>
    </w:p>
    <w:p>
      <w:pPr>
        <w:spacing w:after="0" w:line="9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Pursuant to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subsidiaries, “New Nautilus” or “Nautilus”) and (ii) Mako Merger Sub merged with and into Old Nautilus (the “Merger” and collectively, with the other transactions described in the Business Combination Agreement, the “Business Combination”), with Old Nautilus as the surviving company in the Merger and, after giving effect to such Merger, Old Nautilus becoming a wholly-owned subsidiary of New Nautilus. 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Our principal executive offices are located at 425 Pontius Ave N, Ste 202, Seattle, WA 98109, and our telephone number is (206) 333-2001.</w:t>
      </w:r>
    </w:p>
    <w:p>
      <w:pPr>
        <w:spacing w:after="0" w:line="128" w:lineRule="exact"/>
        <w:rPr>
          <w:sz w:val="20"/>
          <w:szCs w:val="20"/>
          <w:color w:val="auto"/>
        </w:rPr>
      </w:pPr>
    </w:p>
    <w:p>
      <w:pPr>
        <w:jc w:val="both"/>
        <w:ind w:right="380" w:firstLine="318"/>
        <w:spacing w:after="0" w:line="277" w:lineRule="auto"/>
        <w:rPr>
          <w:sz w:val="20"/>
          <w:szCs w:val="20"/>
          <w:color w:val="auto"/>
        </w:rPr>
      </w:pPr>
      <w:r>
        <w:rPr>
          <w:rFonts w:ascii="Arial" w:cs="Arial" w:eastAsia="Arial" w:hAnsi="Arial"/>
          <w:sz w:val="17"/>
          <w:szCs w:val="17"/>
          <w:color w:val="auto"/>
        </w:rPr>
        <w:t>Our website address is http://www.nautilus.bio. The information on, or that can be accessed through, our website is not part of this prospectus, and you should not consider information contained on our website in deciding whether to purchase shares of our Common Stock. We have included our website address in this prospectus solely as an inactive textual reference.</w:t>
      </w:r>
    </w:p>
    <w:p>
      <w:pPr>
        <w:spacing w:after="0" w:line="11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use the Nautilus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99"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earliest to occur of: the last day of the fiscal year in which we have more than $1.07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ARYA’s initial public offering.</w:t>
      </w:r>
    </w:p>
    <w:p>
      <w:pPr>
        <w:spacing w:after="0" w:line="12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195580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2621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26212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comparison of our financial statements with certain other public companies difficult or impossible because of the potential differences in accounting standards used.</w:t>
      </w:r>
    </w:p>
    <w:p>
      <w:pPr>
        <w:spacing w:after="0" w:line="128"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spacing w:after="0" w:line="9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Old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166370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880"/>
          </w:cols>
          <w:pgMar w:left="980" w:top="1440" w:right="10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179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9880"/>
          </w:cols>
          <w:pgMar w:left="980" w:top="1440" w:right="1039" w:bottom="1440" w:gutter="0" w:footer="0" w:header="0"/>
        </w:sectPr>
      </w:pPr>
    </w:p>
    <w:p>
      <w:pPr>
        <w:spacing w:after="0" w:line="244" w:lineRule="exact"/>
        <w:rPr>
          <w:sz w:val="20"/>
          <w:szCs w:val="20"/>
          <w:color w:val="auto"/>
        </w:rPr>
      </w:pPr>
    </w:p>
    <w:p>
      <w:pPr>
        <w:ind w:left="20"/>
        <w:spacing w:after="0" w:line="229" w:lineRule="auto"/>
        <w:rPr>
          <w:sz w:val="20"/>
          <w:szCs w:val="20"/>
          <w:color w:val="auto"/>
        </w:rPr>
      </w:pPr>
      <w:r>
        <w:rPr>
          <w:rFonts w:ascii="Arial" w:cs="Arial" w:eastAsia="Arial" w:hAnsi="Arial"/>
          <w:sz w:val="18"/>
          <w:szCs w:val="18"/>
          <w:color w:val="auto"/>
        </w:rPr>
        <w:t>Shares of Common Stock Offered Hereunder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We are registering the resale by the selling securityholders named in this prospectus, or their permitted transferees, an aggregate of 95,645,056 shares of Common Stock consisting of (a) 20,000,000 shares of Common Stock issued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w:t>
      </w:r>
    </w:p>
    <w:p>
      <w:pPr>
        <w:spacing w:after="0" w:line="200" w:lineRule="exact"/>
        <w:rPr>
          <w:sz w:val="20"/>
          <w:szCs w:val="20"/>
          <w:color w:val="auto"/>
        </w:rPr>
      </w:pPr>
    </w:p>
    <w:p>
      <w:pPr>
        <w:sectPr>
          <w:pgSz w:w="11900" w:h="16838" w:orient="portrait"/>
          <w:cols w:equalWidth="0" w:num="2">
            <w:col w:w="2420" w:space="640"/>
            <w:col w:w="6820"/>
          </w:cols>
          <w:pgMar w:left="980" w:top="1440" w:right="1039" w:bottom="1440" w:gutter="0" w:footer="0" w:header="0"/>
          <w:type w:val="continuous"/>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260"/>
        <w:spacing w:after="0" w:line="232" w:lineRule="auto"/>
        <w:rPr>
          <w:sz w:val="20"/>
          <w:szCs w:val="20"/>
          <w:color w:val="auto"/>
        </w:rPr>
      </w:pPr>
      <w:r>
        <w:rPr>
          <w:rFonts w:ascii="Arial" w:cs="Arial" w:eastAsia="Arial" w:hAnsi="Arial"/>
          <w:sz w:val="17"/>
          <w:szCs w:val="17"/>
          <w:color w:val="auto"/>
        </w:rPr>
        <w:t>We will not receive any proceeds from the sale of our shares of common stock offered by the selling securityholders under this prospectus (the “Securities”). See the section titled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appearing elsewhere in this prospectus for more information.</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Common Stock Outstanding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124,094,390 shares of Common Stock as of June 30, 2021.</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380"/>
        <w:spacing w:after="0" w:line="219"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 prospectus for a discussion of factors that you should consider carefully before deciding to invest in our Common Stock.</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Nasdaq symbol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“NAUT” for our Common Stock.</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Lock-Up Restrictions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Of the shares of Common Stock that may be offered or sold by selling securityholders identified in this prospectus, certain of our selling securityholders are subject to lock-up restrictions with respect to 83,157,327 of those shares as pursuant to our bylaws and/or other agreements further described in the sections titled “</w:t>
      </w:r>
      <w:r>
        <w:rPr>
          <w:rFonts w:ascii="Arial" w:cs="Arial" w:eastAsia="Arial" w:hAnsi="Arial"/>
          <w:sz w:val="17"/>
          <w:szCs w:val="17"/>
          <w:i w:val="1"/>
          <w:iCs w:val="1"/>
          <w:color w:val="auto"/>
        </w:rPr>
        <w:t>Certain Relationships, Related Party and Other Transactions</w:t>
      </w:r>
      <w:r>
        <w:rPr>
          <w:rFonts w:ascii="Arial" w:cs="Arial" w:eastAsia="Arial" w:hAnsi="Arial"/>
          <w:sz w:val="17"/>
          <w:szCs w:val="17"/>
          <w:color w:val="auto"/>
        </w:rPr>
        <w:t>” appearing elsewhere in this prospectus.</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41"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The number of shares of Common Stock outstanding is based on 124,094,390 shares of Common Stock as of June 30, 2021 and excludes the following, in each case as of June 30, 2021:</w:t>
      </w:r>
    </w:p>
    <w:p>
      <w:pPr>
        <w:spacing w:after="0" w:line="128" w:lineRule="exact"/>
        <w:rPr>
          <w:sz w:val="20"/>
          <w:szCs w:val="20"/>
          <w:color w:val="auto"/>
        </w:rPr>
      </w:pPr>
    </w:p>
    <w:p>
      <w:pPr>
        <w:jc w:val="both"/>
        <w:ind w:left="640" w:hanging="322"/>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7,050,376 shares of our Common Stock issuable upon the exercise of outstanding options under the Nautilus Subsidiary, Inc. 2017 Equity Incentive Plan (the “2017 Plan”), which were assumed by the Company in connection with the Business Combination, with a weighted average exercise price of $3.44 per share;</w:t>
      </w:r>
    </w:p>
    <w:p>
      <w:pPr>
        <w:spacing w:after="0" w:line="135" w:lineRule="exact"/>
        <w:rPr>
          <w:rFonts w:ascii="Arial" w:cs="Arial" w:eastAsia="Arial" w:hAnsi="Arial"/>
          <w:sz w:val="18"/>
          <w:szCs w:val="18"/>
          <w:color w:val="auto"/>
        </w:rPr>
      </w:pPr>
    </w:p>
    <w:p>
      <w:pPr>
        <w:ind w:left="640" w:right="40" w:hanging="322"/>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964,503 shares of our Common Stock issuable upon the exercise of outstanding options under our 2021 Equity Incentive Plan (the “2021 Plan”), with a weighted average exercise price of $10.15 per share;</w:t>
      </w:r>
    </w:p>
    <w:p>
      <w:pPr>
        <w:spacing w:after="0" w:line="127"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15,225,353 shares of our Common Stock reserved for future issuance under our 2021 Equity Incentive Plan (the “2021 Plan”); and</w:t>
      </w:r>
    </w:p>
    <w:p>
      <w:pPr>
        <w:spacing w:after="0" w:line="198" w:lineRule="exact"/>
        <w:rPr>
          <w:rFonts w:ascii="Arial" w:cs="Arial" w:eastAsia="Arial" w:hAnsi="Arial"/>
          <w:sz w:val="15"/>
          <w:szCs w:val="15"/>
          <w:color w:val="auto"/>
        </w:rPr>
      </w:pPr>
    </w:p>
    <w:p>
      <w:pPr>
        <w:ind w:left="640" w:hanging="322"/>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1,244,900 shares of our Common Stock reserved for future issuance under our 2021 Employee Stock Purchase Plan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880"/>
          </w:cols>
          <w:pgMar w:left="980" w:top="1440" w:right="1039" w:bottom="1440" w:gutter="0" w:footer="0" w:header="0"/>
          <w:type w:val="continuous"/>
        </w:sectPr>
      </w:pPr>
    </w:p>
    <w:bookmarkStart w:id="11" w:name="page12"/>
    <w:bookmarkEnd w:id="1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An investment in our Common Stock involves a high degree of risk. In addition to the risk and uncertainties described under the section titled “Cautionary Note Regarding Forward-Looking Statements,” you should consider carefully the risks and uncertainties described below, together with all of the other information contained in this prospectus, including our consolidated financial statements and related notes, before deciding to invest in our Common Stock. If any of the following events occur, our business, financial condition and operating results may be materially adversely affected. In that event, the trading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8" w:lineRule="exact"/>
        <w:rPr>
          <w:sz w:val="20"/>
          <w:szCs w:val="20"/>
          <w:color w:val="auto"/>
        </w:rPr>
      </w:pPr>
    </w:p>
    <w:p>
      <w:pPr>
        <w:ind w:left="640" w:right="28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entirely dependent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right="108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27" w:lineRule="exact"/>
        <w:rPr>
          <w:rFonts w:ascii="Arial" w:cs="Arial" w:eastAsia="Arial" w:hAnsi="Arial"/>
          <w:sz w:val="18"/>
          <w:szCs w:val="18"/>
          <w:color w:val="auto"/>
        </w:rPr>
      </w:pPr>
    </w:p>
    <w:p>
      <w:pPr>
        <w:ind w:left="640" w:right="52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Nautilus Platform, and the loss of any of these suppliers could harm our business.</w:t>
      </w:r>
    </w:p>
    <w:p>
      <w:pPr>
        <w:spacing w:after="0" w:line="127" w:lineRule="exact"/>
        <w:rPr>
          <w:rFonts w:ascii="Arial" w:cs="Arial" w:eastAsia="Arial" w:hAnsi="Arial"/>
          <w:sz w:val="18"/>
          <w:szCs w:val="18"/>
          <w:color w:val="auto"/>
        </w:rPr>
      </w:pPr>
    </w:p>
    <w:p>
      <w:pPr>
        <w:ind w:left="640" w:right="40" w:hanging="316"/>
        <w:spacing w:after="0" w:line="365"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4" w:lineRule="exact"/>
        <w:rPr>
          <w:rFonts w:ascii="Arial" w:cs="Arial" w:eastAsia="Arial" w:hAnsi="Arial"/>
          <w:sz w:val="18"/>
          <w:szCs w:val="18"/>
          <w:color w:val="auto"/>
        </w:rPr>
      </w:pPr>
    </w:p>
    <w:p>
      <w:pPr>
        <w:ind w:left="640" w:right="140" w:hanging="316"/>
        <w:spacing w:after="0" w:line="25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our products currently are not labeled or intended for any use which would subject us to regulation by the U.S. Food and Drug Administration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40" w:lineRule="exact"/>
        <w:rPr>
          <w:rFonts w:ascii="Arial" w:cs="Arial" w:eastAsia="Arial" w:hAnsi="Arial"/>
          <w:sz w:val="18"/>
          <w:szCs w:val="18"/>
          <w:color w:val="auto"/>
        </w:rPr>
      </w:pPr>
    </w:p>
    <w:p>
      <w:pPr>
        <w:ind w:left="640" w:hanging="316"/>
        <w:spacing w:after="0" w:line="330"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9" w:lineRule="exact"/>
        <w:rPr>
          <w:sz w:val="20"/>
          <w:szCs w:val="20"/>
          <w:color w:val="auto"/>
        </w:rPr>
      </w:pPr>
    </w:p>
    <w:p>
      <w:pPr>
        <w:ind w:left="640" w:right="320"/>
        <w:spacing w:after="0" w:line="264" w:lineRule="auto"/>
        <w:rPr>
          <w:sz w:val="20"/>
          <w:szCs w:val="20"/>
          <w:color w:val="auto"/>
        </w:rPr>
      </w:pPr>
      <w:r>
        <w:rPr>
          <w:rFonts w:ascii="Arial" w:cs="Arial" w:eastAsia="Arial" w:hAnsi="Arial"/>
          <w:sz w:val="18"/>
          <w:szCs w:val="18"/>
          <w:color w:val="auto"/>
        </w:rPr>
        <w:t>the maintenance of continued and post-market regulatory compliance for such products will be expensive, time-consuming, and uncertain both in timing and in outcome.</w:t>
      </w:r>
    </w:p>
    <w:p>
      <w:pPr>
        <w:spacing w:after="0" w:line="128"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64"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75" w:lineRule="exact"/>
        <w:rPr>
          <w:rFonts w:ascii="Arial" w:cs="Arial" w:eastAsia="Arial" w:hAnsi="Arial"/>
          <w:sz w:val="17"/>
          <w:szCs w:val="17"/>
          <w:color w:val="auto"/>
        </w:rPr>
      </w:pPr>
    </w:p>
    <w:p>
      <w:pPr>
        <w:ind w:left="640" w:right="12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Common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$15.6 million and $9.6 million in 2020 and 2019, respectively. As of March 31, 2021, we had an accumulated deficit of $38.7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prospectus.</w:t>
      </w:r>
    </w:p>
    <w:p>
      <w:pPr>
        <w:spacing w:after="0" w:line="319"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8"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this Nautilus Platform. While our goal is to leverage our Nautilus Platform to comprehensively measure the human proteome by the end of 2023,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19"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 samples analyzed in its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Nautilus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0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2"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64" w:lineRule="exact"/>
        <w:rPr>
          <w:rFonts w:ascii="Arial" w:cs="Arial" w:eastAsia="Arial" w:hAnsi="Arial"/>
          <w:sz w:val="18"/>
          <w:szCs w:val="18"/>
          <w:color w:val="auto"/>
        </w:rPr>
      </w:pPr>
    </w:p>
    <w:p>
      <w:pPr>
        <w:ind w:left="640" w:right="140" w:hanging="316"/>
        <w:spacing w:after="0" w:line="277"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18" w:lineRule="exact"/>
        <w:rPr>
          <w:rFonts w:ascii="Arial" w:cs="Arial" w:eastAsia="Arial" w:hAnsi="Arial"/>
          <w:sz w:val="17"/>
          <w:szCs w:val="17"/>
          <w:color w:val="auto"/>
        </w:rPr>
      </w:pPr>
    </w:p>
    <w:p>
      <w:pPr>
        <w:ind w:left="640" w:right="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27"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7"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64" w:lineRule="exact"/>
        <w:rPr>
          <w:rFonts w:ascii="Arial" w:cs="Arial" w:eastAsia="Arial" w:hAnsi="Arial"/>
          <w:sz w:val="18"/>
          <w:szCs w:val="18"/>
          <w:color w:val="auto"/>
        </w:rPr>
      </w:pPr>
    </w:p>
    <w:p>
      <w:pPr>
        <w:ind w:left="640" w:right="6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27" w:lineRule="exact"/>
        <w:rPr>
          <w:rFonts w:ascii="Arial" w:cs="Arial" w:eastAsia="Arial" w:hAnsi="Arial"/>
          <w:sz w:val="18"/>
          <w:szCs w:val="18"/>
          <w:color w:val="auto"/>
        </w:rPr>
      </w:pPr>
    </w:p>
    <w:p>
      <w:pPr>
        <w:ind w:left="640" w:right="3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7" w:lineRule="exact"/>
        <w:rPr>
          <w:rFonts w:ascii="Arial" w:cs="Arial" w:eastAsia="Arial" w:hAnsi="Arial"/>
          <w:sz w:val="18"/>
          <w:szCs w:val="18"/>
          <w:color w:val="auto"/>
        </w:rPr>
      </w:pPr>
    </w:p>
    <w:p>
      <w:pPr>
        <w:ind w:left="640" w:right="58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28" w:lineRule="exact"/>
        <w:rPr>
          <w:sz w:val="20"/>
          <w:szCs w:val="20"/>
          <w:color w:val="auto"/>
        </w:rPr>
      </w:pPr>
    </w:p>
    <w:p>
      <w:pPr>
        <w:ind w:right="360" w:firstLine="318"/>
        <w:spacing w:after="0" w:line="318" w:lineRule="auto"/>
        <w:rPr>
          <w:sz w:val="20"/>
          <w:szCs w:val="20"/>
          <w:color w:val="auto"/>
        </w:rPr>
      </w:pPr>
      <w:r>
        <w:rPr>
          <w:rFonts w:ascii="Arial" w:cs="Arial" w:eastAsia="Arial" w:hAnsi="Arial"/>
          <w:sz w:val="15"/>
          <w:szCs w:val="15"/>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199" w:lineRule="exact"/>
        <w:rPr>
          <w:sz w:val="20"/>
          <w:szCs w:val="20"/>
          <w:color w:val="auto"/>
        </w:rPr>
      </w:pPr>
    </w:p>
    <w:p>
      <w:pPr>
        <w:jc w:val="both"/>
        <w:ind w:right="60" w:firstLine="318"/>
        <w:spacing w:after="0" w:line="250" w:lineRule="auto"/>
        <w:rPr>
          <w:sz w:val="20"/>
          <w:szCs w:val="20"/>
          <w:color w:val="auto"/>
        </w:rPr>
      </w:pPr>
      <w:r>
        <w:rPr>
          <w:rFonts w:ascii="Arial" w:cs="Arial" w:eastAsia="Arial" w:hAnsi="Arial"/>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19" w:lineRule="exact"/>
        <w:rPr>
          <w:sz w:val="20"/>
          <w:szCs w:val="20"/>
          <w:color w:val="auto"/>
        </w:rPr>
      </w:pPr>
    </w:p>
    <w:p>
      <w:pPr>
        <w:jc w:val="both"/>
        <w:ind w:right="160"/>
        <w:spacing w:after="0" w:line="330" w:lineRule="auto"/>
        <w:rPr>
          <w:sz w:val="20"/>
          <w:szCs w:val="20"/>
          <w:color w:val="auto"/>
        </w:rPr>
      </w:pPr>
      <w:r>
        <w:rPr>
          <w:rFonts w:ascii="Arial" w:cs="Arial" w:eastAsia="Arial" w:hAnsi="Arial"/>
          <w:sz w:val="15"/>
          <w:szCs w:val="15"/>
          <w:color w:val="auto"/>
        </w:rPr>
        <w:t>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8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6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27"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64"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1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Proteomic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3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64" w:lineRule="exact"/>
        <w:rPr>
          <w:sz w:val="20"/>
          <w:szCs w:val="20"/>
          <w:color w:val="auto"/>
        </w:rPr>
      </w:pPr>
    </w:p>
    <w:p>
      <w:pPr>
        <w:ind w:left="640" w:right="28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third-party partners, are not successful, our Nautilus Platform may not gain market acceptance, which could materially impact our business and results of operations.</w:t>
      </w:r>
    </w:p>
    <w:p>
      <w:pPr>
        <w:spacing w:after="0" w:line="12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8"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5"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Nautilus Platform;</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8" w:lineRule="exact"/>
        <w:rPr>
          <w:sz w:val="20"/>
          <w:szCs w:val="20"/>
          <w:color w:val="auto"/>
        </w:rPr>
      </w:pPr>
    </w:p>
    <w:p>
      <w:pPr>
        <w:ind w:left="640" w:right="18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64" w:lineRule="exact"/>
        <w:rPr>
          <w:rFonts w:ascii="Arial" w:cs="Arial" w:eastAsia="Arial" w:hAnsi="Arial"/>
          <w:sz w:val="18"/>
          <w:szCs w:val="18"/>
          <w:color w:val="auto"/>
        </w:rPr>
      </w:pPr>
    </w:p>
    <w:p>
      <w:pPr>
        <w:ind w:left="640" w:right="56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27" w:lineRule="exact"/>
        <w:rPr>
          <w:rFonts w:ascii="Arial" w:cs="Arial" w:eastAsia="Arial" w:hAnsi="Arial"/>
          <w:sz w:val="18"/>
          <w:szCs w:val="18"/>
          <w:color w:val="auto"/>
        </w:rPr>
      </w:pPr>
    </w:p>
    <w:p>
      <w:pPr>
        <w:ind w:left="640" w:right="40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27" w:lineRule="exact"/>
        <w:rPr>
          <w:rFonts w:ascii="Arial" w:cs="Arial" w:eastAsia="Arial" w:hAnsi="Arial"/>
          <w:sz w:val="18"/>
          <w:szCs w:val="18"/>
          <w:color w:val="auto"/>
        </w:rPr>
      </w:pPr>
    </w:p>
    <w:p>
      <w:pPr>
        <w:ind w:left="640" w:right="60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1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life sciences technology market is highly competitive. If we fail to compete effectively, our business and results of operation will suffer.</w:t>
      </w:r>
    </w:p>
    <w:p>
      <w:pPr>
        <w:spacing w:after="0" w:line="199"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2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2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5"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operating expenditures by these customers could result in lower than expected sales of our Nautilus Platform. These reductions and delays may result from factors that are not within our control, such as:</w:t>
      </w:r>
    </w:p>
    <w:p>
      <w:pPr>
        <w:spacing w:after="0" w:line="12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64" w:lineRule="exact"/>
        <w:rPr>
          <w:sz w:val="20"/>
          <w:szCs w:val="20"/>
          <w:color w:val="auto"/>
        </w:rPr>
      </w:pPr>
    </w:p>
    <w:p>
      <w:pPr>
        <w:ind w:right="780" w:firstLine="318"/>
        <w:spacing w:after="0" w:line="365" w:lineRule="auto"/>
        <w:rPr>
          <w:sz w:val="20"/>
          <w:szCs w:val="20"/>
          <w:color w:val="auto"/>
        </w:rPr>
      </w:pPr>
      <w:r>
        <w:rPr>
          <w:rFonts w:ascii="Arial" w:cs="Arial" w:eastAsia="Arial" w:hAnsi="Arial"/>
          <w:sz w:val="15"/>
          <w:szCs w:val="15"/>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28"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accurate as they could be if we had a longer operating history or a company history of successfully developing and commercializing products.</w:t>
      </w:r>
    </w:p>
    <w:p>
      <w:pPr>
        <w:spacing w:after="0" w:line="17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64" w:lineRule="exact"/>
        <w:rPr>
          <w:sz w:val="20"/>
          <w:szCs w:val="20"/>
          <w:color w:val="auto"/>
        </w:rPr>
      </w:pPr>
    </w:p>
    <w:p>
      <w:pPr>
        <w:jc w:val="both"/>
        <w:ind w:right="160" w:firstLine="318"/>
        <w:spacing w:after="0" w:line="268" w:lineRule="auto"/>
        <w:rPr>
          <w:sz w:val="20"/>
          <w:szCs w:val="20"/>
          <w:color w:val="auto"/>
        </w:rPr>
      </w:pPr>
      <w:r>
        <w:rPr>
          <w:rFonts w:ascii="Arial" w:cs="Arial" w:eastAsia="Arial" w:hAnsi="Arial"/>
          <w:sz w:val="17"/>
          <w:szCs w:val="17"/>
          <w:color w:val="auto"/>
        </w:rPr>
        <w:t>Based on our current plans, we believe that our available resources and existing cash and cash equivalents, including the net proceeds from the Business Combination and PIPE Financing, will be sufficient to meet our anticipated cash requirements for at least 12 months from the date of this prospectus. If our available resources and existing cash and cash equivalents are insufficient to satisfy our liquidity requirements, including because of the realization of other risks described in this prospectus, we may be required to raise additional capital prior to such time through issuances of equity or convertible debt securities, enter into a credit facility or another form of third-party funding or seek other debt financing.</w:t>
      </w:r>
    </w:p>
    <w:p>
      <w:pPr>
        <w:spacing w:after="0" w:line="12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28"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Nautilus Platform, once commercialized;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9"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us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8" w:lineRule="exact"/>
        <w:rPr>
          <w:sz w:val="20"/>
          <w:szCs w:val="20"/>
          <w:color w:val="auto"/>
        </w:rPr>
      </w:pPr>
    </w:p>
    <w:p>
      <w:pPr>
        <w:ind w:right="200" w:firstLine="318"/>
        <w:spacing w:after="0" w:line="267"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Tax Cuts and Jobs Act of 2017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2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independent assessment of the effectiveness of our internal controls could detect problems that our management’s assessment might not identify.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5"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31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The unaudited pro forma combined financial information included elsewhere in this prospectus may not be indicative of what our actual financial position or results of operations would have been.</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unaudited pro forma combined financial information included elsewhere in this prospectus is presented for illustrative purposes only and does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46"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not all of the executive compensation related information that would be required if we were not an emerging growth company has been included.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files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19"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319"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9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manufacturer could similarly require significant time, effort and expense to locate and qualify an alternative source of manufacturing, which could materially harm our business.</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0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28"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98" w:lineRule="exact"/>
        <w:rPr>
          <w:sz w:val="20"/>
          <w:szCs w:val="20"/>
          <w:color w:val="auto"/>
        </w:rPr>
      </w:pPr>
    </w:p>
    <w:p>
      <w:pPr>
        <w:ind w:right="480" w:firstLine="318"/>
        <w:spacing w:after="0" w:line="277"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64" w:lineRule="exact"/>
        <w:rPr>
          <w:rFonts w:ascii="Arial" w:cs="Arial" w:eastAsia="Arial" w:hAnsi="Arial"/>
          <w:sz w:val="18"/>
          <w:szCs w:val="18"/>
          <w:color w:val="auto"/>
        </w:rPr>
      </w:pPr>
    </w:p>
    <w:p>
      <w:pPr>
        <w:ind w:left="320" w:right="300" w:firstLine="4"/>
        <w:spacing w:after="0" w:line="587" w:lineRule="auto"/>
        <w:tabs>
          <w:tab w:leader="none" w:pos="633" w:val="left"/>
        </w:tabs>
        <w:numPr>
          <w:ilvl w:val="0"/>
          <w:numId w:val="16"/>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19"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04"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58"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64"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64"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64" w:lineRule="exact"/>
        <w:rPr>
          <w:rFonts w:ascii="Arial" w:cs="Arial" w:eastAsia="Arial" w:hAnsi="Arial"/>
          <w:sz w:val="18"/>
          <w:szCs w:val="18"/>
          <w:color w:val="auto"/>
        </w:rPr>
      </w:pPr>
    </w:p>
    <w:p>
      <w:pPr>
        <w:ind w:left="640" w:right="160" w:hanging="316"/>
        <w:spacing w:after="0" w:line="330"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83" w:lineRule="exact"/>
        <w:rPr>
          <w:rFonts w:ascii="Arial" w:cs="Arial" w:eastAsia="Arial" w:hAnsi="Arial"/>
          <w:sz w:val="15"/>
          <w:szCs w:val="15"/>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Demand for our technology could be reduced by legal, social and ethical concerns surrounding the use of genetic information and biological materials.</w:t>
      </w:r>
    </w:p>
    <w:p>
      <w:pPr>
        <w:spacing w:after="0" w:line="199" w:lineRule="exact"/>
        <w:rPr>
          <w:sz w:val="20"/>
          <w:szCs w:val="20"/>
          <w:color w:val="auto"/>
        </w:rPr>
      </w:pPr>
    </w:p>
    <w:p>
      <w:pPr>
        <w:ind w:right="220" w:firstLine="318"/>
        <w:spacing w:after="0" w:line="250"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limit the use of our products, which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the Business Combination and the PIPE Financing and may not use them effectively.</w:t>
      </w:r>
    </w:p>
    <w:p>
      <w:pPr>
        <w:spacing w:after="0" w:line="199"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5"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43"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1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99"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32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43"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4"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520" w:firstLine="318"/>
        <w:spacing w:after="0" w:line="294"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3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events could have a material adverse effect on our business, financial condition, results of operations and prospects.</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31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9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19"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 xml:space="preserve">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23"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28"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disclosure, which could adversely impact our ability to establish or maintain a competitive advantage in the market, business, financial condition, results of operations and prospects.</w:t>
      </w:r>
    </w:p>
    <w:p>
      <w:pPr>
        <w:spacing w:after="0" w:line="128"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8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2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7" w:lineRule="exact"/>
        <w:rPr>
          <w:sz w:val="20"/>
          <w:szCs w:val="20"/>
          <w:color w:val="auto"/>
        </w:rPr>
      </w:pPr>
    </w:p>
    <w:p>
      <w:pPr>
        <w:ind w:right="320"/>
        <w:spacing w:after="0" w:line="365"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58"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resources available for development activities. Some of our competitors may be able to sustain the costs of this type of litigation or proceedings more effectively than we can because of their substantially greater financial resources.</w:t>
      </w:r>
    </w:p>
    <w:p>
      <w:pPr>
        <w:spacing w:after="0" w:line="12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3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left="640" w:right="10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7"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6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75" w:lineRule="exact"/>
        <w:rPr>
          <w:rFonts w:ascii="Arial" w:cs="Arial" w:eastAsia="Arial" w:hAnsi="Arial"/>
          <w:sz w:val="17"/>
          <w:szCs w:val="17"/>
          <w:color w:val="auto"/>
        </w:rPr>
      </w:pPr>
    </w:p>
    <w:p>
      <w:pPr>
        <w:ind w:left="640" w:right="30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28" w:lineRule="exact"/>
        <w:rPr>
          <w:sz w:val="20"/>
          <w:szCs w:val="20"/>
          <w:color w:val="auto"/>
        </w:rPr>
      </w:pPr>
    </w:p>
    <w:p>
      <w:pPr>
        <w:ind w:right="860" w:firstLine="318"/>
        <w:spacing w:after="0" w:line="430"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Regulatory and Legal Compliance Matters</w:t>
      </w:r>
    </w:p>
    <w:p>
      <w:pPr>
        <w:spacing w:after="0" w:line="318" w:lineRule="auto"/>
        <w:rPr>
          <w:sz w:val="20"/>
          <w:szCs w:val="20"/>
          <w:color w:val="auto"/>
        </w:rPr>
      </w:pPr>
      <w:r>
        <w:rPr>
          <w:rFonts w:ascii="Arial" w:cs="Arial" w:eastAsia="Arial" w:hAnsi="Arial"/>
          <w:sz w:val="15"/>
          <w:szCs w:val="15"/>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93"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93"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3"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11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3"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19"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321"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spacing w:after="0" w:line="13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jc w:val="both"/>
        <w:ind w:right="140"/>
        <w:spacing w:after="0" w:line="330"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ind w:right="40" w:firstLine="318"/>
        <w:spacing w:after="0" w:line="299"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3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07"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judgments, all of which could have a material adverse effect on our business, financial condition, results of operations and prospects.</w:t>
      </w:r>
    </w:p>
    <w:p>
      <w:pPr>
        <w:spacing w:after="0" w:line="164" w:lineRule="exact"/>
        <w:rPr>
          <w:sz w:val="20"/>
          <w:szCs w:val="20"/>
          <w:color w:val="auto"/>
        </w:rPr>
      </w:pPr>
    </w:p>
    <w:p>
      <w:pPr>
        <w:jc w:val="both"/>
        <w:ind w:right="560"/>
        <w:spacing w:after="0" w:line="33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8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0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8"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99"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32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12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323"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2021, we had 89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64"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4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5"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43"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64" w:lineRule="exact"/>
        <w:rPr>
          <w:rFonts w:ascii="Arial" w:cs="Arial" w:eastAsia="Arial" w:hAnsi="Arial"/>
          <w:sz w:val="18"/>
          <w:szCs w:val="18"/>
          <w:color w:val="auto"/>
        </w:rPr>
      </w:pPr>
    </w:p>
    <w:p>
      <w:pPr>
        <w:jc w:val="both"/>
        <w:ind w:left="640" w:right="160" w:hanging="316"/>
        <w:spacing w:after="0" w:line="277"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64" w:lineRule="exact"/>
        <w:rPr>
          <w:rFonts w:ascii="Arial" w:cs="Arial" w:eastAsia="Arial" w:hAnsi="Arial"/>
          <w:sz w:val="18"/>
          <w:szCs w:val="18"/>
          <w:color w:val="auto"/>
        </w:rPr>
      </w:pPr>
    </w:p>
    <w:p>
      <w:pPr>
        <w:ind w:left="640" w:right="32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5"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2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28"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01"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9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We do not currently have research processes involving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As of December 31, 2020, we had U.S. federal and state net operating loss carryforwards, or NOLs, of $21.3 million, which if not utilized will expire in 2037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5" w:name="page46"/>
    <w:bookmarkEnd w:id="45"/>
    <w:p>
      <w:pPr>
        <w:spacing w:after="0" w:line="11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6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Prior to the Business Combination, there was no public trading market for Old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64" w:lineRule="exact"/>
        <w:rPr>
          <w:sz w:val="20"/>
          <w:szCs w:val="20"/>
          <w:color w:val="auto"/>
        </w:rPr>
      </w:pPr>
    </w:p>
    <w:p>
      <w:pPr>
        <w:ind w:left="640" w:right="2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volatility and variations in market conditions in the life sciences technology sector generally, or the proteomics or genomics sectors specifically;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19" w:lineRule="exact"/>
        <w:rPr>
          <w:sz w:val="20"/>
          <w:szCs w:val="20"/>
          <w:color w:val="auto"/>
        </w:rPr>
      </w:pPr>
    </w:p>
    <w:p>
      <w:pPr>
        <w:ind w:left="640" w:right="240" w:hanging="316"/>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28"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2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As of June 30, 2021, our directors, executive officers, holders of more than 5% of our outstanding shares of Common Stock and their respective affiliates beneficially owned, collectively, approximately 67.5%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1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are restricted from immediate resale in connection with the closing of the Business Combination but may be sold into the market in the near future. This could cause the market price of our Common Stock to drop significantly, even if our business is doing well.</w:t>
      </w:r>
    </w:p>
    <w:p>
      <w:pPr>
        <w:spacing w:after="0" w:line="135"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are restricted from selling or transferring any shares of our Common Stock for a period of 180 days from the closing of the Business Combination. However, these shares of Common Stock may be sold after the expiration of the respective applicable lock-up under the Registration Rights and Lock-Up Agreement and the Bylaws, as applicable. Pursuant to the Registration Rights and Lock-Up Agreement and the Subscription Agreements, we are required to file one or more registration statements (including the registration statement of which this prospectus forms a part) to provide for the resale of the shares issued in the PIPE Financing and the shares of our Common Stock held by the parties to the Registration Rights and Lock-Up Agreement. As restrictions on resale end and these registration statements are available for use, the market price of our Common Stock could decline if the holders of currently restricted shares sell them or are perceived by the market as intending to sell them.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64"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4"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right="160" w:firstLine="6"/>
        <w:spacing w:after="0" w:line="248" w:lineRule="auto"/>
        <w:tabs>
          <w:tab w:leader="none" w:pos="3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1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3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41"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8" w:lineRule="exact"/>
        <w:rPr>
          <w:sz w:val="20"/>
          <w:szCs w:val="20"/>
          <w:color w:val="auto"/>
        </w:rPr>
      </w:pPr>
    </w:p>
    <w:p>
      <w:pPr>
        <w:ind w:left="640" w:hanging="316"/>
        <w:spacing w:after="0" w:line="294"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4" w:lineRule="exact"/>
        <w:rPr>
          <w:rFonts w:ascii="Arial" w:cs="Arial" w:eastAsia="Arial" w:hAnsi="Arial"/>
          <w:sz w:val="17"/>
          <w:szCs w:val="17"/>
          <w:color w:val="auto"/>
        </w:rPr>
      </w:pPr>
    </w:p>
    <w:p>
      <w:pPr>
        <w:ind w:left="640" w:right="58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ind w:left="640" w:right="52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7" w:lineRule="exact"/>
        <w:rPr>
          <w:rFonts w:ascii="Arial" w:cs="Arial" w:eastAsia="Arial" w:hAnsi="Arial"/>
          <w:sz w:val="18"/>
          <w:szCs w:val="18"/>
          <w:color w:val="auto"/>
        </w:rPr>
      </w:pPr>
    </w:p>
    <w:p>
      <w:pPr>
        <w:ind w:left="640" w:right="3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2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9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and its expected benefits; our performance following the Business Combination; the success, cost, timing and progress of development of the Nautilus Platform; the potential attributes and benefits of the Nautilus Platform; our ability to successfully implement our three phase commercial launch plan; and our ability to obtain funding for our operations. Forward-looking statements include statements relating to our management team’s expectations, hopes, beliefs, intentions or strategies regarding the future, including those relating to the Business Combination and related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319"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26" w:lineRule="exact"/>
        <w:rPr>
          <w:sz w:val="20"/>
          <w:szCs w:val="20"/>
          <w:color w:val="auto"/>
        </w:rPr>
      </w:pPr>
    </w:p>
    <w:p>
      <w:pPr>
        <w:ind w:left="640" w:right="30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dependence on the success of our Nautilus Platform (as defined herein),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and business performance following the Business Combination, including financial projections and business metrics;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19"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170"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With respect to the registration of shares of our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53" w:name="page54"/>
    <w:bookmarkEnd w:id="53"/>
    <w:p>
      <w:pPr>
        <w:spacing w:after="0" w:line="113" w:lineRule="exact"/>
        <w:rPr>
          <w:sz w:val="20"/>
          <w:szCs w:val="20"/>
          <w:color w:val="auto"/>
        </w:rPr>
      </w:pPr>
    </w:p>
    <w:p>
      <w:pPr>
        <w:ind w:left="320" w:right="300" w:firstLine="38"/>
        <w:spacing w:after="0" w:line="433" w:lineRule="auto"/>
        <w:rPr>
          <w:sz w:val="20"/>
          <w:szCs w:val="20"/>
          <w:color w:val="auto"/>
        </w:rPr>
      </w:pPr>
      <w:r>
        <w:rPr>
          <w:rFonts w:ascii="Arial" w:cs="Arial" w:eastAsia="Arial" w:hAnsi="Arial"/>
          <w:sz w:val="18"/>
          <w:szCs w:val="18"/>
          <w:b w:val="1"/>
          <w:bCs w:val="1"/>
          <w:color w:val="auto"/>
        </w:rPr>
        <w:t xml:space="preserve">MARKET PRICE OF AND DIVIDENDS ON THE REGISTRANT’S COMMON EQUITY AND RELATED STOCKHOLDER MATTERS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280" w:firstLine="318"/>
        <w:spacing w:after="0" w:line="294" w:lineRule="auto"/>
        <w:rPr>
          <w:sz w:val="20"/>
          <w:szCs w:val="20"/>
          <w:color w:val="auto"/>
        </w:rPr>
      </w:pPr>
      <w:r>
        <w:rPr>
          <w:rFonts w:ascii="Arial" w:cs="Arial" w:eastAsia="Arial" w:hAnsi="Arial"/>
          <w:sz w:val="17"/>
          <w:szCs w:val="17"/>
          <w:color w:val="auto"/>
        </w:rPr>
        <w:t>Our Common Stock is currently listed on The Nasdaq Global Select Market (“Nasdaq”) under the symbol “NAUT.” Prior to the consummation of the Business Consummation, our Common Stock was historically quoted on The Nasdaq Capital Market under the symbol “ARYA.”</w:t>
      </w:r>
    </w:p>
    <w:p>
      <w:pPr>
        <w:spacing w:after="0" w:line="104" w:lineRule="exact"/>
        <w:rPr>
          <w:sz w:val="20"/>
          <w:szCs w:val="20"/>
          <w:color w:val="auto"/>
        </w:rPr>
      </w:pPr>
    </w:p>
    <w:p>
      <w:pPr>
        <w:ind w:left="320"/>
        <w:spacing w:after="0" w:line="430" w:lineRule="auto"/>
        <w:rPr>
          <w:sz w:val="20"/>
          <w:szCs w:val="20"/>
          <w:color w:val="auto"/>
        </w:rPr>
      </w:pPr>
      <w:r>
        <w:rPr>
          <w:rFonts w:ascii="Arial" w:cs="Arial" w:eastAsia="Arial" w:hAnsi="Arial"/>
          <w:sz w:val="18"/>
          <w:szCs w:val="18"/>
          <w:color w:val="auto"/>
        </w:rPr>
        <w:t xml:space="preserve">As of June 30, 2021, there were approximately 124,094,390 shares of Common Stock issued and outstanding held of record by approximately 85 holders. </w:t>
      </w:r>
      <w:r>
        <w:rPr>
          <w:rFonts w:ascii="Arial" w:cs="Arial" w:eastAsia="Arial" w:hAnsi="Arial"/>
          <w:sz w:val="18"/>
          <w:szCs w:val="18"/>
          <w:b w:val="1"/>
          <w:bCs w:val="1"/>
          <w:i w:val="1"/>
          <w:iCs w:val="1"/>
          <w:color w:val="auto"/>
        </w:rPr>
        <w:t>Dividend Policy</w:t>
      </w:r>
    </w:p>
    <w:p>
      <w:pPr>
        <w:ind w:right="100" w:firstLine="318"/>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35" w:lineRule="exact"/>
        <w:rPr>
          <w:sz w:val="20"/>
          <w:szCs w:val="20"/>
          <w:color w:val="auto"/>
        </w:rPr>
      </w:pPr>
    </w:p>
    <w:p>
      <w:pPr>
        <w:ind w:right="600" w:firstLine="318"/>
        <w:spacing w:after="0" w:line="365" w:lineRule="auto"/>
        <w:rPr>
          <w:sz w:val="20"/>
          <w:szCs w:val="20"/>
          <w:color w:val="auto"/>
        </w:rPr>
      </w:pPr>
      <w:r>
        <w:rPr>
          <w:rFonts w:ascii="Arial" w:cs="Arial" w:eastAsia="Arial" w:hAnsi="Arial"/>
          <w:sz w:val="15"/>
          <w:szCs w:val="15"/>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4" w:name="page55"/>
    <w:bookmarkEnd w:id="54"/>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0" w:lineRule="exact"/>
        <w:rPr>
          <w:sz w:val="20"/>
          <w:szCs w:val="20"/>
          <w:color w:val="auto"/>
        </w:rPr>
      </w:pPr>
    </w:p>
    <w:p>
      <w:pPr>
        <w:ind w:right="220" w:firstLine="318"/>
        <w:spacing w:after="0" w:line="249"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consolidated results of operations and financial condition. The discussion should be read together with the historical consolidated financial statements and related notes and unaudited pro forma condensed financial information that are included elsewhere or incorporated by reference in this prospectus.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as set forth in this prospectus.</w:t>
      </w:r>
    </w:p>
    <w:p>
      <w:pPr>
        <w:spacing w:after="0" w:line="143" w:lineRule="exact"/>
        <w:rPr>
          <w:sz w:val="20"/>
          <w:szCs w:val="20"/>
          <w:color w:val="auto"/>
        </w:rPr>
      </w:pPr>
    </w:p>
    <w:p>
      <w:pPr>
        <w:ind w:right="300" w:firstLine="318"/>
        <w:spacing w:after="0" w:line="277"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Old Nautilus prior to the Business Combination and to New Nautilus and its consolidated subsidiary following the Business Combination.</w:t>
      </w:r>
    </w:p>
    <w:p>
      <w:pPr>
        <w:spacing w:after="0" w:line="11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i w:val="1"/>
          <w:iCs w:val="1"/>
          <w:color w:val="auto"/>
        </w:rPr>
        <w:t>As discussed in Note 1 to our unaudited condensed financial statements, the financial statements for the three months ended March 31, 2021 have been revised to reflect an amendment of our San Carlos facility lease contract which was executed in February 2021, and should have been accounted for as a modification in that period. However, the revision did not impact Management's Discussion and Analysis as described below beyond the disclosure within the Company's Contractual Obligations and Commitments table included herein. See Note 1 to our unaudited condensed financial statements for further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2"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19"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43"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321"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93"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Prior to the Business Combination, we financed our operations primarily through private placements of convertible preferred stock. Through March 31, 2021, we had raised aggregate net proceeds of $108 million from these private placements and as of March 31, 2021, we had cash, cash equivalents and short-term investments of $67.8 million. Following consummation of the Business Combination and PIPE Financing, we received additional gross proceeds of approximately $345 million from PIPE Investors and the Business Combination, offset by approximately $18 million of transaction costs and underwriters’ fees relating to the closing of the Business Combination. Based on this, we believe that our existing cash, cash equivalents, and short-term investments will enable us to fund our planned operating expenses and capital expenditures through at least the next 12 months.</w:t>
      </w:r>
    </w:p>
    <w:p>
      <w:pPr>
        <w:spacing w:after="0" w:line="99" w:lineRule="exact"/>
        <w:rPr>
          <w:sz w:val="20"/>
          <w:szCs w:val="20"/>
          <w:color w:val="auto"/>
        </w:rPr>
      </w:pPr>
    </w:p>
    <w:p>
      <w:pPr>
        <w:ind w:right="200" w:firstLine="318"/>
        <w:spacing w:after="0" w:line="309" w:lineRule="auto"/>
        <w:rPr>
          <w:sz w:val="20"/>
          <w:szCs w:val="20"/>
          <w:color w:val="auto"/>
        </w:rPr>
      </w:pPr>
      <w:r>
        <w:rPr>
          <w:rFonts w:ascii="Arial" w:cs="Arial" w:eastAsia="Arial" w:hAnsi="Arial"/>
          <w:sz w:val="15"/>
          <w:szCs w:val="15"/>
          <w:color w:val="auto"/>
        </w:rPr>
        <w:t>We have incurred significant losses since the commencement of our operations. Our net loss was $8.4 million during the three months ended March 31, 2021, and we expect to continue to incur significant losses for the foreseeable future as we continue our research and development activities and planned commercialization of our proteomics platform. As of March 31, 2021, we had an accumulated deficit of $38.7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0"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107"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98"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Transaction</w:t>
      </w:r>
    </w:p>
    <w:p>
      <w:pPr>
        <w:spacing w:after="0" w:line="170" w:lineRule="exact"/>
        <w:rPr>
          <w:sz w:val="20"/>
          <w:szCs w:val="20"/>
          <w:color w:val="auto"/>
        </w:rPr>
      </w:pPr>
    </w:p>
    <w:p>
      <w:pPr>
        <w:ind w:right="240"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(“Old Nautilus”).</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Old Nautilus (the “Merger”), with Old Nautilus as the surviving company in the Merger and, after giving effect to such Merger, Old Nautilus becoming a wholly-owned subsidiary of New Nautilus.</w:t>
      </w:r>
    </w:p>
    <w:p>
      <w:pPr>
        <w:spacing w:after="0" w:line="12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In accordance with the terms and subject to the conditions of the Business Combination Agreement, at the effective time of the Merger (the “Effective Time”), (i) each share of Old Nautilus outstanding as of immediately prior to the Effective Time was exchanged for shares of common stock of New Nautilus, par value $0.0001 per share (“Common Stock”), and (ii) all vested and unvested options to purchase shares of Old Nautilus were exchanged for comparable options to purchase shares of Common Stock, in each case, based on an implied Old Nautilus equity value of $900,000,000.</w:t>
      </w:r>
    </w:p>
    <w:p>
      <w:pPr>
        <w:spacing w:after="0" w:line="9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After the Closing Date, ARYA’s Class A ordinary shares ceased trading on the Nasdaq Capital Market and New Nautilus’ Common Stock began trading on the Nasdaq Global Select Market under the symbol “NAUT.”</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 million from PIPE Investors and the Business Combination, offset by approximately $18 million of transaction costs and underwriters’ fees relating to the closing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date, we have not generated any revenue and we may not generate any revenue from the sale of products or from other sources in the near future.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164"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84"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(expense), net consists primarily of interest income on our cash, cash equivalents and short-term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March 31, 2021 to the Three Months Ended March 31,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21590</wp:posOffset>
            </wp:positionV>
            <wp:extent cx="2069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1" w:lineRule="exact"/>
        <w:rPr>
          <w:sz w:val="20"/>
          <w:szCs w:val="20"/>
          <w:color w:val="auto"/>
        </w:rPr>
      </w:pPr>
    </w:p>
    <w:p>
      <w:pPr>
        <w:ind w:left="5280"/>
        <w:spacing w:after="0"/>
        <w:tabs>
          <w:tab w:leader="none" w:pos="6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36195</wp:posOffset>
            </wp:positionV>
            <wp:extent cx="20110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54"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68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1"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7" w:lineRule="exact"/>
        <w:rPr>
          <w:sz w:val="20"/>
          <w:szCs w:val="20"/>
          <w:color w:val="auto"/>
        </w:rPr>
      </w:pPr>
    </w:p>
    <w:p>
      <w:pPr>
        <w:sectPr>
          <w:pgSz w:w="11900" w:h="16838" w:orient="portrait"/>
          <w:cols w:equalWidth="0" w:num="2">
            <w:col w:w="7740" w:space="720"/>
            <w:col w:w="27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5"/>
        </w:trPr>
        <w:tc>
          <w:tcPr>
            <w:tcW w:w="4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4,835</w:t>
            </w:r>
          </w:p>
        </w:tc>
        <w:tc>
          <w:tcPr>
            <w:tcW w:w="8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2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580 %</w:t>
            </w:r>
          </w:p>
        </w:tc>
      </w:tr>
      <w:tr>
        <w:trPr>
          <w:trHeight w:val="218"/>
        </w:trPr>
        <w:tc>
          <w:tcPr>
            <w:tcW w:w="46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181 %</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9"/>
        </w:trPr>
        <w:tc>
          <w:tcPr>
            <w:tcW w:w="4660" w:type="dxa"/>
            <w:vAlign w:val="bottom"/>
          </w:tcPr>
          <w:p>
            <w:pPr>
              <w:ind w:left="660"/>
              <w:spacing w:after="0"/>
              <w:rPr>
                <w:sz w:val="20"/>
                <w:szCs w:val="20"/>
                <w:color w:val="auto"/>
              </w:rPr>
            </w:pPr>
            <w:r>
              <w:rPr>
                <w:rFonts w:ascii="Arial" w:cs="Arial" w:eastAsia="Arial" w:hAnsi="Arial"/>
                <w:sz w:val="18"/>
                <w:szCs w:val="18"/>
                <w:color w:val="auto"/>
              </w:rPr>
              <w:t>Net loss</w:t>
            </w: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auto"/>
            </w:tcBorders>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187 %</w:t>
            </w:r>
          </w:p>
        </w:tc>
      </w:tr>
      <w:tr>
        <w:trPr>
          <w:trHeight w:val="20"/>
        </w:trPr>
        <w:tc>
          <w:tcPr>
            <w:tcW w:w="4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Research and development expenses were $4.8 million for the three months ended March 31, 2021, compared to $2.5 million for the three months ended March 31, 2020, an increase of $2.4 million, or 96%. The increase was primarily due to a $1.4 million increase in salaries, related benefits, and stock-based compensation to support on-going development of our products, a $0.7 million increase in laboratory supplies and equipment expense and a $0.1 million increase in facilities costs.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General and administrative expenses were $3.6 million for the three months ended March 31, 2021, compared to $0.5 million for the three months ended March 31, 2020, an increase of $3.1 million, or 580%. The increase was primarily due to a $1.5 million increase in salaries, related benefits, and stock-based compensation, a $1.2 million increase in professional services, primarily related to audit and legal activities, and a $0.1 million increase in facilities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Other income (expense), net did not significantly fluctuate during the three months ended March 31, 2021 as compared to the three months ended March 31,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Fiscal Year Ended December 31, 2020 to Fiscal Year Ended December 31, 2019</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8"/>
              </w:rPr>
              <w:t>2020 to 2019</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2020 to 2019</w:t>
            </w:r>
          </w:p>
        </w:tc>
      </w:tr>
      <w:tr>
        <w:trPr>
          <w:trHeight w:val="192"/>
        </w:trPr>
        <w:tc>
          <w:tcPr>
            <w:tcW w:w="46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197"/>
        </w:trPr>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w:t>
            </w:r>
          </w:p>
        </w:tc>
      </w:tr>
      <w:tr>
        <w:trPr>
          <w:trHeight w:val="206"/>
        </w:trPr>
        <w:tc>
          <w:tcPr>
            <w:tcW w:w="46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25"/>
        </w:trPr>
        <w:tc>
          <w:tcPr>
            <w:tcW w:w="4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12,432</w:t>
            </w:r>
          </w:p>
        </w:tc>
        <w:tc>
          <w:tcPr>
            <w:tcW w:w="80" w:type="dxa"/>
            <w:vAlign w:val="bottom"/>
          </w:tcPr>
          <w:p>
            <w:pPr>
              <w:spacing w:after="0"/>
              <w:rPr>
                <w:sz w:val="19"/>
                <w:szCs w:val="19"/>
                <w:color w:val="auto"/>
              </w:rPr>
            </w:pP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26"/>
        </w:trPr>
        <w:tc>
          <w:tcPr>
            <w:tcW w:w="464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96"/>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18"/>
        </w:trPr>
        <w:tc>
          <w:tcPr>
            <w:tcW w:w="4640" w:type="dxa"/>
            <w:vAlign w:val="bottom"/>
            <w:tcBorders>
              <w:bottom w:val="single" w:sz="8" w:color="CCEEFF"/>
            </w:tcBorders>
          </w:tcPr>
          <w:p>
            <w:pPr>
              <w:jc w:val="right"/>
              <w:ind w:right="2452"/>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15,744</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r>
      <w:tr>
        <w:trPr>
          <w:trHeight w:val="218"/>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9"/>
        </w:trPr>
        <w:tc>
          <w:tcPr>
            <w:tcW w:w="46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(15,619)</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(9,618)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360" w:firstLine="318"/>
        <w:spacing w:after="0" w:line="250" w:lineRule="auto"/>
        <w:rPr>
          <w:sz w:val="20"/>
          <w:szCs w:val="20"/>
          <w:color w:val="auto"/>
        </w:rPr>
      </w:pPr>
      <w:r>
        <w:rPr>
          <w:rFonts w:ascii="Arial" w:cs="Arial" w:eastAsia="Arial" w:hAnsi="Arial"/>
          <w:sz w:val="18"/>
          <w:szCs w:val="18"/>
          <w:color w:val="auto"/>
        </w:rPr>
        <w:t>Research and development expenses were $12.4 million for the year ended December 31, 2020, compared to $8.5 million for the year ended December 31, 2019, an increase of $3.9 million, or 46%. The increase was primarily due to a $2.1 million increase in salaries, related benefits, and stock-based compensation due to an increase in headcount to support on-going development of our products, a $0.8 million increase in laboratory supplies and equipment expense, a $0.7 million increase in facilities cost, and a $0.2 million increase in external costs of vendors engaged to produce materials used in research and development activities.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General and administrative expenses were $3.3 million for the year ended December 31, 2020, compared to $1.6 million for the year ended December 31, 2019, an increase of $1.7 million, or 104%. The increase was primarily due to a $1.1 million increase in salaries, related benefits, and stock-based compensation, a $0.3 million increase in professional service and a $0.2 million increase in facilities costs.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Other income (expense), net was $0.1 million for the year ended December 31, 2020, compared to $0.5 million for the year ended December 31, 2019, or a decrease of $0.4 million, or 75%. The change was primarily lower interest income due to lower average interest income rate environment.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our operations. Our net loss was $8.4 million for the three months ended March 31, 2021. As of March 31, 2021, we had an accumulated deficit of $38.7 million. Prior to the Business Combination, we funded our operations primarily with proceeds from the sale of convertible preferred stock. Through March 31, 2021, we had raised net proceeds of $108.4 million from these private placements of our convertible preferred stock and had cash, cash equivalents and short-term investments of $67.8 million. In June 2021, in conjunction with the consummation of the Business Combination with ARYA, we received additional gross proceeds of approximately $345 million from PIPE Investors and the Business Combination, offset by approximately $18 million of transaction costs and underwriters’ fees relating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ind w:right="720" w:firstLine="318"/>
        <w:spacing w:after="0" w:line="365" w:lineRule="auto"/>
        <w:rPr>
          <w:sz w:val="20"/>
          <w:szCs w:val="20"/>
          <w:color w:val="auto"/>
        </w:rPr>
      </w:pPr>
      <w:r>
        <w:rPr>
          <w:rFonts w:ascii="Arial" w:cs="Arial" w:eastAsia="Arial" w:hAnsi="Arial"/>
          <w:sz w:val="15"/>
          <w:szCs w:val="15"/>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5"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04"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Three Months Ended March 31,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three months ended March 31,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(6,253)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(2,621)</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w w:val="98"/>
              </w:rPr>
              <w:t>23,518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7,886</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1"/>
              </w:rPr>
              <w:t>(2,069)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8"/>
              </w:rPr>
              <w:t>15,196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During the three months ended March 31, 2021, net cash used in operating activities was $6.3 million, primarily resulting from our operating loss of $8.4 million, offset by non-cash charges aggregating $2.1 million, which primarily included $1.3 million of stock-based compensation and $0.4 million amortization of operating lease right-of-use assets.</w:t>
      </w:r>
    </w:p>
    <w:p>
      <w:pPr>
        <w:spacing w:after="0" w:line="13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During the three months ended March 31, 2020, net cash used in operating activities was $2.6 million, primarily resulting from our operating loss of $2.9 million, offset by non-cash charges aggregating $0.7 million, which primarily included $0.4 million amortization of operating lease right-of-use assets. Net cash used in operating activities was increased by net changes in assets and liabilities aggregating $0.4 million, primarily driven by $0.4 million decrease in operating lease liability.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During the three months ended March 31, 2021, net cash provided by investing activities was $23.5 million, primarily resulting from $24.0 million in proceeds from maturities of securities, partially offset by $0.5 million in purchases of property and equipment.</w:t>
      </w:r>
    </w:p>
    <w:p>
      <w:pPr>
        <w:spacing w:after="0" w:line="128"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During the three months ended March 31, 2020, net cash provided by investing activities was $7.9 million, primarily resulting from $8.0 million in proceeds from sale and maturities of securities, partially offset by $0.1 million in purchases of property and equipment.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three months ended March 31, 2021, net cash used in financing activities was $2.1 million from payments of deferred offering costs.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Fiscal Years Ended December 31, 2020 and 2019</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gridSpan w:val="3"/>
          </w:tcPr>
          <w:p>
            <w:pPr>
              <w:jc w:val="right"/>
              <w:ind w:right="518"/>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(13,996)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(9,662)</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(25,279)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75,899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36,624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(5,576)</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and gain on investments and $0.4 million of stock-based compensation.</w:t>
      </w:r>
    </w:p>
    <w:p>
      <w:pPr>
        <w:spacing w:after="0" w:line="12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During the year ended December 31, 2019, net cash used in operating activities was $9.7 million, primarily resulting from our operating loss of $9.6 million, $0.5 million increase in prepaid expenses and other assets and $0.2 million amortization of premiums and gain on investments, offset by $0.5 million in depreciation and $0.1 million of stock-based compensation.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104"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During the year ended December 31, 2019, net cash provided by investing activities was $4.1 million, primarily resulting from $30.4 million in proceeds from maturities of securities, partially offset by $25.4 million in purchases of securities and $0.9 million in purchases of property and equipment.</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During the year ended December 31, 2019, net cash provided by financing activities was less than $0.1 million in net proceeds from exercise of stock options.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Payments Due by Period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30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1-3 Years</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179"/>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(1)(2)(3)</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2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39"/>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leases in Seattle, Washington and San Carlos, California.</w:t>
      </w:r>
    </w:p>
    <w:p>
      <w:pPr>
        <w:ind w:left="320" w:right="140" w:hanging="314"/>
        <w:spacing w:after="0" w:line="276" w:lineRule="auto"/>
        <w:tabs>
          <w:tab w:leader="none" w:pos="312"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 December 2020, we entered into a new lease in San Carlos, California for ten years commencing in September 2021 and expiring in September 2031 with total minimum lease payments of $42.1 million. In December 2020, we also entered into a temporary office space lease agreement in San Carlos, California commencing in February 2021 and expiring in October 2021 with total minimum lease payments of $1.2 million. These leases had not commenced as of December 31, 2020, and therefore are not included in the operating lease obligations.</w:t>
      </w:r>
    </w:p>
    <w:p>
      <w:pPr>
        <w:ind w:left="320" w:right="20" w:hanging="314"/>
        <w:spacing w:after="0" w:line="328" w:lineRule="auto"/>
        <w:tabs>
          <w:tab w:leader="none" w:pos="312"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 February 2021, an amendment of our San Carlos facility lease contract was executed to shorten the remaining term of the lease and reduce monthly lease payments, as more fully described in Note 1 to the Unaudited Condensed Financial Statements of Old Nautilus. The impact of such amendment to reduce future cash flows by $3.7 million is not reflected in the current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28"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84"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6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19"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93"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28"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64" w:lineRule="exact"/>
        <w:rPr>
          <w:rFonts w:ascii="Arial" w:cs="Arial" w:eastAsia="Arial" w:hAnsi="Arial"/>
          <w:sz w:val="18"/>
          <w:szCs w:val="18"/>
          <w:color w:val="auto"/>
        </w:rPr>
      </w:pPr>
    </w:p>
    <w:p>
      <w:pPr>
        <w:ind w:left="640" w:right="76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27" w:lineRule="exact"/>
        <w:rPr>
          <w:rFonts w:ascii="Arial" w:cs="Arial" w:eastAsia="Arial" w:hAnsi="Arial"/>
          <w:sz w:val="18"/>
          <w:szCs w:val="18"/>
          <w:color w:val="auto"/>
        </w:rPr>
      </w:pPr>
    </w:p>
    <w:p>
      <w:pPr>
        <w:ind w:left="640" w:hanging="316"/>
        <w:spacing w:after="0" w:line="318"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Because we have been privately held and do not have any trading history for our common stock, the expected volatility was</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92" w:lineRule="exact"/>
        <w:rPr>
          <w:rFonts w:ascii="Arial" w:cs="Arial" w:eastAsia="Arial" w:hAnsi="Arial"/>
          <w:sz w:val="15"/>
          <w:szCs w:val="15"/>
          <w:color w:val="auto"/>
        </w:rPr>
      </w:pPr>
    </w:p>
    <w:p>
      <w:pPr>
        <w:ind w:left="640" w:right="120" w:hanging="316"/>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 as we do not have sufficient historical data to use any other method to estimate expected term.</w:t>
      </w:r>
    </w:p>
    <w:p>
      <w:pPr>
        <w:spacing w:after="0" w:line="135"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128" w:lineRule="exact"/>
        <w:rPr>
          <w:sz w:val="20"/>
          <w:szCs w:val="20"/>
          <w:color w:val="auto"/>
        </w:rPr>
      </w:pPr>
    </w:p>
    <w:p>
      <w:pPr>
        <w:jc w:val="both"/>
        <w:ind w:right="500" w:firstLine="318"/>
        <w:spacing w:after="0" w:line="255"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64"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 xml:space="preserve">Prior to the closing of the Business Combination, there had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132"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value of stock or equity interests in similar corporations and other entities engaged in trades or businesses substantially similar to ours, the value of which could be readily determined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19" w:lineRule="exact"/>
        <w:rPr>
          <w:sz w:val="20"/>
          <w:szCs w:val="20"/>
          <w:color w:val="auto"/>
        </w:rPr>
      </w:pPr>
    </w:p>
    <w:p>
      <w:pPr>
        <w:ind w:left="640" w:right="800"/>
        <w:spacing w:after="0" w:line="264" w:lineRule="auto"/>
        <w:rPr>
          <w:sz w:val="20"/>
          <w:szCs w:val="20"/>
          <w:color w:val="auto"/>
        </w:rPr>
      </w:pPr>
      <w:r>
        <w:rPr>
          <w:rFonts w:ascii="Arial" w:cs="Arial" w:eastAsia="Arial" w:hAnsi="Arial"/>
          <w:sz w:val="18"/>
          <w:szCs w:val="18"/>
          <w:color w:val="auto"/>
        </w:rPr>
        <w:t>nondiscretionary, objective means (such as through trading prices on an established securities market or an amount paid in an arm’s length transaction), as well as recently completed mergers and acquisitions of peer companies;</w:t>
      </w:r>
    </w:p>
    <w:p>
      <w:pPr>
        <w:spacing w:after="0" w:line="128"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64"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applicable, the implied equity value of Old Nautilus as contemplated by the Business Combination Agreement.</w:t>
      </w:r>
    </w:p>
    <w:p>
      <w:pPr>
        <w:spacing w:after="0" w:line="164"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3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Probability-Weighted Expected Return Method.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35"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spacing w:after="0" w:line="84"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93" w:lineRule="exact"/>
        <w:rPr>
          <w:sz w:val="20"/>
          <w:szCs w:val="20"/>
          <w:color w:val="auto"/>
        </w:rPr>
      </w:pPr>
    </w:p>
    <w:p>
      <w:pPr>
        <w:ind w:right="340" w:firstLine="318"/>
        <w:spacing w:after="0" w:line="318" w:lineRule="auto"/>
        <w:rPr>
          <w:sz w:val="20"/>
          <w:szCs w:val="20"/>
          <w:color w:val="auto"/>
        </w:rPr>
      </w:pPr>
      <w:r>
        <w:rPr>
          <w:rFonts w:ascii="Arial" w:cs="Arial" w:eastAsia="Arial" w:hAnsi="Arial"/>
          <w:sz w:val="15"/>
          <w:szCs w:val="15"/>
          <w:color w:val="auto"/>
        </w:rPr>
        <w:t>For the valuations performed in December 2020, we used a hybrid method utilizing a combination of the OPM and the PWERM. We utilized two different scenarios: (a) a transaction with a SPAC and (b) an acquisition by 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19"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color w:val="auto"/>
        </w:rPr>
        <w:t>the shares of our redeemable convertible preferred stock are ignored. The liquidation method presumes payment of proceeds in accordance with the liquidation terms of each class of stock.</w:t>
      </w:r>
    </w:p>
    <w:p>
      <w:pPr>
        <w:spacing w:after="0" w:line="128"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Our board of directors made a determination of the fair market value of our common stock which contemplated the implied equity value of the Old Nautilus per the Business Combination agreement that was executed on February 7, 2021.</w:t>
      </w:r>
    </w:p>
    <w:p>
      <w:pPr>
        <w:spacing w:after="0" w:line="135"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3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Following the closing of the Business Combination, our board of directors will determine the fair market value of our common stock based on its closing price as reported on the date of grant on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2 to our audited financial statements included elsewhere in this prospectus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0"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99"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w:t>
      </w:r>
    </w:p>
    <w:p>
      <w:pPr>
        <w:spacing w:after="0" w:line="1" w:lineRule="exact"/>
        <w:rPr>
          <w:sz w:val="20"/>
          <w:szCs w:val="20"/>
          <w:color w:val="auto"/>
        </w:rPr>
      </w:pPr>
    </w:p>
    <w:p>
      <w:pPr>
        <w:ind w:right="20" w:firstLine="6"/>
        <w:spacing w:after="0" w:line="251" w:lineRule="auto"/>
        <w:tabs>
          <w:tab w:leader="none" w:pos="3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9"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had cash, cash equivalents and short-term investments of $67.8 million and $76.7 million as of March 31, 2021 and December 31, 2020,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March 31, 2021 and December 31, 2020. If overall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rates had increased or decreased by 1.00% (100 basis points), neither our interest expense nor our interest income would have been materially affected during the three months ended March 31, 2021 and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8" w:name="page69"/>
    <w:bookmarkEnd w:id="68"/>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0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93"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319"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0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40"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June 30, 2021 we were comprised of approximately 89 employees, with 34 of such employees holding a Ph.D. Our organization is driven by the pursuit of deep, hard science, and our Scientific Advisory Board is comprised of world-renowned scientific leaders that support our vision.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0" w:lineRule="exact"/>
        <w:rPr>
          <w:sz w:val="20"/>
          <w:szCs w:val="20"/>
          <w:color w:val="auto"/>
        </w:rPr>
      </w:pPr>
    </w:p>
    <w:p>
      <w:pPr>
        <w:ind w:left="640" w:right="220" w:hanging="316"/>
        <w:spacing w:after="0" w:line="265"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disruptive proteomics technology. </w:t>
      </w:r>
      <w:r>
        <w:rPr>
          <w:rFonts w:ascii="Arial" w:cs="Arial" w:eastAsia="Arial" w:hAnsi="Arial"/>
          <w:sz w:val="17"/>
          <w:szCs w:val="17"/>
          <w:color w:val="auto"/>
        </w:rPr>
        <w:t>Our Nautilus Platform is designed to be a disruptive, single-molecule analysis technology of extreme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believe that the prototype of our Proteomic Analysis System has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19" w:lineRule="exact"/>
        <w:rPr>
          <w:sz w:val="20"/>
          <w:szCs w:val="20"/>
          <w:color w:val="auto"/>
        </w:rPr>
      </w:pPr>
    </w:p>
    <w:p>
      <w:pPr>
        <w:ind w:left="320" w:hanging="316"/>
        <w:spacing w:after="0" w:line="265"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end-to-end proteomics detection platform of extreme sensitivity. </w:t>
      </w:r>
      <w:r>
        <w:rPr>
          <w:rFonts w:ascii="Arial" w:cs="Arial" w:eastAsia="Arial" w:hAnsi="Arial"/>
          <w:sz w:val="17"/>
          <w:szCs w:val="17"/>
          <w:color w:val="auto"/>
        </w:rPr>
        <w:t>We aim to be the first commercially available proteomics detection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32" w:lineRule="exact"/>
        <w:rPr>
          <w:rFonts w:ascii="Arial" w:cs="Arial" w:eastAsia="Arial" w:hAnsi="Arial"/>
          <w:sz w:val="17"/>
          <w:szCs w:val="17"/>
          <w:color w:val="auto"/>
        </w:rPr>
      </w:pPr>
    </w:p>
    <w:p>
      <w:pPr>
        <w:ind w:left="320" w:right="60" w:hanging="316"/>
        <w:spacing w:after="0" w:line="306" w:lineRule="auto"/>
        <w:tabs>
          <w:tab w:leader="none" w:pos="315"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Immense data production capacity coupled with machine learning can unlock new proteomic insights. </w:t>
      </w:r>
      <w:r>
        <w:rPr>
          <w:rFonts w:ascii="Arial" w:cs="Arial" w:eastAsia="Arial" w:hAnsi="Arial"/>
          <w:sz w:val="15"/>
          <w:szCs w:val="15"/>
          <w:color w:val="auto"/>
        </w:rPr>
        <w:t>We have designed the Nautilus Platform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03" w:lineRule="exact"/>
        <w:rPr>
          <w:rFonts w:ascii="Arial" w:cs="Arial" w:eastAsia="Arial" w:hAnsi="Arial"/>
          <w:sz w:val="15"/>
          <w:szCs w:val="15"/>
          <w:color w:val="auto"/>
        </w:rPr>
      </w:pPr>
    </w:p>
    <w:p>
      <w:pPr>
        <w:ind w:left="320" w:right="20" w:hanging="316"/>
        <w:spacing w:after="0" w:line="264"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 model with clear market entry point, designed to support a wide variety of customers and applications. </w:t>
      </w:r>
      <w:r>
        <w:rPr>
          <w:rFonts w:ascii="Arial" w:cs="Arial" w:eastAsia="Arial" w:hAnsi="Arial"/>
          <w:sz w:val="17"/>
          <w:szCs w:val="17"/>
          <w:color w:val="auto"/>
        </w:rPr>
        <w:t>Many successful life sciences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are estimated to spend approximately $195 billion in 2021 in R&amp;D activities across a variety of settings, from basic sciences to translational and clinical research.</w:t>
      </w:r>
    </w:p>
    <w:p>
      <w:pPr>
        <w:spacing w:after="0" w:line="131" w:lineRule="exact"/>
        <w:rPr>
          <w:rFonts w:ascii="Arial" w:cs="Arial" w:eastAsia="Arial" w:hAnsi="Arial"/>
          <w:sz w:val="17"/>
          <w:szCs w:val="17"/>
          <w:color w:val="auto"/>
        </w:rPr>
      </w:pPr>
    </w:p>
    <w:p>
      <w:pPr>
        <w:ind w:left="320" w:right="160" w:hanging="316"/>
        <w:spacing w:after="0" w:line="306" w:lineRule="auto"/>
        <w:tabs>
          <w:tab w:leader="none" w:pos="315"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5"/>
          <w:szCs w:val="15"/>
          <w:color w:val="auto"/>
        </w:rPr>
        <w:t>The global proteomics market is estimated to be approximately $25 billion annually as of 2021 and is expected to grow at an estimated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03" w:lineRule="exact"/>
        <w:rPr>
          <w:rFonts w:ascii="Arial" w:cs="Arial" w:eastAsia="Arial" w:hAnsi="Arial"/>
          <w:sz w:val="15"/>
          <w:szCs w:val="15"/>
          <w:color w:val="auto"/>
        </w:rPr>
      </w:pPr>
    </w:p>
    <w:p>
      <w:pPr>
        <w:ind w:left="320" w:right="60" w:hanging="316"/>
        <w:spacing w:after="0" w:line="265"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7"/>
          <w:szCs w:val="17"/>
          <w:color w:val="auto"/>
        </w:rPr>
        <w:t>Nautilus’ leadership team represents a unique and valuable hybrid of technology and biotech experience. Several members of the executive team and board of directors held 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71" w:name="page72"/>
    <w:bookmarkEnd w:id="71"/>
    <w:p>
      <w:pPr>
        <w:spacing w:after="0" w:line="119"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color w:val="auto"/>
        </w:rPr>
        <w:t>biochemists, nano-fabrication engineers, software and machine learning engineers, single-molecule biophysicists, optical engineers and others, all working together toward our common goal.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0" w:lineRule="exact"/>
        <w:rPr>
          <w:sz w:val="20"/>
          <w:szCs w:val="20"/>
          <w:color w:val="auto"/>
        </w:rPr>
      </w:pPr>
    </w:p>
    <w:p>
      <w:pPr>
        <w:ind w:left="640" w:right="80" w:hanging="316"/>
        <w:spacing w:after="0" w:line="306" w:lineRule="auto"/>
        <w:tabs>
          <w:tab w:leader="none" w:pos="635" w:val="left"/>
        </w:tabs>
        <w:numPr>
          <w:ilvl w:val="0"/>
          <w:numId w:val="4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adoption of our Nautilus Platform by providing the life sciences industry with access to the proteome. </w:t>
      </w:r>
      <w:r>
        <w:rPr>
          <w:rFonts w:ascii="Arial" w:cs="Arial" w:eastAsia="Arial" w:hAnsi="Arial"/>
          <w:sz w:val="15"/>
          <w:szCs w:val="15"/>
          <w:color w:val="auto"/>
        </w:rPr>
        <w:t>We believe our Nautilus Platform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 with Genentech), academic institutions and research organizations where we aim to jointly publish data and validate our Nautilus Platform, followed by a pre-sales or early access program to drive awareness and demand, and finally culminating in a full commercial launch.</w:t>
      </w:r>
    </w:p>
    <w:p>
      <w:pPr>
        <w:spacing w:after="0" w:line="103" w:lineRule="exact"/>
        <w:rPr>
          <w:rFonts w:ascii="Arial" w:cs="Arial" w:eastAsia="Arial" w:hAnsi="Arial"/>
          <w:sz w:val="15"/>
          <w:szCs w:val="15"/>
          <w:color w:val="auto"/>
        </w:rPr>
      </w:pPr>
    </w:p>
    <w:p>
      <w:pPr>
        <w:ind w:left="640" w:hanging="316"/>
        <w:spacing w:after="0" w:line="249"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42" w:lineRule="exact"/>
        <w:rPr>
          <w:rFonts w:ascii="Arial" w:cs="Arial" w:eastAsia="Arial" w:hAnsi="Arial"/>
          <w:sz w:val="18"/>
          <w:szCs w:val="18"/>
          <w:color w:val="auto"/>
        </w:rPr>
      </w:pPr>
    </w:p>
    <w:p>
      <w:pPr>
        <w:ind w:left="640" w:right="60" w:hanging="316"/>
        <w:spacing w:after="0" w:line="309" w:lineRule="auto"/>
        <w:tabs>
          <w:tab w:leader="none" w:pos="635" w:val="left"/>
        </w:tabs>
        <w:numPr>
          <w:ilvl w:val="0"/>
          <w:numId w:val="40"/>
        </w:numPr>
        <w:rPr>
          <w:rFonts w:ascii="Arial" w:cs="Arial" w:eastAsia="Arial" w:hAnsi="Arial"/>
          <w:sz w:val="15"/>
          <w:szCs w:val="15"/>
          <w:color w:val="auto"/>
        </w:rPr>
      </w:pPr>
      <w:r>
        <w:rPr>
          <w:rFonts w:ascii="Arial" w:cs="Arial" w:eastAsia="Arial" w:hAnsi="Arial"/>
          <w:sz w:val="15"/>
          <w:szCs w:val="15"/>
          <w:b w:val="1"/>
          <w:bCs w:val="1"/>
          <w:i w:val="1"/>
          <w:iCs w:val="1"/>
          <w:color w:val="auto"/>
        </w:rPr>
        <w:t>Multiple pathways to build and expand our manufacturing capacity to support our commercial launch and the sustained growth of our business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technology is comprised of many readily available component parts that help to 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98" w:lineRule="exact"/>
        <w:rPr>
          <w:rFonts w:ascii="Arial" w:cs="Arial" w:eastAsia="Arial" w:hAnsi="Arial"/>
          <w:sz w:val="15"/>
          <w:szCs w:val="15"/>
          <w:color w:val="auto"/>
        </w:rPr>
      </w:pPr>
    </w:p>
    <w:p>
      <w:pPr>
        <w:ind w:left="640" w:right="40" w:hanging="316"/>
        <w:spacing w:after="0" w:line="309" w:lineRule="auto"/>
        <w:tabs>
          <w:tab w:leader="none" w:pos="635" w:val="left"/>
        </w:tabs>
        <w:numPr>
          <w:ilvl w:val="0"/>
          <w:numId w:val="4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5"/>
          <w:szCs w:val="15"/>
          <w:color w:val="auto"/>
        </w:rPr>
        <w:t>Our Nautilus Platform is compatible with a wide variety of protein affinity binding reagents, which we believe will allow us to create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98" w:lineRule="exact"/>
        <w:rPr>
          <w:rFonts w:ascii="Arial" w:cs="Arial" w:eastAsia="Arial" w:hAnsi="Arial"/>
          <w:sz w:val="15"/>
          <w:szCs w:val="15"/>
          <w:color w:val="auto"/>
        </w:rPr>
      </w:pPr>
    </w:p>
    <w:p>
      <w:pPr>
        <w:ind w:left="640" w:right="120" w:hanging="316"/>
        <w:spacing w:after="0" w:line="265"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fulsome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8"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8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8" w:lineRule="exact"/>
        <w:rPr>
          <w:sz w:val="20"/>
          <w:szCs w:val="20"/>
          <w:color w:val="auto"/>
        </w:rPr>
      </w:pPr>
    </w:p>
    <w:p>
      <w:pPr>
        <w:ind w:left="640" w:right="38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Better understanding of biology</w:t>
      </w:r>
      <w:r>
        <w:rPr>
          <w:rFonts w:ascii="Arial" w:cs="Arial" w:eastAsia="Arial" w:hAnsi="Arial"/>
          <w:sz w:val="18"/>
          <w:szCs w:val="18"/>
          <w:color w:val="auto"/>
        </w:rPr>
        <w:t>. 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2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rarest proteins involved in disease may increase the likelihood of identifying new drug targets.</w:t>
      </w:r>
    </w:p>
    <w:p>
      <w:pPr>
        <w:spacing w:after="0" w:line="127"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stratification. The separation of patients into groups with similar molecular features that may be more likely to respond to specific therapeutic treatments.</w:t>
      </w:r>
    </w:p>
    <w:p>
      <w:pPr>
        <w:spacing w:after="0" w:line="127"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 the efficacy and safety of ongoing treatments.</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before they develop.</w:t>
      </w:r>
    </w:p>
    <w:p>
      <w:pPr>
        <w:spacing w:after="0" w:line="128" w:lineRule="exact"/>
        <w:rPr>
          <w:sz w:val="20"/>
          <w:szCs w:val="20"/>
          <w:color w:val="auto"/>
        </w:rPr>
      </w:pPr>
    </w:p>
    <w:p>
      <w:pPr>
        <w:ind w:right="360" w:firstLine="318"/>
        <w:spacing w:after="0" w:line="294"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16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Since 2002, global R&amp;D expenditure has increased close to three-fold and is expected to reach approximately $230 billion by 2026 according to EvaluatePharma.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return on R&amp;D to less than 2% in 2019 for the 12 leading biopharmaceutical companies analyzed in a report by the Deloitte Center for Health Solutions.</w:t>
      </w:r>
    </w:p>
    <w:p>
      <w:pPr>
        <w:spacing w:after="0" w:line="199" w:lineRule="exact"/>
        <w:rPr>
          <w:sz w:val="20"/>
          <w:szCs w:val="20"/>
          <w:color w:val="auto"/>
        </w:rPr>
      </w:pPr>
    </w:p>
    <w:p>
      <w:pPr>
        <w:ind w:right="320" w:firstLine="318"/>
        <w:spacing w:after="0" w:line="294" w:lineRule="auto"/>
        <w:rPr>
          <w:sz w:val="20"/>
          <w:szCs w:val="20"/>
          <w:color w:val="auto"/>
        </w:rPr>
      </w:pPr>
      <w:r>
        <w:rPr>
          <w:rFonts w:ascii="Arial" w:cs="Arial" w:eastAsia="Arial" w:hAnsi="Arial"/>
          <w:sz w:val="17"/>
          <w:szCs w:val="17"/>
          <w:color w:val="auto"/>
        </w:rPr>
        <w:t>Currently, 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0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29" w:lineRule="exact"/>
        <w:rPr>
          <w:sz w:val="20"/>
          <w:szCs w:val="20"/>
          <w:color w:val="auto"/>
        </w:rPr>
      </w:pPr>
    </w:p>
    <w:p>
      <w:pPr>
        <w:ind w:right="520" w:firstLine="318"/>
        <w:spacing w:after="0" w:line="252"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132"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1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41"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2793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5018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111760</wp:posOffset>
            </wp:positionV>
            <wp:extent cx="5250180" cy="23723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5018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4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997585</wp:posOffset>
            </wp:positionV>
            <wp:extent cx="5241925" cy="2700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24192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6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Mass Spectrometry-based Approaches</w:t>
      </w:r>
    </w:p>
    <w:p>
      <w:pPr>
        <w:spacing w:after="0" w:line="164"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1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its importance in biology and drug development, and the proteomics research marketplace is estimated to have over 16,000 installed mass spectrometry systems today.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64"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single-molecule level today.</w:t>
      </w:r>
    </w:p>
    <w:p>
      <w:pPr>
        <w:spacing w:after="0" w:line="95" w:lineRule="exact"/>
        <w:rPr>
          <w:sz w:val="20"/>
          <w:szCs w:val="20"/>
          <w:color w:val="auto"/>
        </w:rPr>
      </w:pPr>
    </w:p>
    <w:p>
      <w:pPr>
        <w:jc w:val="center"/>
        <w:ind w:right="8820"/>
        <w:spacing w:after="0"/>
        <w:rPr>
          <w:sz w:val="20"/>
          <w:szCs w:val="20"/>
          <w:color w:val="auto"/>
        </w:rPr>
      </w:pPr>
      <w:r>
        <w:rPr>
          <w:rFonts w:ascii="Arial" w:cs="Arial" w:eastAsia="Arial" w:hAnsi="Arial"/>
          <w:sz w:val="17"/>
          <w:szCs w:val="17"/>
          <w:b w:val="1"/>
          <w:bCs w:val="1"/>
          <w:color w:val="auto"/>
        </w:rPr>
        <w:t>THE NAUTILUS APPROACH</w:t>
      </w:r>
    </w:p>
    <w:p>
      <w:pPr>
        <w:spacing w:after="0" w:line="182"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6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43"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proteoforms. As such, we designed the Nautilus Platform – from the ground up – to accomplish the following objectives: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640" w:type="dxa"/>
            <w:vAlign w:val="bottom"/>
          </w:tcPr>
          <w:p>
            <w:pPr>
              <w:spacing w:after="0"/>
              <w:rPr>
                <w:sz w:val="19"/>
                <w:szCs w:val="19"/>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Nautilus Platform Benefit:</w:t>
            </w:r>
          </w:p>
        </w:tc>
      </w:tr>
      <w:tr>
        <w:trPr>
          <w:trHeight w:val="24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Easy-to-Use</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Any Lab Can Run It</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Ultra-sensitive</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Single-Molecule Sensitivity</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Reproducible and Robust</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Complete Data Generation</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 Missing Data Run-to-Run</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Rapid Run Time</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Integrated System</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Sample to Insight Solution</w:t>
            </w:r>
          </w:p>
        </w:tc>
      </w:tr>
    </w:tbl>
    <w:p>
      <w:pPr>
        <w:spacing w:after="0" w:line="24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64" w:lineRule="exact"/>
        <w:rPr>
          <w:sz w:val="20"/>
          <w:szCs w:val="20"/>
          <w:color w:val="auto"/>
        </w:rPr>
      </w:pPr>
    </w:p>
    <w:p>
      <w:pPr>
        <w:ind w:right="380" w:firstLine="318"/>
        <w:spacing w:after="0" w:line="271" w:lineRule="auto"/>
        <w:rPr>
          <w:sz w:val="20"/>
          <w:szCs w:val="20"/>
          <w:color w:val="auto"/>
        </w:rPr>
      </w:pPr>
      <w:r>
        <w:rPr>
          <w:rFonts w:ascii="Arial" w:cs="Arial" w:eastAsia="Arial" w:hAnsi="Arial"/>
          <w:sz w:val="17"/>
          <w:szCs w:val="17"/>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Single-Molecule Protein Flow Cell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Proteomic Analysis System: An Integrated Multi-cycle Optical and Fluidics Instrument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Key Innovations</w:t>
      </w:r>
    </w:p>
    <w:p>
      <w:pPr>
        <w:spacing w:after="0" w:line="164"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Single-Molecule Protein Flow Cell</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1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1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single-molecule detection approach would be required to overcome a problem that has long been a barrier to major advancement in the field. Additionally, transitioning from bulk protein measurements to single-molecule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single-molecule counters are by definition the most sensitive detection modalities available.</w:t>
      </w:r>
    </w:p>
    <w:p>
      <w:pPr>
        <w:spacing w:after="0" w:line="132"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To break through these barriers, we have designed our Nautilus Platform to measure billions of individual protein molecules at a time, in a massively parallel and efficient workflow, and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70485</wp:posOffset>
            </wp:positionV>
            <wp:extent cx="5224780" cy="20021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24780"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single-molecule protein array (as seen in the below illustration). The attachment between the scaffold and the nanoarray surface is extremely robust, enabling scaffolds to persist through extensive reagent washing across many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Single-Molecule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93055" cy="2557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93055" cy="255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Proteomic Analysis System for the analysis and quantitation of the captured protein library.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19"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Nautilus Single-Molecule Protein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88900</wp:posOffset>
            </wp:positionV>
            <wp:extent cx="3786505" cy="2953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8650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Proteomic Analysis System: An Integrated Multi-cycle Optical and Fluidics Instrument</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82" w:name="page83"/>
    <w:bookmarkEnd w:id="8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111760</wp:posOffset>
            </wp:positionV>
            <wp:extent cx="5468620" cy="3171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6862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To achieve extreme sensitivity and scale, we have designed a novel instrument that integrates reagent fluidics with a sensitive high-resolution optical imaging system to cyclically measure all single-molecule proteins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43"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300 cycle run will generate approximately 20 terabytes of data, which is then compressed to a digital binding matrix for downstream analysis by our cloud-based software-as-a-service, SaaS, analytics suite.</w:t>
      </w:r>
    </w:p>
    <w:p>
      <w:pPr>
        <w:spacing w:after="0" w:line="138"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41" w:lineRule="exact"/>
        <w:rPr>
          <w:sz w:val="20"/>
          <w:szCs w:val="20"/>
          <w:color w:val="auto"/>
        </w:rPr>
      </w:pPr>
    </w:p>
    <w:p>
      <w:pPr>
        <w:jc w:val="both"/>
        <w:ind w:right="380" w:firstLine="318"/>
        <w:spacing w:after="0" w:line="330" w:lineRule="auto"/>
        <w:rPr>
          <w:sz w:val="20"/>
          <w:szCs w:val="20"/>
          <w:color w:val="auto"/>
        </w:rPr>
      </w:pPr>
      <w:r>
        <w:rPr>
          <w:rFonts w:ascii="Arial" w:cs="Arial" w:eastAsia="Arial" w:hAnsi="Arial"/>
          <w:sz w:val="15"/>
          <w:szCs w:val="15"/>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35"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The use of low specificity affinity reagents allows our Nautilus Platform to more generally cover wider range of weak binding events over many protein molecules, massively in parallel. This use is the complete opposite of traditional high specificity affinity reagents with strong binding events to a single protein of interest. Our Nautilus Platform is designed to use this broad information from low specificity reagents, which we refer to as multi-affinity probes, to decode protein identity over multiple cycles of interactions across the entire set of proteins on the flow cell. We have developed a proprietary process for high throughput generation and characterization of multi-affinity probes, and these probes will be one of the key reagent consumables used in our Nautilus Platform for broad profiling of the proteome.</w:t>
      </w:r>
    </w:p>
    <w:p>
      <w:pPr>
        <w:spacing w:after="0" w:line="146"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6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6"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133985</wp:posOffset>
            </wp:positionV>
            <wp:extent cx="5468620" cy="29025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8620"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Source: Internal Data</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Using highly specific affinity reagent probes would take tens-of-thousands of probes and cycles to measure the whole proteome, but using our machine learning protein identification analysis, it is estimated to be capable of comprehensively decoding the proteome within approximately three hundred cycles.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64"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5" w:name="page86"/>
    <w:bookmarkEnd w:id="85"/>
    <w:p>
      <w:pPr>
        <w:spacing w:after="0" w:line="11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88900</wp:posOffset>
            </wp:positionV>
            <wp:extent cx="5469255" cy="7321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69255"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1 – Sample Preparation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Nautilus sample preparation process attaches a label to extracted proteins and then attaches them to a proprietary scaffold to isolate them individually, thereby creating a single-molecule protein library. This process was designed to be simple, robust, and rapid. Internal tests demonstrate that substantially all of the proteins are attached to the scaffold within two hours, creating the prepared protein library.</w:t>
      </w:r>
    </w:p>
    <w:p>
      <w:pPr>
        <w:spacing w:after="0" w:line="135"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2 – Sample Deposition onto the Flow Cell</w:t>
      </w:r>
    </w:p>
    <w:p>
      <w:pPr>
        <w:spacing w:after="0" w:line="164"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84"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164"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Once the proteins are deposited onto the flow cell, it is then loaded into the Proteomic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84"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4 – Processing of Digitalized Proteomic Data</w:t>
      </w:r>
    </w:p>
    <w:p>
      <w:pPr>
        <w:spacing w:after="0" w:line="164" w:lineRule="exact"/>
        <w:rPr>
          <w:sz w:val="20"/>
          <w:szCs w:val="20"/>
          <w:color w:val="auto"/>
        </w:rPr>
      </w:pPr>
    </w:p>
    <w:p>
      <w:pPr>
        <w:jc w:val="both"/>
        <w:ind w:right="460" w:firstLine="318"/>
        <w:spacing w:after="0" w:line="255" w:lineRule="auto"/>
        <w:rPr>
          <w:sz w:val="20"/>
          <w:szCs w:val="20"/>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5"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Simple and Robust Sample Handling</w:t>
      </w:r>
    </w:p>
    <w:p>
      <w:pPr>
        <w:spacing w:after="0" w:line="164"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result is a process that is expected to effectively prepare a sample into a library ready to load on the flow cell in approximately 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111760</wp:posOffset>
            </wp:positionV>
            <wp:extent cx="2524125" cy="2524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4125"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111760</wp:posOffset>
            </wp:positionV>
            <wp:extent cx="4627880" cy="29197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27880"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7"/>
          <w:szCs w:val="17"/>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Proteomic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84800" cy="22802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8480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64" w:lineRule="exact"/>
        <w:rPr>
          <w:sz w:val="20"/>
          <w:szCs w:val="20"/>
          <w:color w:val="auto"/>
        </w:rPr>
      </w:pPr>
    </w:p>
    <w:p>
      <w:pPr>
        <w:ind w:firstLine="318"/>
        <w:spacing w:after="0" w:line="273" w:lineRule="auto"/>
        <w:rPr>
          <w:sz w:val="20"/>
          <w:szCs w:val="20"/>
          <w:color w:val="auto"/>
        </w:rPr>
      </w:pPr>
      <w:r>
        <w:rPr>
          <w:rFonts w:ascii="Arial" w:cs="Arial" w:eastAsia="Arial" w:hAnsi="Arial"/>
          <w:sz w:val="16"/>
          <w:szCs w:val="16"/>
          <w:color w:val="auto"/>
        </w:rPr>
        <w:t>Our Nautilus Platform is designed both to be extremely sensitive (by virtue of being a single-molecule platform) and to have an extremely wide dynamic range of detection (by virtue of measuring a very large number of molecules). In single-molecule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0"/>
          <w:szCs w:val="20"/>
          <w:color w:val="auto"/>
          <w:vertAlign w:val="superscript"/>
        </w:rPr>
        <w:t>16</w:t>
      </w:r>
      <w:r>
        <w:rPr>
          <w:rFonts w:ascii="Arial" w:cs="Arial" w:eastAsia="Arial" w:hAnsi="Arial"/>
          <w:sz w:val="16"/>
          <w:szCs w:val="16"/>
          <w:color w:val="auto"/>
        </w:rPr>
        <w:t>).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Proteomic Analysis System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2"/>
          <w:szCs w:val="22"/>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87630</wp:posOffset>
            </wp:positionV>
            <wp:extent cx="2692400" cy="2440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92400" cy="244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111760</wp:posOffset>
            </wp:positionV>
            <wp:extent cx="5468620" cy="2271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6862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single-molecule level. We do this by measuring individual proteins at</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89" w:name="page90"/>
    <w:bookmarkEnd w:id="89"/>
    <w:p>
      <w:pPr>
        <w:spacing w:after="0" w:line="119"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each specific post-translational modification site over multiple cycles, each cycle targeting a different specific site or 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-190500</wp:posOffset>
            </wp:positionV>
            <wp:extent cx="279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69850</wp:posOffset>
            </wp:positionV>
            <wp:extent cx="5300345" cy="13290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0034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111760</wp:posOffset>
            </wp:positionV>
            <wp:extent cx="3365500" cy="2355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0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Proteomic Analysis System has generated all of our internal data to date, and as of the beginning of 2021 we are continuing the development process to optimize, improve upon, and validate the final designs, formulations, protocols, manufacturing processes, and software code comprising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19"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single-molecule landing pads, we plan to further optimize the landing pad spacing, density, manufacturing process and chemistries of the first commercially available flow cells. We also intend to focus on the completion of the final engineering design of our Proteomic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Proteomic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Proteomic Analysis System performance.</w:t>
      </w:r>
    </w:p>
    <w:p>
      <w:pPr>
        <w:spacing w:after="0" w:line="104"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believe that our Nautilus Platform technology is designed to represent one of the first truly novel technologies for the detection and quantitation of proteins and proteoforms by leveraging the creation of our single-molecule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98425</wp:posOffset>
            </wp:positionV>
            <wp:extent cx="5468620" cy="2355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6862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On one end of the spectrum (above left), our technology is designed to harness the power of low specificity multi-affinity binding reagents that will potentially allow us to detect substantially all of the proteome. On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1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93"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color w:val="auto"/>
        </w:rPr>
        <w:t>Further, we believe speed, scale, and single-molecule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0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9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Nautilus Platform represents an entirely new single-molecule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Biomarker Discovery</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It has been published that approximately 95% of FDA-approved drug targets are proteins. Currently, FDA-approved drugs are targeting 754 separate human proteins and there are 4,009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3" w:name="page94"/>
    <w:bookmarkEnd w:id="9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0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64"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41"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2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accessing deep proteomic profiling data to identify biomarkers that stratify patients for clinical trials and improve drug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6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Our primary business model is anticipated to be focused on the commercialization of our Nautilus Platform through the sale of instrumentation, consumables, and software. Our Proteomic Analysis System is our detection instrument at the center of our product suite, supported by reagent consumables for the preparation and analysis of proteins, and followed by sophisticated machine learning software architecture for the analysis of our data via, or SaaS, in the cloud.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Proteomic Analysis System &amp; Reagents</w:t>
      </w:r>
    </w:p>
    <w:p>
      <w:pPr>
        <w:spacing w:after="0" w:line="164"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Our Proteomic Analysis System is a high-resolution optical imaging system coupled with an integrated fluidics system to process multi-cycle affinity reagent binding and imaging runs. System run reagents are expected to be supplied in a number of product configurations including full length proteomic profiling kits, targeted molecular disease analysis kits, and target protein proteoform mapping kits. Total instrument run time is based on total cycle number and is expected to target between 1 and 3 days. Standard system reagent kits are expected to contain Nautilus manufactured and supplied affinity reagents, buffers, and flow cells required to perform a complete proteomic analysis run. Additionally, affinity reagent labeling kits are expected to be supplied to enable customers to label their own in-house developed affinity reagents to be compatible with Nautilus chemistry for use on the system.</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proteomic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Our machine learning protein identification analysis software suite also is expected to be utilized as the secondary analysis engine to decode the Proteomic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6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The primary business model we intend to implement is to directly commercialize our entire end-to-end Nautilus Platform technology solution through the sale and installation of our Proteomic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believe a comprehensive solution could offer a compelling value proposition across multiple market segments due to the substantial enhancements it will create in speed and scale of data creation, single-molecule quantitation, sensitivity, and reproducibility.</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Proteomic Analysis System is expected to be priced in-line with mass spectrometry peptide detection equipment, or high-throughput NGS equipment, making the capital expense for our system within the budget for our initial customers. Our consumables are expected be priced in-line with NGS consumable kits and flow cell system run reagents. We intend to launch our reagent kits with a developed sample multiplexing run option to further drive price-per-sample cost reductions into a range that enables very high-throughput applications. We expect the high-throughput run configurations and economics to trigger the initiation of large-scale research projects, and also to be more compatible with centralized core lab facility operations that support data generation across an entire organization.</w:t>
      </w:r>
    </w:p>
    <w:p>
      <w:pPr>
        <w:spacing w:after="0" w:line="143"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Proteomic Analysis System. We further believe that once our Proteomic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pre-and post- Proteomic Analysis System launch.</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We expect our Proteomic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64"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Early Access &amp; POC (Proof of Concept)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Proteomic Analysis System Launch &amp; Commercial Scale Up.</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19" w:lineRule="exact"/>
        <w:rPr>
          <w:sz w:val="20"/>
          <w:szCs w:val="20"/>
          <w:color w:val="auto"/>
        </w:rPr>
      </w:pPr>
    </w:p>
    <w:p>
      <w:pPr>
        <w:ind w:right="940"/>
        <w:spacing w:after="0" w:line="264" w:lineRule="auto"/>
        <w:rPr>
          <w:sz w:val="20"/>
          <w:szCs w:val="20"/>
          <w:color w:val="auto"/>
        </w:rPr>
      </w:pPr>
      <w:r>
        <w:rPr>
          <w:rFonts w:ascii="Arial" w:cs="Arial" w:eastAsia="Arial" w:hAnsi="Arial"/>
          <w:sz w:val="18"/>
          <w:szCs w:val="18"/>
          <w:color w:val="auto"/>
        </w:rPr>
        <w:t>applications towards longer runs with increasing data output, we believe each of the milestones on our development plan are potentially new and unprecedented advancements we can leverage to build commercial momentum.</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111760</wp:posOffset>
            </wp:positionV>
            <wp:extent cx="5199380" cy="17672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99380" cy="176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Collaborations &amp; Partnerships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intend to launch a formal partnering program as early as this year,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Early Access and Proof of Concept (POC) Programs</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Following the important Collaboration and Partnership work necessary to lay a foundation of publications describing our technology and the initial product applications, we believe we will have a body of scientific evidence sufficient to build demand for our Nautilus Platform. We then intend to initiate pre-sales activities, which include the initiation of an Early Access Program that is expected to ship pre-commercial launch Proteomic Analysis Systems to a select group of customer sites. Our goal in the planned Early Access Program is to establish our early adoption group of customers that will serve as reference sites ahead of our broader commercial launch, and to integrate the learnings from our system performance outside of our own laboratories to improve the performance and robustness of our system and process design. In addition to the Early Access Program where we plan to have customers running our systems in their laboratories, we intend to make available the expanded data production capacity of our internal Proteomic Analysis Systems to launch POC programs with a wider group of targeted first commercial customers. The planned POC programs are intended to be small-scale paid service projects that will give new potential customers access to our Proteomic Analysis System data to begin their evaluation process and streamline the decision to purchase a Proteomic Analysis System directly. We anticipate offering many POC programs leading up to full system launch, with the overall objective of seeding the market with pre-orders and creating a backlog of sold Proteomic Analysis Systems before our official system launch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7" w:name="page98"/>
    <w:bookmarkEnd w:id="9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Proteomic Analysis System Launch and Commercial Scale Up</w:t>
      </w:r>
    </w:p>
    <w:p>
      <w:pPr>
        <w:spacing w:after="0" w:line="16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At full commercial Proteomic Analysis System launch, we expect to conclude our Early Access Program, but maintain our POC program offering for an extended period of time to continue to drive sales. Our Proteomic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Proteomic Analysis System commercial launch, we expect future system upgrades and enhancements periodically over time that will further drive discovery potential and our business with each incremental advancement.</w:t>
      </w:r>
    </w:p>
    <w:p>
      <w:pPr>
        <w:spacing w:after="0" w:line="128"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04"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Demonstrating the ability to unlock new sources of primary biological information with proteoform mapping and rare protein detection;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Providing immense data production capacity, driving discovery by enabling large scale studies and building our database to become a strategic asset;</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Genentech Partnership</w:t>
      </w:r>
    </w:p>
    <w:p>
      <w:pPr>
        <w:spacing w:after="0" w:line="164"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Proteomic Analysis System to analyze and map the proteoform landscape of a Genentech protein target of interest. We aim to submit results for publication in late 2021.</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We believe that if they win, we all win.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64" w:lineRule="exact"/>
        <w:rPr>
          <w:sz w:val="20"/>
          <w:szCs w:val="20"/>
          <w:color w:val="auto"/>
        </w:rPr>
      </w:pPr>
    </w:p>
    <w:p>
      <w:pPr>
        <w:jc w:val="both"/>
        <w:ind w:right="20" w:firstLine="318"/>
        <w:spacing w:after="0" w:line="330" w:lineRule="auto"/>
        <w:rPr>
          <w:sz w:val="20"/>
          <w:szCs w:val="20"/>
          <w:color w:val="auto"/>
        </w:rPr>
      </w:pPr>
      <w:r>
        <w:rPr>
          <w:rFonts w:ascii="Arial" w:cs="Arial" w:eastAsia="Arial" w:hAnsi="Arial"/>
          <w:sz w:val="15"/>
          <w:szCs w:val="15"/>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19"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7"/>
          <w:szCs w:val="17"/>
          <w:i w:val="1"/>
          <w:iCs w:val="1"/>
          <w:color w:val="auto"/>
        </w:rPr>
        <w:t>Risk Factors— Risks Related to our Business.</w:t>
      </w:r>
      <w:r>
        <w:rPr>
          <w:rFonts w:ascii="Arial" w:cs="Arial" w:eastAsia="Arial" w:hAnsi="Arial"/>
          <w:sz w:val="17"/>
          <w:szCs w:val="17"/>
          <w:color w:val="auto"/>
        </w:rPr>
        <w: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Instrumentation</w:t>
      </w:r>
    </w:p>
    <w:p>
      <w:pPr>
        <w:spacing w:after="0" w:line="164"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Our Proteomic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28" w:lineRule="exact"/>
        <w:rPr>
          <w:sz w:val="20"/>
          <w:szCs w:val="20"/>
          <w:color w:val="auto"/>
        </w:rPr>
      </w:pPr>
    </w:p>
    <w:p>
      <w:pPr>
        <w:ind w:right="280" w:firstLine="318"/>
        <w:spacing w:after="0" w:line="271" w:lineRule="auto"/>
        <w:rPr>
          <w:sz w:val="20"/>
          <w:szCs w:val="20"/>
          <w:color w:val="auto"/>
        </w:rPr>
      </w:pPr>
      <w:r>
        <w:rPr>
          <w:rFonts w:ascii="Arial" w:cs="Arial" w:eastAsia="Arial" w:hAnsi="Arial"/>
          <w:sz w:val="17"/>
          <w:szCs w:val="17"/>
          <w:color w:val="auto"/>
        </w:rPr>
        <w:t>However, we believe we are substantially differentiated from our competitors for many reasons, including our novel approach to high throughput and massively parallel proteomic technology, the unique and proprietary nature of our technologies,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07"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19"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color w:val="auto"/>
        </w:rPr>
        <w:t>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58"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07" w:lineRule="exact"/>
        <w:rPr>
          <w:sz w:val="20"/>
          <w:szCs w:val="20"/>
          <w:color w:val="auto"/>
        </w:rPr>
      </w:pPr>
    </w:p>
    <w:p>
      <w:pPr>
        <w:ind w:right="280" w:firstLine="318"/>
        <w:spacing w:after="0" w:line="265"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5" w:lineRule="exact"/>
        <w:rPr>
          <w:sz w:val="20"/>
          <w:szCs w:val="20"/>
          <w:color w:val="auto"/>
        </w:rPr>
      </w:pPr>
    </w:p>
    <w:p>
      <w:pPr>
        <w:ind w:right="220" w:firstLine="318"/>
        <w:spacing w:after="0" w:line="264"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1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0"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32"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0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2"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0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19"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43"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4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Patents</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2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June 30, 2021, we owned three issued U.S. patents, zero allowed U.S. patent, more than six pending U.S. non-provisional patent applications, more than seven pending U.S. provisional patent applications, and more than fourty pending foreign patent applications, including five international patent applications filed under the Patent Cooperation Treaty (PCT application). Our owned patents and patent applications, if issued, are expected to expire between 2037 and 2042, in each case absent any patent term adjustments or extensions and assuming payment of all appropriate maintenance, renewal, annuity, or other governmental fees.</w:t>
      </w:r>
    </w:p>
    <w:p>
      <w:pPr>
        <w:spacing w:after="0" w:line="141"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 Secrets</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Trademarks</w:t>
      </w:r>
    </w:p>
    <w:p>
      <w:pPr>
        <w:spacing w:after="0" w:line="164"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As of June 30, 2021, we owned approximately six registered trademarks in China, the United Kingdom, and Europe. In addition, we have four pending trademark applications directed to different classes in China. Further, we have two pending trademark applications in U.S. and Canada.</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0" w:lineRule="exact"/>
        <w:rPr>
          <w:sz w:val="20"/>
          <w:szCs w:val="20"/>
          <w:color w:val="auto"/>
        </w:rPr>
      </w:pPr>
    </w:p>
    <w:p>
      <w:pPr>
        <w:jc w:val="both"/>
        <w:ind w:right="40" w:firstLine="318"/>
        <w:spacing w:after="0" w:line="252" w:lineRule="auto"/>
        <w:rPr>
          <w:sz w:val="20"/>
          <w:szCs w:val="20"/>
          <w:color w:val="auto"/>
        </w:rPr>
      </w:pPr>
      <w:r>
        <w:rPr>
          <w:rFonts w:ascii="Arial" w:cs="Arial" w:eastAsia="Arial" w:hAnsi="Arial"/>
          <w:sz w:val="18"/>
          <w:szCs w:val="18"/>
          <w:color w:val="auto"/>
        </w:rPr>
        <w:t>In December 2020, we entered into a pilot study Research Collaboration Agreement with Genentech, Inc. Under this agreement, a research collaboration team is using the Nautilus Platform to analyze and map the proteoform landscape of a Genentech protein target of interest. This agreement is for research only and Nautilus does not expect to generate any revenue under the agreement. The research collaboration team is aiming to submit its results for publication late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Ruedi Aebersold, Ph.D.</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Lee Hartwell, Ph.D.</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Joshua LaBaer, MD, Ph.D.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Emma Lundberg, Ph.D.</w:t>
      </w:r>
    </w:p>
    <w:p>
      <w:pPr>
        <w:spacing w:after="0" w:line="164" w:lineRule="exact"/>
        <w:rPr>
          <w:sz w:val="20"/>
          <w:szCs w:val="20"/>
          <w:color w:val="auto"/>
        </w:rPr>
      </w:pPr>
    </w:p>
    <w:p>
      <w:pPr>
        <w:jc w:val="both"/>
        <w:ind w:right="500" w:firstLine="318"/>
        <w:spacing w:after="0" w:line="255" w:lineRule="auto"/>
        <w:rPr>
          <w:sz w:val="20"/>
          <w:szCs w:val="20"/>
          <w:color w:val="auto"/>
        </w:rPr>
      </w:pPr>
      <w:r>
        <w:rPr>
          <w:rFonts w:ascii="Arial" w:cs="Arial" w:eastAsia="Arial" w:hAnsi="Arial"/>
          <w:sz w:val="18"/>
          <w:szCs w:val="18"/>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As of June 30, 2021, we had 89 employees, all based in the United States, many of whom hold doctorate degrees. Of these employees, 66 were engaged in research and development activities, and 23 were engaged in general and administrative activities. None of our employees are represented by a labor union or covered under a collective bargaining agreement.</w:t>
      </w:r>
    </w:p>
    <w:p>
      <w:pPr>
        <w:spacing w:after="0" w:line="135" w:lineRule="exact"/>
        <w:rPr>
          <w:sz w:val="20"/>
          <w:szCs w:val="20"/>
          <w:color w:val="auto"/>
        </w:rPr>
      </w:pPr>
    </w:p>
    <w:p>
      <w:pPr>
        <w:ind w:right="400" w:firstLine="318"/>
        <w:spacing w:after="0" w:line="271"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0"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Our corporate headquarters is located in Seattle, Washington and consists of approximately 2,542 square feet of leased office space. Our operating lease in San Carlos, California initially consisted of approximately 25,879 square feet but was subsequently amended to consist of approximately 22,405 square feet of leased laboratory space. The lease in Seattle, Washington expired in April 2021 and will be renewed month to month while the Company negotiates a new lease, and the lease in San Carlos, California will expire no later than December 15, 2021.</w:t>
      </w:r>
    </w:p>
    <w:p>
      <w:pPr>
        <w:spacing w:after="0" w:line="12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December 2020, we entered into a new lease in San Carlos, California for ten years commencing in September 2021 and expiring in September 2031, under which we will lease approximately 45,338 square feet of space. In December 2020, we also entered into a temporary office space lease agreement in San Carlos, California commencing in February 2021 and expiring in October 2021, under which we leased approximately 10,142 square feet of space beginning in February 2021 and an additional 8,081 square feet of space beginning in April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0"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Borders>
              <w:bottom w:val="single" w:sz="8" w:color="CCEEFF"/>
            </w:tcBorders>
          </w:tcPr>
          <w:p>
            <w:pPr>
              <w:spacing w:after="0"/>
              <w:rPr>
                <w:sz w:val="16"/>
                <w:szCs w:val="16"/>
                <w:color w:val="auto"/>
              </w:rPr>
            </w:pPr>
          </w:p>
        </w:tc>
        <w:tc>
          <w:tcPr>
            <w:tcW w:w="606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spacing w:after="0"/>
              <w:rPr>
                <w:sz w:val="19"/>
                <w:szCs w:val="19"/>
                <w:color w:val="auto"/>
              </w:rPr>
            </w:pP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Sujal Patel</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Chief Executive Officer, President, Secretary, and Director</w:t>
            </w: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Scientist, Director</w:t>
            </w: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Anna Mowry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Nick Nelson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 Senior Vice President, Business Development</w:t>
            </w: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Subra Sankar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Senior Vice President, Product Development</w:t>
            </w: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Murphy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226"/>
        </w:trPr>
        <w:tc>
          <w:tcPr>
            <w:tcW w:w="444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Michael Altman</w:t>
            </w:r>
            <w:r>
              <w:rPr>
                <w:rFonts w:ascii="Arial" w:cs="Arial" w:eastAsia="Arial" w:hAnsi="Arial"/>
                <w:sz w:val="22"/>
                <w:szCs w:val="22"/>
                <w:color w:val="auto"/>
                <w:vertAlign w:val="superscript"/>
              </w:rPr>
              <w:t>(2)</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Melissa Epperly</w:t>
            </w:r>
            <w:r>
              <w:rPr>
                <w:rFonts w:ascii="Arial" w:cs="Arial" w:eastAsia="Arial" w:hAnsi="Arial"/>
                <w:sz w:val="22"/>
                <w:szCs w:val="22"/>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Matthew McIlwain</w:t>
            </w:r>
            <w:r>
              <w:rPr>
                <w:rFonts w:ascii="Arial" w:cs="Arial" w:eastAsia="Arial" w:hAnsi="Arial"/>
                <w:sz w:val="22"/>
                <w:szCs w:val="22"/>
                <w:color w:val="auto"/>
                <w:vertAlign w:val="superscript"/>
              </w:rPr>
              <w:t>(1)(3)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Farzad Nazem</w:t>
            </w:r>
            <w:r>
              <w:rPr>
                <w:rFonts w:ascii="Arial" w:cs="Arial" w:eastAsia="Arial" w:hAnsi="Arial"/>
                <w:sz w:val="22"/>
                <w:szCs w:val="22"/>
                <w:color w:val="auto"/>
                <w:vertAlign w:val="superscript"/>
              </w:rPr>
              <w:t>(2)</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Vijay Pande</w:t>
            </w:r>
            <w:r>
              <w:rPr>
                <w:rFonts w:ascii="Arial" w:cs="Arial" w:eastAsia="Arial" w:hAnsi="Arial"/>
                <w:sz w:val="22"/>
                <w:szCs w:val="22"/>
                <w:color w:val="auto"/>
                <w:vertAlign w:val="superscript"/>
              </w:rPr>
              <w:t>(3)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Matthew L. Posard</w:t>
            </w:r>
            <w:r>
              <w:rPr>
                <w:rFonts w:ascii="Arial" w:cs="Arial" w:eastAsia="Arial" w:hAnsi="Arial"/>
                <w:sz w:val="22"/>
                <w:szCs w:val="22"/>
                <w:color w:val="auto"/>
                <w:vertAlign w:val="superscript"/>
              </w:rPr>
              <w:t>(1)(2)</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4"/>
                <w:szCs w:val="24"/>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20" w:hanging="314"/>
        <w:spacing w:after="0" w:line="23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20" w:hanging="314"/>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0"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b w:val="1"/>
          <w:bCs w:val="1"/>
          <w:i w:val="1"/>
          <w:iCs w:val="1"/>
          <w:color w:val="auto"/>
        </w:rPr>
        <w:t xml:space="preserve">Sujal Patel </w:t>
      </w:r>
      <w:r>
        <w:rPr>
          <w:rFonts w:ascii="Arial" w:cs="Arial" w:eastAsia="Arial" w:hAnsi="Arial"/>
          <w:sz w:val="15"/>
          <w:szCs w:val="15"/>
          <w:color w:val="auto"/>
        </w:rPr>
        <w:t>has served as our Chief Executive Officer, President, Secretary and a member of our board of directors since June 2021. Mr. Patel co-founded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Old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04"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We believe Mr. Patel is qualified to serve on our board of directors because of his deep knowledge of our business, and strategy, and his extensive executive leadership and operational experience.</w:t>
      </w:r>
    </w:p>
    <w:p>
      <w:pPr>
        <w:spacing w:after="0" w:line="128"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b w:val="1"/>
          <w:bCs w:val="1"/>
          <w:i w:val="1"/>
          <w:iCs w:val="1"/>
          <w:color w:val="auto"/>
        </w:rPr>
        <w:t xml:space="preserve">Parag Mallick </w:t>
      </w:r>
      <w:r>
        <w:rPr>
          <w:rFonts w:ascii="Arial" w:cs="Arial" w:eastAsia="Arial" w:hAnsi="Arial"/>
          <w:sz w:val="15"/>
          <w:szCs w:val="15"/>
          <w:color w:val="auto"/>
        </w:rPr>
        <w:t>has served as our Chief Scientist and a member of our board of directors since June 2021. Dr, Mallick co-founded Old Nautilus and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19"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We believe Dr. Mallick is qualified to serve on our board of directors because of his scientific expertise and his deep understanding of our business, operations and strategy.</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Anna Mowry </w:t>
      </w:r>
      <w:r>
        <w:rPr>
          <w:rFonts w:ascii="Arial" w:cs="Arial" w:eastAsia="Arial" w:hAnsi="Arial"/>
          <w:sz w:val="17"/>
          <w:szCs w:val="17"/>
          <w:color w:val="auto"/>
        </w:rPr>
        <w:t>has served as our Chief Financial Officer and Treasurer since June 2021. Ms. Mowry served as Old Nautilus’ Chief Financial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29"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b w:val="1"/>
          <w:bCs w:val="1"/>
          <w:i w:val="1"/>
          <w:iCs w:val="1"/>
          <w:color w:val="auto"/>
        </w:rPr>
        <w:t xml:space="preserve">Nick Nelson </w:t>
      </w:r>
      <w:r>
        <w:rPr>
          <w:rFonts w:ascii="Arial" w:cs="Arial" w:eastAsia="Arial" w:hAnsi="Arial"/>
          <w:sz w:val="15"/>
          <w:szCs w:val="15"/>
          <w:color w:val="auto"/>
        </w:rPr>
        <w:t>has served as our Chief Business Officer and Senior Vice President, Business Development since June 2021. Mr Nelson served as Old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0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b w:val="1"/>
          <w:bCs w:val="1"/>
          <w:i w:val="1"/>
          <w:iCs w:val="1"/>
          <w:color w:val="auto"/>
        </w:rPr>
        <w:t xml:space="preserve">Subra Sankar </w:t>
      </w:r>
      <w:r>
        <w:rPr>
          <w:rFonts w:ascii="Arial" w:cs="Arial" w:eastAsia="Arial" w:hAnsi="Arial"/>
          <w:sz w:val="17"/>
          <w:szCs w:val="17"/>
          <w:color w:val="auto"/>
        </w:rPr>
        <w:t>has served as our Senior Vice President, Product Development since June 2021. Dr. Sankar served as Old Nautilus’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28"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b w:val="1"/>
          <w:bCs w:val="1"/>
          <w:i w:val="1"/>
          <w:iCs w:val="1"/>
          <w:color w:val="auto"/>
        </w:rPr>
        <w:t xml:space="preserve">Matt Murphy </w:t>
      </w:r>
      <w:r>
        <w:rPr>
          <w:rFonts w:ascii="Arial" w:cs="Arial" w:eastAsia="Arial" w:hAnsi="Arial"/>
          <w:sz w:val="15"/>
          <w:szCs w:val="15"/>
          <w:color w:val="auto"/>
        </w:rPr>
        <w:t>has served as our General Counsel since June 2021. Mr. Murphy served as Old Nautilus’ General Counsel from April 2021 through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0"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b w:val="1"/>
          <w:bCs w:val="1"/>
          <w:i w:val="1"/>
          <w:iCs w:val="1"/>
          <w:color w:val="auto"/>
        </w:rPr>
        <w:t xml:space="preserve">Matthew L. Posard </w:t>
      </w:r>
      <w:r>
        <w:rPr>
          <w:rFonts w:ascii="Arial" w:cs="Arial" w:eastAsia="Arial" w:hAnsi="Arial"/>
          <w:sz w:val="18"/>
          <w:szCs w:val="18"/>
          <w:color w:val="auto"/>
        </w:rPr>
        <w:t>has served on our board of directors and as Chairperson since June 2021 and served on the Old Nautilus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2019 through the closing of the Business Combination. Mr. Posard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1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DermTech (NASDAQ CM: DMTK), GALT Inc., and Stemson Therapeutics. Mr. Posard holds a B.A. in Management Science from the University of California, San Diego.</w:t>
      </w:r>
    </w:p>
    <w:p>
      <w:pPr>
        <w:spacing w:after="0" w:line="126"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We believe Mr. Posard is qualified to serve on our board of directors because of his extensive experience as an executive and serving on various boards of directors of companies in the life sciences industry.</w:t>
      </w:r>
    </w:p>
    <w:p>
      <w:pPr>
        <w:spacing w:after="0" w:line="128"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b w:val="1"/>
          <w:bCs w:val="1"/>
          <w:i w:val="1"/>
          <w:iCs w:val="1"/>
          <w:color w:val="auto"/>
        </w:rPr>
        <w:t>Michael Altman, CFA</w:t>
      </w:r>
      <w:r>
        <w:rPr>
          <w:rFonts w:ascii="Arial" w:cs="Arial" w:eastAsia="Arial" w:hAnsi="Arial"/>
          <w:sz w:val="15"/>
          <w:szCs w:val="15"/>
          <w:color w:val="auto"/>
        </w:rPr>
        <w:t>, has served on our board of directors since June 2021 and served on the ARYA board of directors from inception until the closing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Altman is qualified to serve on our board of directors because of his broad operational and transactional experience.</w:t>
      </w:r>
    </w:p>
    <w:p>
      <w:pPr>
        <w:spacing w:after="0" w:line="164"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b w:val="1"/>
          <w:bCs w:val="1"/>
          <w:i w:val="1"/>
          <w:iCs w:val="1"/>
          <w:color w:val="auto"/>
        </w:rPr>
        <w:t xml:space="preserve">Melissa Epperly </w:t>
      </w:r>
      <w:r>
        <w:rPr>
          <w:rFonts w:ascii="Arial" w:cs="Arial" w:eastAsia="Arial" w:hAnsi="Arial"/>
          <w:sz w:val="15"/>
          <w:szCs w:val="15"/>
          <w:color w:val="auto"/>
        </w:rPr>
        <w:t>has served on our board of directors since June 2021 and served on the Old Nautilus board of directors from January 2021 through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closing of the Business 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319"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We believe Ms. Epperly is qualified to serve on our board of directors because of her extensive experience as a senior financing executive in the life sciences industry.</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Matthew McIlwain </w:t>
      </w:r>
      <w:r>
        <w:rPr>
          <w:rFonts w:ascii="Arial" w:cs="Arial" w:eastAsia="Arial" w:hAnsi="Arial"/>
          <w:sz w:val="17"/>
          <w:szCs w:val="17"/>
          <w:color w:val="auto"/>
        </w:rPr>
        <w:t>has served on our board of directors since June 2021 and served on the Old Nautilus board of directors from January 2021 through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9"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We believe Mr. McIlwain is qualified to serve on our board of directors due to his extensive industry background and experience investing in the technology and life sciences industry.</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Farzad Nazem </w:t>
      </w:r>
      <w:r>
        <w:rPr>
          <w:rFonts w:ascii="Arial" w:cs="Arial" w:eastAsia="Arial" w:hAnsi="Arial"/>
          <w:sz w:val="15"/>
          <w:szCs w:val="15"/>
          <w:color w:val="auto"/>
        </w:rPr>
        <w:t>has served on our board of directors since June 2021 and served on the Old Nautilus board of directors from June 2017 through the closing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9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We believe Mr. Nazem is qualified to serve on our board of directors because of his technical expertise, extensive industry background and management experience.</w:t>
      </w:r>
    </w:p>
    <w:p>
      <w:pPr>
        <w:spacing w:after="0" w:line="128"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b w:val="1"/>
          <w:bCs w:val="1"/>
          <w:i w:val="1"/>
          <w:iCs w:val="1"/>
          <w:color w:val="auto"/>
        </w:rPr>
        <w:t xml:space="preserve">Vijay Pande </w:t>
      </w:r>
      <w:r>
        <w:rPr>
          <w:rFonts w:ascii="Arial" w:cs="Arial" w:eastAsia="Arial" w:hAnsi="Arial"/>
          <w:sz w:val="18"/>
          <w:szCs w:val="18"/>
          <w:color w:val="auto"/>
        </w:rPr>
        <w:t>has served on our board of directors since June 2021, and served on the Old Nautilus board of directors from May 2018 through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Business 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14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We believe Dr. Pande is qualified to serve on our board of directors because of his extensive industry experience and board experience with healthcare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70"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Our business and affairs are organized under the direction of the board of directors. Our board of directors currently consists of eight (8) members. Mr. Posard serves as Chairperson of our board of directors. The primary responsibilities of the board of directors are to provide oversight, strategic guidance, counseling and direction to our management. The board of directors will meet on a regular basis and additionally as required.</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accordance with the terms of our Certificate of Incorporation and our Bylaws, our board of directors is divided into three staggered classes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Class I, Class II and Class III, with members of each class serving staggered three-year terms. Our board of directors is divided into the following classes:</w:t>
      </w:r>
    </w:p>
    <w:p>
      <w:pPr>
        <w:spacing w:after="0" w:line="187"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Class I, which consists of Sujal Patel, Vijay Pande and Michael Altman, whose terms expire at our annual meeting of stockholders in 2022;</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Class II, which consists of Parag Mallick, Farzad Nazem and Matthew McIllwain, whose terms expire at our annual meeting of stockholders in 2023;</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Class III, which consists of Melissa Epperly and Matthew Posard, whose terms expire at our annual meeting of stockholders in 2024;</w:t>
      </w:r>
    </w:p>
    <w:p>
      <w:pPr>
        <w:spacing w:after="0" w:line="164"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board of directors may have the effect of delaying or preventing changes in our control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right="200" w:firstLine="318"/>
        <w:spacing w:after="0" w:line="277" w:lineRule="auto"/>
        <w:rPr>
          <w:sz w:val="20"/>
          <w:szCs w:val="20"/>
          <w:color w:val="auto"/>
        </w:rPr>
      </w:pPr>
      <w:r>
        <w:rPr>
          <w:rFonts w:ascii="Arial" w:cs="Arial" w:eastAsia="Arial" w:hAnsi="Arial"/>
          <w:sz w:val="17"/>
          <w:szCs w:val="17"/>
          <w:color w:val="auto"/>
        </w:rPr>
        <w:t>Our board of directors has determined that each of our directors other than Mr. Patel and Dr. Mallick qualify as independent directors, as defined under the rules of the Nasdaq listing standards, and our board of directors consists of a majority of “independent directors,” as defined under the rules of the SEC and Nasdaq relating to the membership, qualifications, and operations of the audit committee, as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70"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0"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members of our audit committee are Matthew McIlwain, Matthew Posard, and Melissa Epperly, and Ms. Epperly serves as the chairperson of the audit committee. Under the Nasdaq listing rules and applicable SEC rules, we are required to have at least three members of the audit committee. The rules of Nasdaq and Rule 10A-3 of the Exchange Act require that the audit committee of a listed company be composed solely of independent directors for audit committee purposes, and each member qualifies as an independent director for audit committee purposes under applicable rules. Each of Matthew McIlwain, Matthew Posard, and Melissa Epperly is financially literate and each of Matthew McIlwain and Melissa Epperly qualifies as an “audit committee financial expert” as defined in applicable SEC rules.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functions of our audit committee include, among other things:</w:t>
      </w:r>
    </w:p>
    <w:p>
      <w:pPr>
        <w:spacing w:after="0" w:line="164"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164" w:lineRule="exact"/>
        <w:rPr>
          <w:rFonts w:ascii="Arial" w:cs="Arial" w:eastAsia="Arial" w:hAnsi="Arial"/>
          <w:sz w:val="18"/>
          <w:szCs w:val="18"/>
          <w:color w:val="auto"/>
        </w:rPr>
      </w:pPr>
    </w:p>
    <w:p>
      <w:pPr>
        <w:ind w:left="640" w:right="80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registered public accounting firm;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 the independence and qualifications of our independent registered public accounting firm;</w:t>
      </w:r>
    </w:p>
    <w:p>
      <w:pPr>
        <w:spacing w:after="0" w:line="164"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our financial statements, and discuss with management and our independent registered public accounting firm the results of the annual audit and the quarterly reviews;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quality and adequacy of our internal controls and our disclosure controls and procedures;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discuss with management our procedures regarding the presentation of our financial information, and review earnings press releases and guidance;</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119" w:lineRule="exact"/>
        <w:rPr>
          <w:sz w:val="20"/>
          <w:szCs w:val="20"/>
          <w:color w:val="auto"/>
        </w:rPr>
      </w:pPr>
    </w:p>
    <w:p>
      <w:pPr>
        <w:ind w:left="640" w:right="30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registered public accounting firm and oversee compliance with such policies;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monitor compliance with our Code of Business Conduct and Ethics and consider questions of actual or possible conflicts of interest of our directors and officers;</w:t>
      </w:r>
    </w:p>
    <w:p>
      <w:pPr>
        <w:spacing w:after="0" w:line="127" w:lineRule="exact"/>
        <w:rPr>
          <w:rFonts w:ascii="Arial" w:cs="Arial" w:eastAsia="Arial" w:hAnsi="Arial"/>
          <w:sz w:val="18"/>
          <w:szCs w:val="18"/>
          <w:color w:val="auto"/>
        </w:rPr>
      </w:pPr>
    </w:p>
    <w:p>
      <w:pPr>
        <w:ind w:left="640" w:right="140" w:hanging="316"/>
        <w:spacing w:after="0" w:line="294"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104" w:lineRule="exact"/>
        <w:rPr>
          <w:rFonts w:ascii="Arial" w:cs="Arial" w:eastAsia="Arial" w:hAnsi="Arial"/>
          <w:sz w:val="17"/>
          <w:szCs w:val="17"/>
          <w:color w:val="auto"/>
        </w:rPr>
      </w:pPr>
    </w:p>
    <w:p>
      <w:pPr>
        <w:ind w:left="640" w:right="16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adequacy and effectiveness of our legal, regulatory and ethical compliance programs; and</w:t>
      </w:r>
    </w:p>
    <w:p>
      <w:pPr>
        <w:spacing w:after="0" w:line="127"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our guidelines and policies to identify, monitor and address enterprise risks.</w:t>
      </w:r>
    </w:p>
    <w:p>
      <w:pPr>
        <w:spacing w:after="0" w:line="128" w:lineRule="exact"/>
        <w:rPr>
          <w:sz w:val="20"/>
          <w:szCs w:val="20"/>
          <w:color w:val="auto"/>
        </w:rPr>
      </w:pPr>
    </w:p>
    <w:p>
      <w:pPr>
        <w:ind w:left="320" w:right="300"/>
        <w:spacing w:after="0" w:line="430" w:lineRule="auto"/>
        <w:rPr>
          <w:sz w:val="20"/>
          <w:szCs w:val="20"/>
          <w:color w:val="auto"/>
        </w:rPr>
      </w:pPr>
      <w:r>
        <w:rPr>
          <w:rFonts w:ascii="Arial" w:cs="Arial" w:eastAsia="Arial" w:hAnsi="Arial"/>
          <w:sz w:val="18"/>
          <w:szCs w:val="18"/>
          <w:color w:val="auto"/>
        </w:rPr>
        <w:t xml:space="preserve">Our audit committee operates under a written charter that satisfies the applicable rules and regulations of the SEC and the listing standards of Nasdaq. </w:t>
      </w:r>
      <w:r>
        <w:rPr>
          <w:rFonts w:ascii="Arial" w:cs="Arial" w:eastAsia="Arial" w:hAnsi="Arial"/>
          <w:sz w:val="18"/>
          <w:szCs w:val="18"/>
          <w:b w:val="1"/>
          <w:bCs w:val="1"/>
          <w:i w:val="1"/>
          <w:iCs w:val="1"/>
          <w:color w:val="auto"/>
        </w:rPr>
        <w:t>Compensation Committee</w:t>
      </w:r>
    </w:p>
    <w:p>
      <w:pPr>
        <w:ind w:right="120" w:firstLine="318"/>
        <w:spacing w:after="0" w:line="277" w:lineRule="auto"/>
        <w:rPr>
          <w:sz w:val="20"/>
          <w:szCs w:val="20"/>
          <w:color w:val="auto"/>
        </w:rPr>
      </w:pPr>
      <w:r>
        <w:rPr>
          <w:rFonts w:ascii="Arial" w:cs="Arial" w:eastAsia="Arial" w:hAnsi="Arial"/>
          <w:sz w:val="17"/>
          <w:szCs w:val="17"/>
          <w:color w:val="auto"/>
        </w:rPr>
        <w:t>The members of our compensation committee are Michael Altman, Farzad Nazem, and Matthew Posard, and Mr. Posard serves as the chairperson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functions of our compensation committee include, among other things:</w:t>
      </w:r>
    </w:p>
    <w:p>
      <w:pPr>
        <w:spacing w:after="0" w:line="164" w:lineRule="exact"/>
        <w:rPr>
          <w:sz w:val="20"/>
          <w:szCs w:val="20"/>
          <w:color w:val="auto"/>
        </w:rPr>
      </w:pPr>
    </w:p>
    <w:p>
      <w:pPr>
        <w:ind w:left="640" w:right="18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the compensation for our executive officers, including our chief executive officer;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approve and administer our employee benefit and equity incentive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advise our board of directors on stockholder proposals related to executive compensation matters;</w:t>
      </w:r>
    </w:p>
    <w:p>
      <w:pPr>
        <w:spacing w:after="0" w:line="164"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our employees, and ensure that they are consistent with our general compensation strategy;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 the management of risks relating to executive compensation plans and arrangements;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non-employee director compensation;</w:t>
      </w:r>
    </w:p>
    <w:p>
      <w:pPr>
        <w:spacing w:after="0" w:line="164"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executive compensation disclosure in our SEC filings and prepare the compensation committee report required to be included in our annual proxy statement.</w:t>
      </w:r>
    </w:p>
    <w:p>
      <w:pPr>
        <w:spacing w:after="0" w:line="128"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the listing standards of Nasdaq.</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4" w:lineRule="exact"/>
        <w:rPr>
          <w:sz w:val="20"/>
          <w:szCs w:val="20"/>
          <w:color w:val="auto"/>
        </w:rPr>
      </w:pPr>
    </w:p>
    <w:p>
      <w:pPr>
        <w:ind w:right="780" w:firstLine="318"/>
        <w:spacing w:after="0" w:line="264" w:lineRule="auto"/>
        <w:rPr>
          <w:sz w:val="20"/>
          <w:szCs w:val="20"/>
          <w:color w:val="auto"/>
        </w:rPr>
      </w:pPr>
      <w:r>
        <w:rPr>
          <w:rFonts w:ascii="Arial" w:cs="Arial" w:eastAsia="Arial" w:hAnsi="Arial"/>
          <w:sz w:val="18"/>
          <w:szCs w:val="18"/>
          <w:color w:val="auto"/>
        </w:rPr>
        <w:t>The members of our nominating and corporate governance committee are Matthew McIlwain and Vijay Pande, and Mr. McIlwain serves as the chairperson of the nominating and corporate governance committee.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directors has determined that each of the members of our nominating and corporate governance committee satisfy the independence requirements of Nasdaq.</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functions of our nominating and corporate governance committee include, among other things:</w:t>
      </w:r>
    </w:p>
    <w:p>
      <w:pPr>
        <w:spacing w:after="0" w:line="164" w:lineRule="exact"/>
        <w:rPr>
          <w:sz w:val="20"/>
          <w:szCs w:val="20"/>
          <w:color w:val="auto"/>
        </w:rPr>
      </w:pPr>
    </w:p>
    <w:p>
      <w:pPr>
        <w:ind w:left="640" w:right="32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assess and make recommendations to our board of directors regarding desired qualifications, expertise and characteristics sought of board members;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identify, evaluate, select or make recommendations to our board of directors regarding nominees for election to our board of directors;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our succession planning process for our chief executive officer and any other members of our executive management team;</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the composition, organization and governance our board of directors and its committees;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 and make recommendations to our board of directors regarding our corporate governance guidelines and corporate governance framework;</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our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oversee our Environmental, Social and Governance (“ESG”) programs and related disclosures and communications;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oversee the evaluation of the performance of our board of directors and its committees;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our board of directors.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rules and regulations of the SEC and the listing standards of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board of directors or our compensation committee will determine the annual compensation to be paid to the members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0"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 See the section titled “</w:t>
      </w:r>
      <w:r>
        <w:rPr>
          <w:rFonts w:ascii="Arial" w:cs="Arial" w:eastAsia="Arial" w:hAnsi="Arial"/>
          <w:sz w:val="15"/>
          <w:szCs w:val="15"/>
          <w:i w:val="1"/>
          <w:iCs w:val="1"/>
          <w:color w:val="auto"/>
        </w:rPr>
        <w:t>Certain Relationships, Related Party and Other</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w:t>
      </w:r>
      <w:r>
        <w:rPr>
          <w:rFonts w:ascii="Arial" w:cs="Arial" w:eastAsia="Arial" w:hAnsi="Arial"/>
          <w:sz w:val="15"/>
          <w:szCs w:val="15"/>
          <w:color w:val="auto"/>
        </w:rPr>
        <w:t>” for information about related party transactions involving members of our compensation committee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To achieve Nautilus’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04" w:lineRule="exact"/>
        <w:rPr>
          <w:sz w:val="20"/>
          <w:szCs w:val="20"/>
          <w:color w:val="auto"/>
        </w:rPr>
      </w:pPr>
    </w:p>
    <w:p>
      <w:pPr>
        <w:ind w:right="420" w:firstLine="318"/>
        <w:spacing w:after="0" w:line="365" w:lineRule="auto"/>
        <w:rPr>
          <w:sz w:val="20"/>
          <w:szCs w:val="20"/>
          <w:color w:val="auto"/>
        </w:rPr>
      </w:pPr>
      <w:r>
        <w:rPr>
          <w:rFonts w:ascii="Arial" w:cs="Arial" w:eastAsia="Arial" w:hAnsi="Arial"/>
          <w:sz w:val="15"/>
          <w:szCs w:val="15"/>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58"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This section provides an overview of our and Old Nautilus’ executive compensation programs, including a narrative description of the material factors necessary to understand the information disclosed in the summary compensation table below. As used in this section, “Nautilus,” the “Company,” “we,” “us” and “our” refer to Old Nautilus prior to the closing of the Business Combination and New Nautilus after the closing of the Business Combination. Upon the closing of the Business Combination, the executive officers of Old Nautilus became executive officers of New Nautilus.</w:t>
      </w:r>
    </w:p>
    <w:p>
      <w:pPr>
        <w:spacing w:after="0" w:line="93"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Our board of directors, with input from its Chief Executive Officer, has historically determined the compensation for our named executive officers. For the year ended December 31, 2020, Old Nautilus’ named executive officers were:</w:t>
      </w:r>
    </w:p>
    <w:p>
      <w:pPr>
        <w:spacing w:after="0" w:line="128"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Sujal Patel, Chief Executive Officer, President, and Secretary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Anna Mowry, Chief Financial Officer and Treasurer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Subra Sankar, Senior Vice President, Product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the Fiscal Year Ended December 31, 2020</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the compensation earned by our named executive officers for the fiscal year ended December 31, 2020.</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jc w:val="center"/>
              <w:ind w:left="149"/>
              <w:spacing w:after="0"/>
              <w:rPr>
                <w:sz w:val="20"/>
                <w:szCs w:val="20"/>
                <w:color w:val="auto"/>
              </w:rPr>
            </w:pPr>
            <w:r>
              <w:rPr>
                <w:rFonts w:ascii="Arial" w:cs="Arial" w:eastAsia="Arial" w:hAnsi="Arial"/>
                <w:sz w:val="14"/>
                <w:szCs w:val="14"/>
                <w:b w:val="1"/>
                <w:bCs w:val="1"/>
                <w:color w:val="auto"/>
                <w:w w:val="92"/>
              </w:rPr>
              <w:t>Non-equity</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60" w:type="dxa"/>
            <w:vAlign w:val="bottom"/>
          </w:tcPr>
          <w:p>
            <w:pPr>
              <w:jc w:val="center"/>
              <w:ind w:left="129"/>
              <w:spacing w:after="0" w:line="133" w:lineRule="exact"/>
              <w:rPr>
                <w:sz w:val="20"/>
                <w:szCs w:val="20"/>
                <w:color w:val="auto"/>
              </w:rPr>
            </w:pPr>
            <w:r>
              <w:rPr>
                <w:rFonts w:ascii="Arial" w:cs="Arial" w:eastAsia="Arial" w:hAnsi="Arial"/>
                <w:sz w:val="14"/>
                <w:szCs w:val="14"/>
                <w:b w:val="1"/>
                <w:bCs w:val="1"/>
                <w:color w:val="auto"/>
                <w:w w:val="88"/>
              </w:rPr>
              <w:t>incentive</w:t>
            </w:r>
          </w:p>
        </w:tc>
        <w:tc>
          <w:tcPr>
            <w:tcW w:w="136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5"/>
              </w:rPr>
              <w:t>All other</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5"/>
              </w:rPr>
              <w:t>Salary</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1360" w:type="dxa"/>
            <w:vAlign w:val="bottom"/>
            <w:vMerge w:val="continue"/>
          </w:tcPr>
          <w:p>
            <w:pPr>
              <w:spacing w:after="0"/>
              <w:rPr>
                <w:sz w:val="11"/>
                <w:szCs w:val="11"/>
                <w:color w:val="auto"/>
              </w:rPr>
            </w:pPr>
          </w:p>
        </w:tc>
        <w:tc>
          <w:tcPr>
            <w:tcW w:w="1460" w:type="dxa"/>
            <w:vAlign w:val="bottom"/>
          </w:tcPr>
          <w:p>
            <w:pPr>
              <w:jc w:val="center"/>
              <w:ind w:left="129"/>
              <w:spacing w:after="0" w:line="133" w:lineRule="exact"/>
              <w:rPr>
                <w:sz w:val="20"/>
                <w:szCs w:val="20"/>
                <w:color w:val="auto"/>
              </w:rPr>
            </w:pPr>
            <w:r>
              <w:rPr>
                <w:rFonts w:ascii="Arial" w:cs="Arial" w:eastAsia="Arial" w:hAnsi="Arial"/>
                <w:sz w:val="14"/>
                <w:szCs w:val="14"/>
                <w:b w:val="1"/>
                <w:bCs w:val="1"/>
                <w:color w:val="auto"/>
                <w:w w:val="90"/>
              </w:rPr>
              <w:t>plan</w:t>
            </w:r>
          </w:p>
        </w:tc>
        <w:tc>
          <w:tcPr>
            <w:tcW w:w="1360" w:type="dxa"/>
            <w:vAlign w:val="bottom"/>
            <w:vMerge w:val="continue"/>
          </w:tcPr>
          <w:p>
            <w:pPr>
              <w:spacing w:after="0"/>
              <w:rPr>
                <w:sz w:val="11"/>
                <w:szCs w:val="11"/>
                <w:color w:val="auto"/>
              </w:rPr>
            </w:pPr>
          </w:p>
        </w:tc>
        <w:tc>
          <w:tcPr>
            <w:tcW w:w="600" w:type="dxa"/>
            <w:vAlign w:val="bottom"/>
            <w:vMerge w:val="restart"/>
          </w:tcPr>
          <w:p>
            <w:pPr>
              <w:jc w:val="center"/>
              <w:ind w:left="22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awards</w:t>
            </w:r>
          </w:p>
        </w:tc>
        <w:tc>
          <w:tcPr>
            <w:tcW w:w="1460" w:type="dxa"/>
            <w:vAlign w:val="bottom"/>
          </w:tcPr>
          <w:p>
            <w:pPr>
              <w:jc w:val="center"/>
              <w:ind w:left="149"/>
              <w:spacing w:after="0" w:line="133" w:lineRule="exact"/>
              <w:rPr>
                <w:sz w:val="20"/>
                <w:szCs w:val="20"/>
                <w:color w:val="auto"/>
              </w:rPr>
            </w:pPr>
            <w:r>
              <w:rPr>
                <w:rFonts w:ascii="Arial" w:cs="Arial" w:eastAsia="Arial" w:hAnsi="Arial"/>
                <w:sz w:val="14"/>
                <w:szCs w:val="14"/>
                <w:b w:val="1"/>
                <w:bCs w:val="1"/>
                <w:color w:val="auto"/>
                <w:w w:val="88"/>
              </w:rPr>
              <w:t>compensation</w:t>
            </w:r>
          </w:p>
        </w:tc>
        <w:tc>
          <w:tcPr>
            <w:tcW w:w="13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86"/>
              </w:rPr>
              <w:t>compensation</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tcPr>
          <w:p>
            <w:pPr>
              <w:jc w:val="right"/>
              <w:ind w:right="509"/>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529"/>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460" w:type="dxa"/>
            <w:vAlign w:val="bottom"/>
          </w:tcPr>
          <w:p>
            <w:pPr>
              <w:jc w:val="center"/>
              <w:ind w:left="149"/>
              <w:spacing w:after="0" w:line="18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4997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1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Sujal Patel</w:t>
            </w: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80" w:type="dxa"/>
            <w:vAlign w:val="bottom"/>
            <w:gridSpan w:val="2"/>
          </w:tcPr>
          <w:p>
            <w:pPr>
              <w:ind w:left="240"/>
              <w:spacing w:after="0" w:line="172" w:lineRule="exact"/>
              <w:rPr>
                <w:sz w:val="20"/>
                <w:szCs w:val="20"/>
                <w:color w:val="auto"/>
              </w:rPr>
            </w:pPr>
            <w:r>
              <w:rPr>
                <w:rFonts w:ascii="Arial" w:cs="Arial" w:eastAsia="Arial" w:hAnsi="Arial"/>
                <w:sz w:val="18"/>
                <w:szCs w:val="18"/>
                <w:i w:val="1"/>
                <w:iCs w:val="1"/>
                <w:color w:val="auto"/>
                <w:w w:val="96"/>
              </w:rPr>
              <w:t>President and Chief Executive</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40"/>
              <w:spacing w:after="0"/>
              <w:rPr>
                <w:sz w:val="20"/>
                <w:szCs w:val="20"/>
                <w:color w:val="auto"/>
              </w:rPr>
            </w:pPr>
            <w:r>
              <w:rPr>
                <w:rFonts w:ascii="Arial" w:cs="Arial" w:eastAsia="Arial" w:hAnsi="Arial"/>
                <w:sz w:val="18"/>
                <w:szCs w:val="18"/>
                <w:i w:val="1"/>
                <w:iCs w:val="1"/>
                <w:color w:val="auto"/>
              </w:rPr>
              <w:t>Officer</w:t>
            </w:r>
          </w:p>
        </w:tc>
        <w:tc>
          <w:tcPr>
            <w:tcW w:w="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Anna Mowry</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80" w:type="dxa"/>
            <w:vAlign w:val="bottom"/>
            <w:gridSpan w:val="2"/>
          </w:tcPr>
          <w:p>
            <w:pPr>
              <w:ind w:left="240"/>
              <w:spacing w:after="0" w:line="174" w:lineRule="exact"/>
              <w:rPr>
                <w:sz w:val="20"/>
                <w:szCs w:val="20"/>
                <w:color w:val="auto"/>
              </w:rPr>
            </w:pPr>
            <w:r>
              <w:rPr>
                <w:rFonts w:ascii="Arial" w:cs="Arial" w:eastAsia="Arial" w:hAnsi="Arial"/>
                <w:sz w:val="18"/>
                <w:szCs w:val="18"/>
                <w:i w:val="1"/>
                <w:iCs w:val="1"/>
                <w:color w:val="auto"/>
              </w:rPr>
              <w:t>Chief Financial Officer and</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40"/>
              <w:spacing w:after="0"/>
              <w:rPr>
                <w:sz w:val="20"/>
                <w:szCs w:val="20"/>
                <w:color w:val="auto"/>
              </w:rPr>
            </w:pPr>
            <w:r>
              <w:rPr>
                <w:rFonts w:ascii="Arial" w:cs="Arial" w:eastAsia="Arial" w:hAnsi="Arial"/>
                <w:sz w:val="18"/>
                <w:szCs w:val="18"/>
                <w:i w:val="1"/>
                <w:iCs w:val="1"/>
                <w:color w:val="auto"/>
              </w:rPr>
              <w:t>Treasurer</w:t>
            </w:r>
          </w:p>
        </w:tc>
        <w:tc>
          <w:tcPr>
            <w:tcW w:w="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Subra Sankar</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80" w:type="dxa"/>
            <w:vAlign w:val="bottom"/>
            <w:gridSpan w:val="2"/>
          </w:tcPr>
          <w:p>
            <w:pPr>
              <w:ind w:left="240"/>
              <w:spacing w:after="0" w:line="174" w:lineRule="exact"/>
              <w:rPr>
                <w:sz w:val="20"/>
                <w:szCs w:val="20"/>
                <w:color w:val="auto"/>
              </w:rPr>
            </w:pPr>
            <w:r>
              <w:rPr>
                <w:rFonts w:ascii="Arial" w:cs="Arial" w:eastAsia="Arial" w:hAnsi="Arial"/>
                <w:sz w:val="18"/>
                <w:szCs w:val="18"/>
                <w:i w:val="1"/>
                <w:iCs w:val="1"/>
                <w:color w:val="auto"/>
                <w:w w:val="94"/>
              </w:rPr>
              <w:t>Senior Vice President, Product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3"/>
        </w:trPr>
        <w:tc>
          <w:tcPr>
            <w:tcW w:w="2580" w:type="dxa"/>
            <w:vAlign w:val="bottom"/>
            <w:gridSpan w:val="2"/>
          </w:tcPr>
          <w:p>
            <w:pPr>
              <w:ind w:left="240"/>
              <w:spacing w:after="0"/>
              <w:rPr>
                <w:sz w:val="20"/>
                <w:szCs w:val="20"/>
                <w:color w:val="auto"/>
              </w:rPr>
            </w:pPr>
            <w:r>
              <w:rPr>
                <w:rFonts w:ascii="Arial" w:cs="Arial" w:eastAsia="Arial" w:hAnsi="Arial"/>
                <w:sz w:val="18"/>
                <w:szCs w:val="18"/>
                <w:i w:val="1"/>
                <w:iCs w:val="1"/>
                <w:color w:val="auto"/>
              </w:rPr>
              <w:t>Development</w:t>
            </w:r>
          </w:p>
        </w:tc>
        <w:tc>
          <w:tcPr>
            <w:tcW w:w="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50,000</w:t>
            </w:r>
          </w:p>
        </w:tc>
        <w:tc>
          <w:tcPr>
            <w:tcW w:w="60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623"/>
        </w:trPr>
        <w:tc>
          <w:tcPr>
            <w:tcW w:w="320" w:type="dxa"/>
            <w:vAlign w:val="bottom"/>
          </w:tcPr>
          <w:p>
            <w:pPr>
              <w:jc w:val="right"/>
              <w:ind w:right="123"/>
              <w:spacing w:after="0"/>
              <w:rPr>
                <w:sz w:val="20"/>
                <w:szCs w:val="20"/>
                <w:color w:val="auto"/>
              </w:rPr>
            </w:pPr>
            <w:r>
              <w:rPr>
                <w:rFonts w:ascii="Arial" w:cs="Arial" w:eastAsia="Arial" w:hAnsi="Arial"/>
                <w:sz w:val="11"/>
                <w:szCs w:val="11"/>
                <w:color w:val="auto"/>
                <w:w w:val="88"/>
              </w:rPr>
              <w:t>(4)</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1,722,150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623"/>
        </w:trPr>
        <w:tc>
          <w:tcPr>
            <w:tcW w:w="320" w:type="dxa"/>
            <w:vAlign w:val="bottom"/>
          </w:tcPr>
          <w:p>
            <w:pPr>
              <w:jc w:val="right"/>
              <w:ind w:right="123"/>
              <w:spacing w:after="0"/>
              <w:rPr>
                <w:sz w:val="20"/>
                <w:szCs w:val="20"/>
                <w:color w:val="auto"/>
              </w:rPr>
            </w:pPr>
            <w:r>
              <w:rPr>
                <w:rFonts w:ascii="Arial" w:cs="Arial" w:eastAsia="Arial" w:hAnsi="Arial"/>
                <w:sz w:val="11"/>
                <w:szCs w:val="11"/>
                <w:color w:val="auto"/>
                <w:w w:val="88"/>
              </w:rPr>
              <w:t>(6)</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35,000</w:t>
            </w:r>
          </w:p>
        </w:tc>
        <w:tc>
          <w:tcPr>
            <w:tcW w:w="640" w:type="dxa"/>
            <w:vAlign w:val="bottom"/>
          </w:tcPr>
          <w:p>
            <w:pPr>
              <w:jc w:val="right"/>
              <w:ind w:right="323"/>
              <w:spacing w:after="0"/>
              <w:rPr>
                <w:sz w:val="20"/>
                <w:szCs w:val="20"/>
                <w:color w:val="auto"/>
              </w:rPr>
            </w:pPr>
            <w:r>
              <w:rPr>
                <w:rFonts w:ascii="Arial" w:cs="Arial" w:eastAsia="Arial" w:hAnsi="Arial"/>
                <w:sz w:val="11"/>
                <w:szCs w:val="11"/>
                <w:color w:val="auto"/>
              </w:rPr>
              <w:t>(7)</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2,870,253</w:t>
            </w:r>
          </w:p>
        </w:tc>
        <w:tc>
          <w:tcPr>
            <w:tcW w:w="1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-1042035</wp:posOffset>
            </wp:positionV>
            <wp:extent cx="7134860" cy="2527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25273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-646430</wp:posOffset>
            </wp:positionV>
            <wp:extent cx="7134860" cy="2527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25273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-251460</wp:posOffset>
            </wp:positionV>
            <wp:extent cx="7134860" cy="2527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251,450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1,725,169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2,908,726</w:t>
      </w:r>
    </w:p>
    <w:p>
      <w:pPr>
        <w:spacing w:after="0" w:line="297" w:lineRule="exact"/>
        <w:rPr>
          <w:sz w:val="20"/>
          <w:szCs w:val="20"/>
          <w:color w:val="auto"/>
        </w:rPr>
      </w:pPr>
    </w:p>
    <w:p>
      <w:pPr>
        <w:sectPr>
          <w:pgSz w:w="11900" w:h="16838" w:orient="portrait"/>
          <w:cols w:equalWidth="0" w:num="4">
            <w:col w:w="4280" w:space="260"/>
            <w:col w:w="5060" w:space="260"/>
            <w:col w:w="140" w:space="460"/>
            <w:col w:w="780"/>
          </w:cols>
          <w:pgMar w:left="320" w:top="1440" w:right="339" w:bottom="1440" w:gutter="0" w:footer="0" w:header="0"/>
          <w:type w:val="continuous"/>
        </w:sectPr>
      </w:pPr>
    </w:p>
    <w:p>
      <w:pPr>
        <w:ind w:left="320" w:right="200" w:hanging="314"/>
        <w:spacing w:after="0" w:line="237" w:lineRule="auto"/>
        <w:tabs>
          <w:tab w:leader="none" w:pos="312"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w:t>
      </w:r>
    </w:p>
    <w:p>
      <w:pPr>
        <w:ind w:left="320" w:right="320" w:hanging="314"/>
        <w:spacing w:after="0" w:line="276" w:lineRule="auto"/>
        <w:tabs>
          <w:tab w:leader="none" w:pos="312"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These amounts represent performance-based cash bonuses earned under the Nautilus Employee Bonus Plan (as defined below) based upon the achievement of objectives for the year ended December 31, 2020, which were paid in 2021. The Nautilus Employee Bonus Plan is more fully described below under the section titled “—Non-Equity Incentive Plan Compensation.”</w:t>
      </w:r>
    </w:p>
    <w:p>
      <w:pPr>
        <w:ind w:left="320" w:hanging="314"/>
        <w:spacing w:after="0" w:line="237" w:lineRule="auto"/>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$250 for expenses associated with working from home.</w:t>
      </w:r>
    </w:p>
    <w:p>
      <w:pPr>
        <w:ind w:left="320" w:right="400" w:hanging="314"/>
        <w:spacing w:after="0" w:line="237" w:lineRule="auto"/>
        <w:tabs>
          <w:tab w:leader="none" w:pos="312" w:val="left"/>
        </w:tabs>
        <w:numPr>
          <w:ilvl w:val="0"/>
          <w:numId w:val="60"/>
        </w:numPr>
        <w:rPr>
          <w:rFonts w:ascii="Arial" w:cs="Arial" w:eastAsia="Arial" w:hAnsi="Arial"/>
          <w:sz w:val="14"/>
          <w:szCs w:val="14"/>
          <w:color w:val="auto"/>
        </w:rPr>
      </w:pPr>
      <w:r>
        <w:rPr>
          <w:rFonts w:ascii="Arial" w:cs="Arial" w:eastAsia="Arial" w:hAnsi="Arial"/>
          <w:sz w:val="14"/>
          <w:szCs w:val="14"/>
          <w:color w:val="auto"/>
        </w:rPr>
        <w:t>Ms. Mowry joined Old Nautilus as Chief Financial Officer and Treasurer in December 2020, and therefore the compensation set forth in the table above reflects the amount earned for the portion of 2020 in which she was employed by Old Nautilus.</w:t>
      </w:r>
    </w:p>
    <w:p>
      <w:pPr>
        <w:ind w:left="320" w:hanging="314"/>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reported reflect (i) $2,000 in pre-employment consulting services and (ii) $250 for expenses associated with working from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3" w:name="page114"/>
    <w:bookmarkEnd w:id="113"/>
    <w:p>
      <w:pPr>
        <w:spacing w:after="0" w:line="112" w:lineRule="exact"/>
        <w:rPr>
          <w:sz w:val="20"/>
          <w:szCs w:val="20"/>
          <w:color w:val="auto"/>
        </w:rPr>
      </w:pPr>
    </w:p>
    <w:p>
      <w:pPr>
        <w:ind w:left="320" w:right="20" w:hanging="314"/>
        <w:spacing w:after="0" w:line="245"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Dr. Sankar joined Old Nautilus as Senior Vice President, Product Development, in December 2020, and therefore the compensation set forth in the table above reflects the amount earned for the portion of 2020 in which he was employed by Old Nautilus.</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 reported reflects a signing bonus paid to Dr. Sankar in connection with his joining Old Nautilus.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0"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At the beginning of 2020, Old Nautilus’ board of directors adopted an annual bonus program for 2020 (the “Nautilus Employee Bonus Plan”) for its executive and non-executive employees providing for cash incentives for performance in the year. Bonuses were payable under and pursuant to the terms and conditions of the Nautilus Employee Bonus Plan. Under the Nautilus Employee Bonus Plan, Old Nautilus’ board of directors had the discretion to increase, reduce or eliminate any bonus award and, unless determined otherwise by Old Nautilus’ board of directors, a participant must be employed by Nautilus or its affiliates on the date the bonus is paid in order to receive such payment under such plan.</w:t>
      </w:r>
    </w:p>
    <w:p>
      <w:pPr>
        <w:spacing w:after="0" w:line="128"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Each of the 2020 bonus opportunities for Old Nautilus’ executives was based on the assessment of Old Nautilus’ board of directors of the achievement of company objectives that were established by Old Nautilus’ board of directors at the beginning of the year as well as any other factors or achievements (e.g., individual performance, as applicable), that Old Nautilus’ board of directors determined to be relevant in such assessment. Corporate objectives under the Nautilus Employee Bonus Plan consisted of corporate development and product development goals.</w:t>
      </w:r>
    </w:p>
    <w:p>
      <w:pPr>
        <w:spacing w:after="0" w:line="12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Based on Old Nautilus’ performance against the company objectives in 2020, Old Nautilus’ board of directors determined to fund the Nautilus Employee Bonus Plan at 100% of the target level for corporate performance objectives for 2020.</w:t>
      </w:r>
    </w:p>
    <w:p>
      <w:pPr>
        <w:spacing w:after="0" w:line="128"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The amounts in the Summary Compensation Table under the column “Non-equity incentive plan compensation” are based on the named executive officer’s target bonus amount multiplied by the achievement percentage set by Old Nautilus’ board of directors consistent with its determinations under the Nautilus Employee Bonus Plan. For 2020, Mr. Patel’s target cash incentive bonus was $50,000 and was 100% based on corporate goals. Because Ms. Mowry and Dr. Sankar joined Old Nautilus at the end of 2020, they were not eligible to participate in the Nautilus Employee Bonus Plan for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December 31, 2020</w:t>
      </w:r>
    </w:p>
    <w:p>
      <w:pPr>
        <w:spacing w:after="0" w:line="170" w:lineRule="exact"/>
        <w:rPr>
          <w:sz w:val="20"/>
          <w:szCs w:val="20"/>
          <w:color w:val="auto"/>
        </w:rPr>
      </w:pPr>
    </w:p>
    <w:p>
      <w:pPr>
        <w:ind w:right="460" w:firstLine="318"/>
        <w:spacing w:after="0" w:line="255" w:lineRule="auto"/>
        <w:rPr>
          <w:sz w:val="20"/>
          <w:szCs w:val="20"/>
          <w:color w:val="auto"/>
        </w:rPr>
      </w:pPr>
      <w:r>
        <w:rPr>
          <w:rFonts w:ascii="Arial" w:cs="Arial" w:eastAsia="Arial" w:hAnsi="Arial"/>
          <w:sz w:val="18"/>
          <w:szCs w:val="18"/>
          <w:color w:val="auto"/>
        </w:rPr>
        <w:t>The following table sets forth certain information regarding equity awards granted to the named executive officers that remained outstanding as of December 31, 2020. The number of shares subject to each award and, where applicable, the exercise price per share, reflect all changes as a result of our capitalization adjustments in connection with the Business Combination.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w w:val="95"/>
              </w:rPr>
              <w:t>Option Awards</w:t>
            </w:r>
            <w:r>
              <w:rPr>
                <w:rFonts w:ascii="Arial" w:cs="Arial" w:eastAsia="Arial" w:hAnsi="Arial"/>
                <w:sz w:val="16"/>
                <w:szCs w:val="16"/>
                <w:b w:val="1"/>
                <w:bCs w:val="1"/>
                <w:color w:val="auto"/>
                <w:w w:val="95"/>
                <w:vertAlign w:val="superscript"/>
              </w:rPr>
              <w:t>(1)</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55"/>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13"/>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tcPr>
          <w:p>
            <w:pPr>
              <w:jc w:val="center"/>
              <w:ind w:right="120"/>
              <w:spacing w:after="0" w:line="113" w:lineRule="exact"/>
              <w:rPr>
                <w:sz w:val="20"/>
                <w:szCs w:val="20"/>
                <w:color w:val="auto"/>
              </w:rPr>
            </w:pPr>
            <w:r>
              <w:rPr>
                <w:rFonts w:ascii="Arial" w:cs="Arial" w:eastAsia="Arial" w:hAnsi="Arial"/>
                <w:sz w:val="12"/>
                <w:szCs w:val="12"/>
                <w:b w:val="1"/>
                <w:bCs w:val="1"/>
                <w:color w:val="auto"/>
                <w:w w:val="93"/>
              </w:rPr>
              <w:t>Number of</w:t>
            </w:r>
          </w:p>
        </w:tc>
        <w:tc>
          <w:tcPr>
            <w:tcW w:w="1280" w:type="dxa"/>
            <w:vAlign w:val="bottom"/>
          </w:tcPr>
          <w:p>
            <w:pPr>
              <w:jc w:val="center"/>
              <w:ind w:left="236"/>
              <w:spacing w:after="0" w:line="113" w:lineRule="exact"/>
              <w:rPr>
                <w:sz w:val="20"/>
                <w:szCs w:val="20"/>
                <w:color w:val="auto"/>
              </w:rPr>
            </w:pPr>
            <w:r>
              <w:rPr>
                <w:rFonts w:ascii="Arial" w:cs="Arial" w:eastAsia="Arial" w:hAnsi="Arial"/>
                <w:sz w:val="12"/>
                <w:szCs w:val="12"/>
                <w:b w:val="1"/>
                <w:bCs w:val="1"/>
                <w:color w:val="auto"/>
                <w:w w:val="96"/>
              </w:rPr>
              <w:t>Number of</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center"/>
              <w:ind w:left="195"/>
              <w:spacing w:after="0"/>
              <w:rPr>
                <w:sz w:val="20"/>
                <w:szCs w:val="20"/>
                <w:color w:val="auto"/>
              </w:rPr>
            </w:pPr>
            <w:r>
              <w:rPr>
                <w:rFonts w:ascii="Arial" w:cs="Arial" w:eastAsia="Arial" w:hAnsi="Arial"/>
                <w:sz w:val="12"/>
                <w:szCs w:val="12"/>
                <w:b w:val="1"/>
                <w:bCs w:val="1"/>
                <w:color w:val="auto"/>
                <w:w w:val="96"/>
              </w:rPr>
              <w:t>Number of</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Market value of</w:t>
            </w: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85"/>
              </w:rPr>
              <w:t>securities</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89"/>
              </w:rPr>
              <w:t>securities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4"/>
              </w:rPr>
              <w:t>underlying</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94"/>
              </w:rPr>
              <w:t>underlying</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Option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left="195"/>
              <w:spacing w:after="0" w:line="120" w:lineRule="exact"/>
              <w:rPr>
                <w:sz w:val="20"/>
                <w:szCs w:val="20"/>
                <w:color w:val="auto"/>
              </w:rPr>
            </w:pPr>
            <w:r>
              <w:rPr>
                <w:rFonts w:ascii="Arial" w:cs="Arial" w:eastAsia="Arial" w:hAnsi="Arial"/>
                <w:sz w:val="12"/>
                <w:szCs w:val="12"/>
                <w:b w:val="1"/>
                <w:bCs w:val="1"/>
                <w:color w:val="auto"/>
                <w:w w:val="90"/>
              </w:rPr>
              <w:t>shares or units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shares of units of</w:t>
            </w: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88"/>
              </w:rPr>
              <w:t>unexercised</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88"/>
              </w:rPr>
              <w:t>unexercised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Option</w:t>
            </w:r>
          </w:p>
        </w:tc>
        <w:tc>
          <w:tcPr>
            <w:tcW w:w="1120" w:type="dxa"/>
            <w:vAlign w:val="bottom"/>
          </w:tcPr>
          <w:p>
            <w:pPr>
              <w:jc w:val="center"/>
              <w:ind w:left="195"/>
              <w:spacing w:after="0" w:line="120" w:lineRule="exact"/>
              <w:rPr>
                <w:sz w:val="20"/>
                <w:szCs w:val="20"/>
                <w:color w:val="auto"/>
              </w:rPr>
            </w:pPr>
            <w:r>
              <w:rPr>
                <w:rFonts w:ascii="Arial" w:cs="Arial" w:eastAsia="Arial" w:hAnsi="Arial"/>
                <w:sz w:val="12"/>
                <w:szCs w:val="12"/>
                <w:b w:val="1"/>
                <w:bCs w:val="1"/>
                <w:color w:val="auto"/>
                <w:w w:val="92"/>
              </w:rPr>
              <w:t>of stock that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1"/>
              </w:rPr>
              <w:t>stock that have</w:t>
            </w:r>
          </w:p>
        </w:tc>
        <w:tc>
          <w:tcPr>
            <w:tcW w:w="0" w:type="dxa"/>
            <w:vAlign w:val="bottom"/>
          </w:tcPr>
          <w:p>
            <w:pPr>
              <w:spacing w:after="0"/>
              <w:rPr>
                <w:sz w:val="1"/>
                <w:szCs w:val="1"/>
                <w:color w:val="auto"/>
              </w:rPr>
            </w:pPr>
          </w:p>
        </w:tc>
      </w:tr>
      <w:tr>
        <w:trPr>
          <w:trHeight w:val="119"/>
        </w:trPr>
        <w:tc>
          <w:tcPr>
            <w:tcW w:w="1920" w:type="dxa"/>
            <w:vAlign w:val="bottom"/>
            <w:gridSpan w:val="2"/>
            <w:vMerge w:val="restart"/>
          </w:tcPr>
          <w:p>
            <w:pPr>
              <w:ind w:left="760"/>
              <w:spacing w:after="0"/>
              <w:rPr>
                <w:sz w:val="20"/>
                <w:szCs w:val="20"/>
                <w:color w:val="auto"/>
              </w:rPr>
            </w:pPr>
            <w:r>
              <w:rPr>
                <w:rFonts w:ascii="Arial" w:cs="Arial" w:eastAsia="Arial" w:hAnsi="Arial"/>
                <w:sz w:val="12"/>
                <w:szCs w:val="12"/>
                <w:b w:val="1"/>
                <w:bCs w:val="1"/>
                <w:color w:val="auto"/>
              </w:rPr>
              <w:t>Name</w:t>
            </w: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Grant Date</w:t>
            </w:r>
          </w:p>
        </w:tc>
        <w:tc>
          <w:tcPr>
            <w:tcW w:w="13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87"/>
              </w:rPr>
              <w:t>options</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87"/>
              </w:rPr>
              <w:t>options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89"/>
              </w:rPr>
              <w:t>exercise price</w:t>
            </w:r>
          </w:p>
        </w:tc>
        <w:tc>
          <w:tcPr>
            <w:tcW w:w="1040" w:type="dxa"/>
            <w:vAlign w:val="bottom"/>
            <w:gridSpan w:val="2"/>
            <w:vMerge w:val="continue"/>
          </w:tcPr>
          <w:p>
            <w:pPr>
              <w:spacing w:after="0"/>
              <w:rPr>
                <w:sz w:val="10"/>
                <w:szCs w:val="10"/>
                <w:color w:val="auto"/>
              </w:rPr>
            </w:pPr>
          </w:p>
        </w:tc>
        <w:tc>
          <w:tcPr>
            <w:tcW w:w="1120" w:type="dxa"/>
            <w:vAlign w:val="bottom"/>
          </w:tcPr>
          <w:p>
            <w:pPr>
              <w:jc w:val="center"/>
              <w:ind w:left="195"/>
              <w:spacing w:after="0" w:line="120" w:lineRule="exact"/>
              <w:rPr>
                <w:sz w:val="20"/>
                <w:szCs w:val="20"/>
                <w:color w:val="auto"/>
              </w:rPr>
            </w:pPr>
            <w:r>
              <w:rPr>
                <w:rFonts w:ascii="Arial" w:cs="Arial" w:eastAsia="Arial" w:hAnsi="Arial"/>
                <w:sz w:val="12"/>
                <w:szCs w:val="12"/>
                <w:b w:val="1"/>
                <w:bCs w:val="1"/>
                <w:color w:val="auto"/>
                <w:w w:val="90"/>
              </w:rPr>
              <w:t>have not vested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not vested</w:t>
            </w:r>
          </w:p>
        </w:tc>
        <w:tc>
          <w:tcPr>
            <w:tcW w:w="0" w:type="dxa"/>
            <w:vAlign w:val="bottom"/>
          </w:tcPr>
          <w:p>
            <w:pPr>
              <w:spacing w:after="0"/>
              <w:rPr>
                <w:sz w:val="1"/>
                <w:szCs w:val="1"/>
                <w:color w:val="auto"/>
              </w:rPr>
            </w:pPr>
          </w:p>
        </w:tc>
      </w:tr>
      <w:tr>
        <w:trPr>
          <w:trHeight w:val="172"/>
        </w:trPr>
        <w:tc>
          <w:tcPr>
            <w:tcW w:w="1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exercisable</w:t>
            </w:r>
          </w:p>
        </w:tc>
        <w:tc>
          <w:tcPr>
            <w:tcW w:w="1280" w:type="dxa"/>
            <w:vAlign w:val="bottom"/>
          </w:tcPr>
          <w:p>
            <w:pPr>
              <w:jc w:val="center"/>
              <w:ind w:left="236"/>
              <w:spacing w:after="0"/>
              <w:rPr>
                <w:sz w:val="20"/>
                <w:szCs w:val="20"/>
                <w:color w:val="auto"/>
              </w:rPr>
            </w:pPr>
            <w:r>
              <w:rPr>
                <w:rFonts w:ascii="Arial" w:cs="Arial" w:eastAsia="Arial" w:hAnsi="Arial"/>
                <w:sz w:val="12"/>
                <w:szCs w:val="12"/>
                <w:b w:val="1"/>
                <w:bCs w:val="1"/>
                <w:color w:val="auto"/>
                <w:w w:val="91"/>
              </w:rPr>
              <w:t>(#) unexercisable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73" w:lineRule="exact"/>
              <w:rPr>
                <w:sz w:val="20"/>
                <w:szCs w:val="20"/>
                <w:color w:val="auto"/>
              </w:rPr>
            </w:pPr>
            <w:r>
              <w:rPr>
                <w:rFonts w:ascii="Arial" w:cs="Arial" w:eastAsia="Arial" w:hAnsi="Arial"/>
                <w:sz w:val="19"/>
                <w:szCs w:val="19"/>
                <w:b w:val="1"/>
                <w:bCs w:val="1"/>
                <w:color w:val="auto"/>
                <w:w w:val="99"/>
                <w:vertAlign w:val="subscript"/>
              </w:rPr>
              <w:t>($)</w:t>
            </w:r>
            <w:r>
              <w:rPr>
                <w:rFonts w:ascii="Arial" w:cs="Arial" w:eastAsia="Arial" w:hAnsi="Arial"/>
                <w:sz w:val="7"/>
                <w:szCs w:val="7"/>
                <w:b w:val="1"/>
                <w:bCs w:val="1"/>
                <w:color w:val="auto"/>
                <w:w w:val="99"/>
              </w:rPr>
              <w:t>(2)</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8"/>
              </w:rPr>
              <w:t>expiration date</w:t>
            </w:r>
          </w:p>
        </w:tc>
        <w:tc>
          <w:tcPr>
            <w:tcW w:w="1120" w:type="dxa"/>
            <w:vAlign w:val="bottom"/>
          </w:tcPr>
          <w:p>
            <w:pPr>
              <w:jc w:val="center"/>
              <w:ind w:left="195"/>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173"/>
        </w:trPr>
        <w:tc>
          <w:tcPr>
            <w:tcW w:w="1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Sujal Patel</w:t>
            </w:r>
          </w:p>
        </w:tc>
        <w:tc>
          <w:tcPr>
            <w:tcW w:w="12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Borders>
              <w:top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color w:val="auto"/>
              </w:rPr>
              <w:t>238,092</w:t>
            </w:r>
          </w:p>
        </w:tc>
        <w:tc>
          <w:tcPr>
            <w:tcW w:w="260" w:type="dxa"/>
            <w:vAlign w:val="bottom"/>
            <w:tcBorders>
              <w:top w:val="single" w:sz="8" w:color="auto"/>
            </w:tcBorders>
          </w:tcPr>
          <w:p>
            <w:pPr>
              <w:jc w:val="right"/>
              <w:ind w:right="66"/>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5"/>
                <w:szCs w:val="15"/>
                <w:color w:val="auto"/>
              </w:rPr>
            </w:pPr>
          </w:p>
        </w:tc>
        <w:tc>
          <w:tcPr>
            <w:tcW w:w="166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 xml:space="preserve">1,799,438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71"/>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Anna Mowry</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12/3/2020</w:t>
            </w:r>
          </w:p>
        </w:tc>
        <w:tc>
          <w:tcPr>
            <w:tcW w:w="120" w:type="dxa"/>
            <w:vAlign w:val="bottom"/>
          </w:tcPr>
          <w:p>
            <w:pPr>
              <w:spacing w:after="0"/>
              <w:rPr>
                <w:sz w:val="6"/>
                <w:szCs w:val="6"/>
                <w:color w:val="auto"/>
              </w:rPr>
            </w:pPr>
          </w:p>
        </w:tc>
        <w:tc>
          <w:tcPr>
            <w:tcW w:w="132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56"/>
              <w:spacing w:after="0"/>
              <w:rPr>
                <w:sz w:val="20"/>
                <w:szCs w:val="20"/>
                <w:color w:val="auto"/>
              </w:rPr>
            </w:pPr>
            <w:r>
              <w:rPr>
                <w:rFonts w:ascii="Arial" w:cs="Arial" w:eastAsia="Arial" w:hAnsi="Arial"/>
                <w:sz w:val="14"/>
                <w:szCs w:val="14"/>
                <w:color w:val="auto"/>
              </w:rPr>
              <w:t>435,368</w:t>
            </w: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12/3/2030</w:t>
            </w:r>
          </w:p>
        </w:tc>
        <w:tc>
          <w:tcPr>
            <w:tcW w:w="120" w:type="dxa"/>
            <w:vAlign w:val="bottom"/>
          </w:tcPr>
          <w:p>
            <w:pPr>
              <w:spacing w:after="0"/>
              <w:rPr>
                <w:sz w:val="6"/>
                <w:szCs w:val="6"/>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vMerge w:val="restart"/>
          </w:tcPr>
          <w:p>
            <w:pPr>
              <w:jc w:val="right"/>
              <w:ind w:right="3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Subra Sankar</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12/3/2020</w:t>
            </w:r>
          </w:p>
        </w:tc>
        <w:tc>
          <w:tcPr>
            <w:tcW w:w="120" w:type="dxa"/>
            <w:vAlign w:val="bottom"/>
          </w:tcPr>
          <w:p>
            <w:pPr>
              <w:spacing w:after="0"/>
              <w:rPr>
                <w:sz w:val="6"/>
                <w:szCs w:val="6"/>
                <w:color w:val="auto"/>
              </w:rPr>
            </w:pPr>
          </w:p>
        </w:tc>
        <w:tc>
          <w:tcPr>
            <w:tcW w:w="132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56"/>
              <w:spacing w:after="0"/>
              <w:rPr>
                <w:sz w:val="20"/>
                <w:szCs w:val="20"/>
                <w:color w:val="auto"/>
              </w:rPr>
            </w:pPr>
            <w:r>
              <w:rPr>
                <w:rFonts w:ascii="Arial" w:cs="Arial" w:eastAsia="Arial" w:hAnsi="Arial"/>
                <w:sz w:val="14"/>
                <w:szCs w:val="14"/>
                <w:color w:val="auto"/>
              </w:rPr>
              <w:t>725,614</w:t>
            </w: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12/3/2030</w:t>
            </w:r>
          </w:p>
        </w:tc>
        <w:tc>
          <w:tcPr>
            <w:tcW w:w="120" w:type="dxa"/>
            <w:vAlign w:val="bottom"/>
          </w:tcPr>
          <w:p>
            <w:pPr>
              <w:spacing w:after="0"/>
              <w:rPr>
                <w:sz w:val="6"/>
                <w:szCs w:val="6"/>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vMerge w:val="restart"/>
          </w:tcPr>
          <w:p>
            <w:pPr>
              <w:jc w:val="right"/>
              <w:ind w:right="3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-354330</wp:posOffset>
            </wp:positionV>
            <wp:extent cx="7134860" cy="126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-110490</wp:posOffset>
            </wp:positionV>
            <wp:extent cx="7134860" cy="1174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1747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All of the outstanding stock option awards were granted under and subject to the terms of the 2017 Plan (as defined below), described below under “— </w:t>
      </w:r>
      <w:r>
        <w:rPr>
          <w:rFonts w:ascii="Arial" w:cs="Arial" w:eastAsia="Arial" w:hAnsi="Arial"/>
          <w:sz w:val="13"/>
          <w:szCs w:val="13"/>
          <w:i w:val="1"/>
          <w:iCs w:val="1"/>
          <w:color w:val="auto"/>
        </w:rPr>
        <w:t>Nautilus 2017 Equity Incentive Plan</w:t>
      </w:r>
      <w:r>
        <w:rPr>
          <w:rFonts w:ascii="Arial" w:cs="Arial" w:eastAsia="Arial" w:hAnsi="Arial"/>
          <w:sz w:val="13"/>
          <w:szCs w:val="13"/>
          <w:color w:val="auto"/>
        </w:rPr>
        <w:t>”.</w:t>
      </w:r>
    </w:p>
    <w:p>
      <w:pPr>
        <w:spacing w:after="0" w:line="9" w:lineRule="exact"/>
        <w:rPr>
          <w:rFonts w:ascii="Arial" w:cs="Arial" w:eastAsia="Arial" w:hAnsi="Arial"/>
          <w:sz w:val="13"/>
          <w:szCs w:val="13"/>
          <w:color w:val="auto"/>
        </w:rPr>
      </w:pPr>
    </w:p>
    <w:p>
      <w:pPr>
        <w:ind w:left="320" w:right="100" w:hanging="314"/>
        <w:spacing w:after="0" w:line="237" w:lineRule="auto"/>
        <w:tabs>
          <w:tab w:leader="none" w:pos="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stock option awards were granted with a per share exercise price equal to the fair market value of one share of Nautilus Common Stock on the date of grant, as determined in good faith by Old Nautilus’ board of directors.</w:t>
      </w:r>
    </w:p>
    <w:p>
      <w:pPr>
        <w:ind w:left="320" w:right="140" w:hanging="314"/>
        <w:spacing w:after="0" w:line="237" w:lineRule="auto"/>
        <w:tabs>
          <w:tab w:leader="none" w:pos="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unvested shares of common stock purchased pursuant to a restricted stock purchase agreement between Old Nautilus and Mr. Patel in January 2017. These shares fully vested as of January 12, 2021.</w:t>
      </w:r>
    </w:p>
    <w:p>
      <w:pPr>
        <w:ind w:left="320" w:right="80" w:hanging="314"/>
        <w:spacing w:after="0" w:line="237" w:lineRule="auto"/>
        <w:tabs>
          <w:tab w:leader="none" w:pos="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reflects the fair market value of Old Nautilus’ common stock based on the determination of the fair market value by Old Nautilus’ board of directors as of the most proximate date multiplied by the amount shown in the column for the number of shares or units of stock that have not vested.</w:t>
      </w:r>
    </w:p>
    <w:p>
      <w:pPr>
        <w:ind w:left="320" w:right="80" w:hanging="314"/>
        <w:spacing w:after="0" w:line="247" w:lineRule="auto"/>
        <w:tabs>
          <w:tab w:leader="none" w:pos="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Ms. Mowry continuing to be a service provider to Nautilus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12" w:lineRule="exact"/>
        <w:rPr>
          <w:sz w:val="20"/>
          <w:szCs w:val="20"/>
          <w:color w:val="auto"/>
        </w:rPr>
      </w:pPr>
    </w:p>
    <w:p>
      <w:pPr>
        <w:ind w:left="320" w:right="140" w:hanging="314"/>
        <w:spacing w:after="0" w:line="265" w:lineRule="auto"/>
        <w:tabs>
          <w:tab w:leader="none" w:pos="312" w:val="left"/>
        </w:tabs>
        <w:numPr>
          <w:ilvl w:val="0"/>
          <w:numId w:val="63"/>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Dr. Sankar continuing to be a service provider to Nautilus through each such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Sujal Patel</w:t>
      </w:r>
    </w:p>
    <w:p>
      <w:pPr>
        <w:spacing w:after="0" w:line="164" w:lineRule="exact"/>
        <w:rPr>
          <w:sz w:val="20"/>
          <w:szCs w:val="20"/>
          <w:color w:val="auto"/>
        </w:rPr>
      </w:pPr>
    </w:p>
    <w:p>
      <w:pPr>
        <w:ind w:firstLine="318"/>
        <w:spacing w:after="0" w:line="214" w:lineRule="exact"/>
        <w:rPr>
          <w:sz w:val="20"/>
          <w:szCs w:val="20"/>
          <w:color w:val="auto"/>
        </w:rPr>
      </w:pPr>
      <w:r>
        <w:rPr>
          <w:rFonts w:ascii="Arial" w:cs="Arial" w:eastAsia="Arial" w:hAnsi="Arial"/>
          <w:sz w:val="18"/>
          <w:szCs w:val="18"/>
          <w:color w:val="auto"/>
        </w:rPr>
        <w:t>In connection with the Business Combination, we entered into a confirmatory employment letter with Mr. Patel, our Chief Executive Officer. The confirmatory employment letter has no specific term and provides that Mr. Patel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Mr. Patel may have entered into concerning his employment relationship with us. As set forth in the confirmatory employment letter, Mr. Patel’s current annual base salary is $500,000 and he is eligible for a target annual cash bonus opportunity equal to 50.0% of his annual base salary for fiscal year 2021. In 2020, Mr. Patel’s annual base salary was $200,000 and he was eligible for a target annual cash bonus opportunity of $50,000.</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Anna Mowry</w:t>
      </w:r>
    </w:p>
    <w:p>
      <w:pPr>
        <w:spacing w:after="0" w:line="164" w:lineRule="exact"/>
        <w:rPr>
          <w:sz w:val="20"/>
          <w:szCs w:val="20"/>
          <w:color w:val="auto"/>
        </w:rPr>
      </w:pPr>
    </w:p>
    <w:p>
      <w:pPr>
        <w:ind w:right="80" w:firstLine="318"/>
        <w:spacing w:after="0" w:line="214" w:lineRule="exact"/>
        <w:rPr>
          <w:sz w:val="20"/>
          <w:szCs w:val="20"/>
          <w:color w:val="auto"/>
        </w:rPr>
      </w:pPr>
      <w:r>
        <w:rPr>
          <w:rFonts w:ascii="Arial" w:cs="Arial" w:eastAsia="Arial" w:hAnsi="Arial"/>
          <w:sz w:val="18"/>
          <w:szCs w:val="18"/>
          <w:color w:val="auto"/>
        </w:rPr>
        <w:t>In connection with the Business Combination, we entered into a confirmatory employment letter with Ms. Mowry, our Chief Financial Officer. The confirmatory employment letter has no specific term and provides that Ms. Mowry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Ms. Mowry may have entered into concerning her employment relationship with us. As set forth in the confirmatory employment letter, Ms. Mowry’s current annual base salary is $340,000 and she is eligible for a target annual cash bonus opportunity equal to 40.0% of her annual base salary for fiscal year 2021.</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Subra Sankar</w:t>
      </w:r>
    </w:p>
    <w:p>
      <w:pPr>
        <w:spacing w:after="0" w:line="164" w:lineRule="exact"/>
        <w:rPr>
          <w:sz w:val="20"/>
          <w:szCs w:val="20"/>
          <w:color w:val="auto"/>
        </w:rPr>
      </w:pPr>
    </w:p>
    <w:p>
      <w:pPr>
        <w:ind w:firstLine="318"/>
        <w:spacing w:after="0" w:line="215" w:lineRule="exact"/>
        <w:rPr>
          <w:sz w:val="20"/>
          <w:szCs w:val="20"/>
          <w:color w:val="auto"/>
        </w:rPr>
      </w:pPr>
      <w:r>
        <w:rPr>
          <w:rFonts w:ascii="Arial" w:cs="Arial" w:eastAsia="Arial" w:hAnsi="Arial"/>
          <w:sz w:val="17"/>
          <w:szCs w:val="17"/>
          <w:color w:val="auto"/>
        </w:rPr>
        <w:t>In connection with the Business Combination, we entered into a confirmatory employment letter with Dr. Sankar, our Senior Vice President of Product Development. The confirmatory employment letter has no specific term and provides that Dr. Sankar is an at</w:t>
      </w:r>
      <w:r>
        <w:rPr>
          <w:rFonts w:ascii="MS PGothic" w:cs="MS PGothic" w:eastAsia="MS PGothic" w:hAnsi="MS PGothic"/>
          <w:sz w:val="17"/>
          <w:szCs w:val="17"/>
          <w:color w:val="auto"/>
        </w:rPr>
        <w:t>‑</w:t>
      </w:r>
      <w:r>
        <w:rPr>
          <w:rFonts w:ascii="Arial" w:cs="Arial" w:eastAsia="Arial" w:hAnsi="Arial"/>
          <w:sz w:val="17"/>
          <w:szCs w:val="17"/>
          <w:color w:val="auto"/>
        </w:rPr>
        <w:t>will employee. The confirmatory employment letter supersedes all pre-existing agreements and understandings that Dr. Sankar may have entered into concerning his employment relationship with us. As set forth in the confirmatory employment letter, Dr. Sankar’s current annual base salary is $318,000 and he is eligible for a target annual cash bonus opportunity equal to 35.0% of his annual base salary for fiscal year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Incentive Awards</w:t>
      </w:r>
    </w:p>
    <w:p>
      <w:pPr>
        <w:spacing w:after="0" w:line="170" w:lineRule="exact"/>
        <w:rPr>
          <w:sz w:val="20"/>
          <w:szCs w:val="20"/>
          <w:color w:val="auto"/>
        </w:rPr>
      </w:pPr>
    </w:p>
    <w:p>
      <w:pPr>
        <w:ind w:right="500" w:firstLine="318"/>
        <w:spacing w:after="0" w:line="312" w:lineRule="auto"/>
        <w:rPr>
          <w:sz w:val="20"/>
          <w:szCs w:val="20"/>
          <w:color w:val="auto"/>
        </w:rPr>
      </w:pPr>
      <w:r>
        <w:rPr>
          <w:rFonts w:ascii="Arial" w:cs="Arial" w:eastAsia="Arial" w:hAnsi="Arial"/>
          <w:sz w:val="15"/>
          <w:szCs w:val="15"/>
          <w:color w:val="auto"/>
        </w:rPr>
        <w:t>Our equity-based incentive awards are designed to more closely align our interests and those of our stockholders with those of our employees and consultants, including our named executive officers. Our board of directors is responsible for approving equity grants to our employees and consultants, including our named executive officers. In 2020, stock option awards were the only form of equity awards Old Nautilus granted to its named executive officers. Old Nautilus granted equity incentive awards under the terms of its 2017 Equity Incentive Plan (the “2017 Plan”), which was terminated in connection with the Business Combination. The terms of the 2017 Plan are described below under “—</w:t>
      </w:r>
      <w:r>
        <w:rPr>
          <w:rFonts w:ascii="Arial" w:cs="Arial" w:eastAsia="Arial" w:hAnsi="Arial"/>
          <w:sz w:val="15"/>
          <w:szCs w:val="15"/>
          <w:i w:val="1"/>
          <w:iCs w:val="1"/>
          <w:color w:val="auto"/>
        </w:rPr>
        <w:t>Nautilus 2017 Equity Incentive Plan.</w:t>
      </w:r>
      <w:r>
        <w:rPr>
          <w:rFonts w:ascii="Arial" w:cs="Arial" w:eastAsia="Arial" w:hAnsi="Arial"/>
          <w:sz w:val="15"/>
          <w:szCs w:val="15"/>
          <w:color w:val="auto"/>
        </w:rPr>
        <w:t>”</w:t>
      </w:r>
    </w:p>
    <w:p>
      <w:pPr>
        <w:spacing w:after="0" w:line="9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All options under the 2017 Plan were granted with an exercise price per share that was no less than the fair market value of a share of Old Nautilus common stock on the date of grant of such award. Our stock option awards generally vest over a four-year period and may be subject to acceleration of vesting and exercisability under certain termination and change in control events. See “—</w:t>
      </w:r>
      <w:r>
        <w:rPr>
          <w:rFonts w:ascii="Arial" w:cs="Arial" w:eastAsia="Arial" w:hAnsi="Arial"/>
          <w:sz w:val="15"/>
          <w:szCs w:val="15"/>
          <w:i w:val="1"/>
          <w:iCs w:val="1"/>
          <w:color w:val="auto"/>
        </w:rPr>
        <w:t>Outstanding Equity Awards at Fiscal Year-End December 31, 2020</w:t>
      </w:r>
      <w:r>
        <w:rPr>
          <w:rFonts w:ascii="Arial" w:cs="Arial" w:eastAsia="Arial" w:hAnsi="Arial"/>
          <w:sz w:val="15"/>
          <w:szCs w:val="15"/>
          <w:color w:val="auto"/>
        </w:rPr>
        <w: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Grants</w:t>
      </w:r>
    </w:p>
    <w:p>
      <w:pPr>
        <w:spacing w:after="0" w:line="164"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In January 2021, Old Nautilus’ board of directors granted Mr. Patel an option to purchase 788,833 shares of common stock (after giving effect to the exchange upon consummation of the Business Combination). The option was granted under the 2017 Plan and the form of option agreement thereunder and has a per share exercise price of $10.00 (after giving effect to the exchange upon consummation of the Business Combination), the fair market value on the date of grant, as determined in good faith by Old Nautilus’ board of directors. Twenty-five percent (25%)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shares subject to the option shall vest on January 31, 2022, and one thirty-sixth (1/36th) of the remaining shares subject to the option shall vest each month thereafter, subject to Mr. Patel continuing to be a service provider to us through each such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0"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2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Each Old Nautilus named executive officer holds stock options granted subject to the general terms of the 2017 Plan. A description of the termination and change in control provisions in the 2017 Plan and applicable to the stock options granted to Old Nautilus’ named executive officers is provided below under “—</w:t>
      </w:r>
      <w:r>
        <w:rPr>
          <w:rFonts w:ascii="Arial" w:cs="Arial" w:eastAsia="Arial" w:hAnsi="Arial"/>
          <w:sz w:val="15"/>
          <w:szCs w:val="15"/>
          <w:i w:val="1"/>
          <w:iCs w:val="1"/>
          <w:color w:val="auto"/>
        </w:rPr>
        <w:t>Executive Incentive Compensation Plan</w:t>
      </w:r>
      <w:r>
        <w:rPr>
          <w:rFonts w:ascii="Arial" w:cs="Arial" w:eastAsia="Arial" w:hAnsi="Arial"/>
          <w:sz w:val="15"/>
          <w:szCs w:val="15"/>
          <w:color w:val="auto"/>
        </w:rPr>
        <w:t>” and above under “—</w:t>
      </w:r>
      <w:r>
        <w:rPr>
          <w:rFonts w:ascii="Arial" w:cs="Arial" w:eastAsia="Arial" w:hAnsi="Arial"/>
          <w:sz w:val="15"/>
          <w:szCs w:val="15"/>
          <w:i w:val="1"/>
          <w:iCs w:val="1"/>
          <w:color w:val="auto"/>
        </w:rPr>
        <w:t>Outstanding Equity Awards at Fiscal Year-End December 31, 2020</w:t>
      </w:r>
      <w:r>
        <w:rPr>
          <w:rFonts w:ascii="Arial" w:cs="Arial" w:eastAsia="Arial" w:hAnsi="Arial"/>
          <w:sz w:val="15"/>
          <w:szCs w:val="15"/>
          <w:color w:val="auto"/>
        </w:rPr>
        <w:t>.”</w:t>
      </w:r>
    </w:p>
    <w:p>
      <w:pPr>
        <w:spacing w:after="0" w:line="84"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Prior to the Business Combination, Old Nautilus entered into a change in control and severance agreement (each, a “CIC Agreement”) with each of Mr. Patel, Ms. Mowry and Dr. Sankar, that our board of directors approved upon the closing of the Business Combination and that we assumed pursuant to the terms of each CIC Agreement, and which provide for certain severance and change in control benefits as summarized below.</w:t>
      </w:r>
    </w:p>
    <w:p>
      <w:pPr>
        <w:spacing w:after="0" w:line="8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us that provides for severance or change in control payments and benefits.</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Each CIC Agreement has an initial term of three years commencing on June 8, 2021, the business day immediately prior to the closing of the Business Combination.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9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CIC Agreements provide that if, other than during the period beginning three months before a change in control through the one-year anniversary of a change in control, or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our favor:</w:t>
      </w:r>
    </w:p>
    <w:p>
      <w:pPr>
        <w:spacing w:after="0" w:line="141" w:lineRule="exact"/>
        <w:rPr>
          <w:sz w:val="20"/>
          <w:szCs w:val="20"/>
          <w:color w:val="auto"/>
        </w:rPr>
      </w:pPr>
    </w:p>
    <w:p>
      <w:pPr>
        <w:ind w:left="640" w:right="320" w:hanging="316"/>
        <w:spacing w:after="0" w:line="264"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cash payment equal to 100% for Mr. Patel, or 50% for Ms. Mowry and Dr. Sankar, of the named executive officer’s base salary as in effect immediately before such termination; and</w:t>
      </w:r>
    </w:p>
    <w:p>
      <w:pPr>
        <w:spacing w:after="0" w:line="127" w:lineRule="exact"/>
        <w:rPr>
          <w:rFonts w:ascii="Arial" w:cs="Arial" w:eastAsia="Arial" w:hAnsi="Arial"/>
          <w:sz w:val="18"/>
          <w:szCs w:val="18"/>
          <w:color w:val="auto"/>
        </w:rPr>
      </w:pPr>
    </w:p>
    <w:p>
      <w:pPr>
        <w:ind w:left="640" w:right="380" w:hanging="316"/>
        <w:spacing w:after="0" w:line="255"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 by us of the employer portion of the premiums required for continued coverage pursuant to COBRA under our group health, dental and vision care plans for the named executive officer and his or her eligible dependents for up to twelve months for Mr. Patel, or six months for Ms. Mowry and Dr. Sankar.</w:t>
      </w:r>
    </w:p>
    <w:p>
      <w:pPr>
        <w:spacing w:after="0" w:line="13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If, during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38" w:lineRule="exact"/>
        <w:rPr>
          <w:sz w:val="20"/>
          <w:szCs w:val="20"/>
          <w:color w:val="auto"/>
        </w:rPr>
      </w:pPr>
    </w:p>
    <w:p>
      <w:pPr>
        <w:ind w:left="640" w:right="240" w:hanging="316"/>
        <w:spacing w:after="0" w:line="294" w:lineRule="auto"/>
        <w:tabs>
          <w:tab w:leader="none" w:pos="63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lump sum cash payment equal to 150% for Mr. Patel, or 100% for Ms. Mowry and Dr. Sankar, of the named executive officer’s base salary as in effect immediately before such termination or if greater, the base salary in effect immediately before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19" w:lineRule="exact"/>
        <w:rPr>
          <w:sz w:val="20"/>
          <w:szCs w:val="20"/>
          <w:color w:val="auto"/>
        </w:rPr>
      </w:pPr>
    </w:p>
    <w:p>
      <w:pPr>
        <w:ind w:left="640" w:right="320" w:hanging="316"/>
        <w:spacing w:after="0" w:line="25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lump sum cash payment equal to 150% for Mr. Patel, or 100% for Ms. Mowry and Dr. Sankar, of the named executive officer’s target bonus opportunity as in effect immediately before such termination or if greater, the target bonus opportunity in effect immediately before the change in control;</w:t>
      </w:r>
    </w:p>
    <w:p>
      <w:pPr>
        <w:spacing w:after="0" w:line="135" w:lineRule="exact"/>
        <w:rPr>
          <w:rFonts w:ascii="Arial" w:cs="Arial" w:eastAsia="Arial" w:hAnsi="Arial"/>
          <w:sz w:val="18"/>
          <w:szCs w:val="18"/>
          <w:color w:val="auto"/>
        </w:rPr>
      </w:pPr>
    </w:p>
    <w:p>
      <w:pPr>
        <w:ind w:left="640" w:right="80" w:hanging="316"/>
        <w:spacing w:after="0" w:line="25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by us of the premiums required for continued coverage pursuant to COBRA under our group health, dental and vision care plans for the named executive officer and his or her eligible dependents for up to eighteen months for Mr. Patel, or twelve months for Ms. Mowry and Dr. Sankar; and</w:t>
      </w:r>
    </w:p>
    <w:p>
      <w:pPr>
        <w:spacing w:after="0" w:line="135"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equity awards (other than equity awards subject to performance-based vesting criteria) granted to the named executive officer.</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On June 9, 2021, we adopted our Executive Incentive Compensation Plan (the “Incentive Plan”). The Incentive Plan will be administered by the compensation committee of our board of directors. The Incentive Plan allows us to grant incentive awards, generally payable in cash, to employees selected by the administrator, including our executive officers, based upon any performance goals that may be established by the administrator. The below is a summary of the terms of the Incentive Plan.</w:t>
      </w:r>
    </w:p>
    <w:p>
      <w:pPr>
        <w:spacing w:after="0" w:line="13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Under the Incentive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324"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141"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18"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32"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70"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Nautilus 2017 Equity Incentive Plan</w:t>
      </w:r>
    </w:p>
    <w:p>
      <w:pPr>
        <w:spacing w:after="0" w:line="17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2017 Plan allowed Old Nautilus to provide incentive stock options, within the meaning of Section 422 of the Code, nonstatutory stock options, stock appreciation rights, restricted stock awards and restricted stock units (each, an “award” and the recipient of such award, a “participant”) to any of Old Nautilus’ eligible employees, directors, and consultants of and any parent or subsidiary of Old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As of June 30, 2021, and after giving effect to the closing of the Business Combination, stock options covering 7,050,376 shares of Common Stock were outstanding under the 2017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Purposes of the 2017 Plan</w:t>
      </w:r>
    </w:p>
    <w:p>
      <w:pPr>
        <w:spacing w:after="0" w:line="164" w:lineRule="exact"/>
        <w:rPr>
          <w:sz w:val="20"/>
          <w:szCs w:val="20"/>
          <w:color w:val="auto"/>
        </w:rPr>
      </w:pPr>
    </w:p>
    <w:p>
      <w:pPr>
        <w:ind w:right="520" w:firstLine="318"/>
        <w:spacing w:after="0" w:line="255" w:lineRule="auto"/>
        <w:rPr>
          <w:sz w:val="20"/>
          <w:szCs w:val="20"/>
          <w:color w:val="auto"/>
        </w:rPr>
      </w:pPr>
      <w:r>
        <w:rPr>
          <w:rFonts w:ascii="Arial" w:cs="Arial" w:eastAsia="Arial" w:hAnsi="Arial"/>
          <w:sz w:val="18"/>
          <w:szCs w:val="18"/>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135"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2017 Plan provided for the grant of incentive stock options, within the meaning of Section 422 of the Code, to Old Nautilus’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of its parent and subsidiary corporations’ employees, and for the grant of nonstatutory stock options, restricted stock, restricted stock units, and stock appreciation rights to any of Old Nautilus’ employees, directors and consultants and any of its parents or subsidiaries.</w:t>
      </w:r>
    </w:p>
    <w:p>
      <w:pPr>
        <w:spacing w:after="0" w:line="118"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2017 Plan is administered by our board of directors or one or more of its committees. Different committees may administer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2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7"/>
          <w:szCs w:val="17"/>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2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Stock options have been granted under the 2017 Plan. The exercise price of options granted under the 2017 Plan generally must be equal to</w:t>
      </w:r>
      <w:r>
        <w:rPr>
          <w:rFonts w:ascii="Arial" w:cs="Arial" w:eastAsia="Arial" w:hAnsi="Arial"/>
          <w:sz w:val="15"/>
          <w:szCs w:val="15"/>
          <w:i w:val="1"/>
          <w:iCs w:val="1"/>
          <w:color w:val="auto"/>
        </w:rPr>
        <w:t xml:space="preserve"> </w:t>
      </w:r>
      <w:r>
        <w:rPr>
          <w:rFonts w:ascii="Arial" w:cs="Arial" w:eastAsia="Arial" w:hAnsi="Arial"/>
          <w:sz w:val="15"/>
          <w:szCs w:val="15"/>
          <w:color w:val="auto"/>
        </w:rPr>
        <w:t>at least 100% of the fair market value of a share of our Common Stock on the date of grant. The term of an option may not exceed ten years. With respect to any participant who owns more than 10% of the voting power of all 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319"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the 2017 Plan generally will not allow for the transfer of awards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19"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i w:val="1"/>
          <w:iCs w:val="1"/>
          <w:color w:val="auto"/>
        </w:rPr>
        <w:t xml:space="preserve">Certain Adjustments. </w:t>
      </w:r>
      <w:r>
        <w:rPr>
          <w:rFonts w:ascii="Arial" w:cs="Arial" w:eastAsia="Arial" w:hAnsi="Arial"/>
          <w:sz w:val="15"/>
          <w:szCs w:val="15"/>
          <w:color w:val="auto"/>
        </w:rPr>
        <w:t>If any dividend or other distribution (whether in cash, shares, other securities, or other property), recapitalization, stock split, reverse</w:t>
      </w:r>
      <w:r>
        <w:rPr>
          <w:rFonts w:ascii="Arial" w:cs="Arial" w:eastAsia="Arial" w:hAnsi="Arial"/>
          <w:sz w:val="15"/>
          <w:szCs w:val="15"/>
          <w:i w:val="1"/>
          <w:iCs w:val="1"/>
          <w:color w:val="auto"/>
        </w:rPr>
        <w:t xml:space="preserve"> </w:t>
      </w:r>
      <w:r>
        <w:rPr>
          <w:rFonts w:ascii="Arial" w:cs="Arial" w:eastAsia="Arial" w:hAnsi="Arial"/>
          <w:sz w:val="15"/>
          <w:szCs w:val="15"/>
          <w:color w:val="auto"/>
        </w:rPr>
        <w:t>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0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If there is a proposed liquidation or dissolution of our Company, the administrator will notify participants at such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35"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i w:val="1"/>
          <w:iCs w:val="1"/>
          <w:color w:val="auto"/>
        </w:rPr>
        <w:t xml:space="preserve">Merger or Change or Control. </w:t>
      </w:r>
      <w:r>
        <w:rPr>
          <w:rFonts w:ascii="Arial" w:cs="Arial" w:eastAsia="Arial" w:hAnsi="Arial"/>
          <w:sz w:val="18"/>
          <w:szCs w:val="18"/>
          <w:color w:val="auto"/>
        </w:rPr>
        <w:t>The 2017 Plan provides that in the event of our merger or change in control, as defined in the 2017 Plan, each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43"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32" w:lineRule="exact"/>
        <w:rPr>
          <w:sz w:val="20"/>
          <w:szCs w:val="20"/>
          <w:color w:val="auto"/>
        </w:rPr>
      </w:pPr>
    </w:p>
    <w:p>
      <w:pPr>
        <w:jc w:val="both"/>
        <w:ind w:right="120" w:firstLine="318"/>
        <w:spacing w:after="0" w:line="264"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As noted above, as of the day immediately prior to the closing of the Business Combination, the 2017 Plan terminated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not grant any additional awards under the 2017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170" w:lineRule="exact"/>
        <w:rPr>
          <w:sz w:val="20"/>
          <w:szCs w:val="20"/>
          <w:color w:val="auto"/>
        </w:rPr>
      </w:pPr>
    </w:p>
    <w:p>
      <w:pPr>
        <w:jc w:val="both"/>
        <w:ind w:right="220" w:firstLine="318"/>
        <w:spacing w:after="0" w:line="365" w:lineRule="auto"/>
        <w:rPr>
          <w:sz w:val="20"/>
          <w:szCs w:val="20"/>
          <w:color w:val="auto"/>
        </w:rPr>
      </w:pPr>
      <w:r>
        <w:rPr>
          <w:rFonts w:ascii="Arial" w:cs="Arial" w:eastAsia="Arial" w:hAnsi="Arial"/>
          <w:sz w:val="15"/>
          <w:szCs w:val="15"/>
          <w:color w:val="auto"/>
        </w:rPr>
        <w:t>The following paragraphs provide a summary of the principal features of our 2021 Equity Incentive Plan (the “2021 Plan”) and its operation. However, this summary is not a complete description of all of the provisions of the 2021 Plan and is qualified in its entirety by the specific language of the 2021 Plan.</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stock options covering 964,503 shares of Common Stock were outstanding under the 2021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Purposes of the 2021 Plan</w:t>
      </w:r>
    </w:p>
    <w:p>
      <w:pPr>
        <w:spacing w:after="0" w:line="164"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Eligibility</w:t>
      </w:r>
    </w:p>
    <w:p>
      <w:pPr>
        <w:spacing w:after="0" w:line="164" w:lineRule="exact"/>
        <w:rPr>
          <w:sz w:val="20"/>
          <w:szCs w:val="20"/>
          <w:color w:val="auto"/>
        </w:rPr>
      </w:pPr>
    </w:p>
    <w:p>
      <w:pPr>
        <w:jc w:val="both"/>
        <w:ind w:right="220" w:firstLine="318"/>
        <w:spacing w:after="0" w:line="330" w:lineRule="auto"/>
        <w:rPr>
          <w:sz w:val="20"/>
          <w:szCs w:val="20"/>
          <w:color w:val="auto"/>
        </w:rPr>
      </w:pPr>
      <w:r>
        <w:rPr>
          <w:rFonts w:ascii="Arial" w:cs="Arial" w:eastAsia="Arial" w:hAnsi="Arial"/>
          <w:sz w:val="15"/>
          <w:szCs w:val="15"/>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28" w:lineRule="exact"/>
        <w:rPr>
          <w:sz w:val="20"/>
          <w:szCs w:val="20"/>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18,672,200 shares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 number of shares equal to 5% of the outstanding shares of our Common Stock as of the last day of the immediately preceding fiscal year; or</w:t>
      </w:r>
    </w:p>
    <w:p>
      <w:pPr>
        <w:spacing w:after="0" w:line="198" w:lineRule="exact"/>
        <w:rPr>
          <w:rFonts w:ascii="Arial" w:cs="Arial" w:eastAsia="Arial" w:hAnsi="Arial"/>
          <w:sz w:val="15"/>
          <w:szCs w:val="15"/>
          <w:color w:val="auto"/>
        </w:rPr>
      </w:pPr>
    </w:p>
    <w:p>
      <w:pPr>
        <w:ind w:left="640" w:right="240" w:hanging="316"/>
        <w:spacing w:after="0" w:line="264"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04"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64"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3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per-share exercise price for the shares to be issued pursuant to the exercise of a stock appreciation right generally will be no less than 100% of the fair market value per share on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64"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outside (non-employee) directors will be eligible to receive all types of awards (except for incentive stock options) under the 2021 Plan. The 2021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Plan provides that in any given fiscal year, no outside director may be granted any equity awards (including equity awards under the 2021 Plan) (the value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which will be based on their grant date fair value) and be provided any other compensation (including without limitation any cash retainers and fees) that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aggregate exceed $750,000, provided that in the fiscal year of the individual’s initial service as a non-employee director, such amount is increased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$1,000,000. For the purposes of this maximum limit provision, the grant date fair values of awards granted under the 2021 Plan will be determined according</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U.S. GAAP. Any awards or other compensation provided to an individual for his or her services as an employee or a consultant (other than an outside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director), will not count toward this limit. This maximum limit provision does not reflect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intended size of any potential grants or a commitment to make grants to the outside directors under the 2021 Plan in the future.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164"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6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64"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43"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8" w:lineRule="exact"/>
        <w:rPr>
          <w:sz w:val="20"/>
          <w:szCs w:val="20"/>
          <w:color w:val="auto"/>
        </w:rPr>
      </w:pPr>
    </w:p>
    <w:p>
      <w:pPr>
        <w:ind w:right="20" w:firstLine="318"/>
        <w:spacing w:after="0" w:line="214" w:lineRule="exact"/>
        <w:rPr>
          <w:sz w:val="20"/>
          <w:szCs w:val="20"/>
          <w:color w:val="auto"/>
        </w:rPr>
      </w:pPr>
      <w:r>
        <w:rPr>
          <w:rFonts w:ascii="Arial" w:cs="Arial" w:eastAsia="Arial" w:hAnsi="Arial"/>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Forfeiture and Clawback</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64"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principal features of our 2021 Employee Stock Purchase Plan (the “ESPP”) and its operation.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Purpose</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64"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Eligibility</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5" w:name="page126"/>
    <w:bookmarkEnd w:id="125"/>
    <w:p>
      <w:pPr>
        <w:spacing w:after="0" w:line="11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43" w:lineRule="exact"/>
        <w:rPr>
          <w:sz w:val="20"/>
          <w:szCs w:val="20"/>
          <w:color w:val="auto"/>
        </w:rPr>
      </w:pPr>
    </w:p>
    <w:p>
      <w:pPr>
        <w:ind w:right="220" w:firstLine="318"/>
        <w:spacing w:after="0" w:line="365" w:lineRule="auto"/>
        <w:rPr>
          <w:sz w:val="20"/>
          <w:szCs w:val="20"/>
          <w:color w:val="auto"/>
        </w:rPr>
      </w:pPr>
      <w:r>
        <w:rPr>
          <w:rFonts w:ascii="Arial" w:cs="Arial" w:eastAsia="Arial" w:hAnsi="Arial"/>
          <w:sz w:val="15"/>
          <w:szCs w:val="15"/>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Periods and Purchase Periods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35"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Contributions</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6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Participation in the ESPP generally will terminate when a participating employee’s employment with us or a participating subsidiary ceases for any reason, the employee withdraws from the ESPP or we terminate or amend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64"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Prior to the Business Combination, Old Nautilus had no formal policy under which non-employee directors received compensation for their service on the Old Nautilus board of directors or its committees. Old Nautilus’ policy was to reimburse non-employee directors for reasonable and necessary out-of-pocket expenses incurred in connection with attending board and committee meetings or performing other services in their capacities as non-employee directors, and Old Nautilus occasionally granted stock options to non-employee directors.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The table below summarizes the compensation of each person who served as an Old Nautilus non-employee director for the year ended December 31, 2020. Sujal Patel, Old Nautilus’ Chief Executive Officer, did not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additional compensation for his service as a director in 2020. The compensation of Mr. Patel as an Old Nautilus named executive officer is set forth above in this section in the Summary Compensation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980" w:type="dxa"/>
            <w:vAlign w:val="bottom"/>
            <w:gridSpan w:val="2"/>
          </w:tcPr>
          <w:p>
            <w:pPr>
              <w:ind w:left="480"/>
              <w:spacing w:after="0"/>
              <w:rPr>
                <w:sz w:val="20"/>
                <w:szCs w:val="20"/>
                <w:color w:val="auto"/>
              </w:rPr>
            </w:pPr>
            <w:r>
              <w:rPr>
                <w:rFonts w:ascii="Arial" w:cs="Arial" w:eastAsia="Arial" w:hAnsi="Arial"/>
                <w:sz w:val="14"/>
                <w:szCs w:val="14"/>
                <w:b w:val="1"/>
                <w:bCs w:val="1"/>
                <w:color w:val="auto"/>
                <w:w w:val="99"/>
              </w:rPr>
              <w:t>Fees earned or paid in</w:t>
            </w:r>
          </w:p>
        </w:tc>
        <w:tc>
          <w:tcPr>
            <w:tcW w:w="17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20" w:type="dxa"/>
            <w:vAlign w:val="bottom"/>
            <w:vMerge w:val="restart"/>
          </w:tcPr>
          <w:p>
            <w:pPr>
              <w:spacing w:after="0"/>
              <w:rPr>
                <w:sz w:val="14"/>
                <w:szCs w:val="14"/>
                <w:color w:val="auto"/>
              </w:rPr>
            </w:pPr>
          </w:p>
        </w:tc>
        <w:tc>
          <w:tcPr>
            <w:tcW w:w="186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Non-equity incentive plan</w:t>
            </w:r>
          </w:p>
        </w:tc>
        <w:tc>
          <w:tcPr>
            <w:tcW w:w="1780" w:type="dxa"/>
            <w:vAlign w:val="bottom"/>
            <w:gridSpan w:val="2"/>
            <w:vMerge w:val="restart"/>
          </w:tcPr>
          <w:p>
            <w:pPr>
              <w:jc w:val="right"/>
              <w:ind w:right="23"/>
              <w:spacing w:after="0"/>
              <w:rPr>
                <w:sz w:val="20"/>
                <w:szCs w:val="20"/>
                <w:color w:val="auto"/>
              </w:rPr>
            </w:pPr>
            <w:r>
              <w:rPr>
                <w:rFonts w:ascii="Arial" w:cs="Arial" w:eastAsia="Arial" w:hAnsi="Arial"/>
                <w:sz w:val="14"/>
                <w:szCs w:val="14"/>
                <w:b w:val="1"/>
                <w:bCs w:val="1"/>
                <w:color w:val="auto"/>
                <w:w w:val="95"/>
              </w:rPr>
              <w:t>All other compensation ($)</w:t>
            </w:r>
          </w:p>
        </w:tc>
        <w:tc>
          <w:tcPr>
            <w:tcW w:w="100" w:type="dxa"/>
            <w:vAlign w:val="bottom"/>
            <w:vMerge w:val="restart"/>
          </w:tcPr>
          <w:p>
            <w:pPr>
              <w:spacing w:after="0"/>
              <w:rPr>
                <w:sz w:val="14"/>
                <w:szCs w:val="14"/>
                <w:color w:val="auto"/>
              </w:rPr>
            </w:pPr>
          </w:p>
        </w:tc>
        <w:tc>
          <w:tcPr>
            <w:tcW w:w="14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6"/>
        </w:trPr>
        <w:tc>
          <w:tcPr>
            <w:tcW w:w="22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cash ($)</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 ($)</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Melissa Epperly</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2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200,250</w:t>
            </w:r>
          </w:p>
        </w:tc>
        <w:tc>
          <w:tcPr>
            <w:tcW w:w="380" w:type="dxa"/>
            <w:vAlign w:val="bottom"/>
          </w:tcPr>
          <w:p>
            <w:pPr>
              <w:jc w:val="right"/>
              <w:ind w:right="14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250,250</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McIlwain</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Stuart Nagae</w:t>
            </w: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Farzad Nazem</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Posard</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54,678</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6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ind w:left="320" w:right="220" w:hanging="314"/>
        <w:spacing w:after="0" w:line="255" w:lineRule="auto"/>
        <w:tabs>
          <w:tab w:leader="none" w:pos="312"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This amount represents a performance-based cash bonus earned by Dr. Mallick under Old Nautilus’ 2020 annual bonus program based upon the achievement of objectives for the year ended December 31, 2020, which was paid in 2021. Old Nautilus’ bonus plan is more fully described above under the section titled “—Non-Equity Incentive Plan Compensation.”</w:t>
      </w:r>
    </w:p>
    <w:p>
      <w:pPr>
        <w:ind w:left="320" w:hanging="314"/>
        <w:spacing w:after="0" w:line="237"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(i) $200,000 in consulting fees received by Dr. Mallick for his services as Old Nautilus’ Chief Scientist and (ii) $250 for expenses associated with working from home.</w:t>
      </w:r>
    </w:p>
    <w:p>
      <w:pPr>
        <w:ind w:left="320" w:hanging="314"/>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fees paid to Mr. Posard for consulting services.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Stock Option Grants</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In January 2021, Old Nautilus’ board of directors granted options to purchase 36,280 shares of common stock (after giving effect to the exchange upon consummation of the Business Combination) to each of Mr. McIlwain, Mr. Nazem, Dr. Pande and Mr. Posard, and an option to purchase 72,561 shares of common stock (after giving effect to the exchange upon consummation of the Business Combination) to Ms. Epperly. Each option was granted under the 2017 Plan and the form of option agreement thereunder and has a per share exercise price of $10.00 (after giving effect to the exchange upon consummation of the Business Combination), the fair market value of one share of common stock on the date of grant, as determined in good faith by Old Nautilus’ board of directors. Subject to the applicable individual continuing to be a service provider to us through such date, 100% of the shares subject to each such option shall vest on the earlier of (a) January 31, 2022 and (b) the day immediately before the date of the next annual meeting of our stockholders following the closing of the Business Combination.</w:t>
      </w:r>
    </w:p>
    <w:p>
      <w:pPr>
        <w:spacing w:after="0" w:line="128"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Also in January 2021, Old Nautilus’ board of directors granted Dr. Mallick an option to purchase 464,019 shares of common stock (after giving effect to the exchange upon consummation of the Business Combination). The option was granted under the 2017 Plan and the form of option agreement thereunder and has a per share exercise price of $10.00 (after giving effect to the exchange upon consummation of the Business Combination), the fair market value of one share of common stock on the date of grant, as determined in good faith by Old Nautilus’ board of directors. Twenty-five percent (25%) of the shares subject to the option shall vest on January 31, 2022, and one thirty-sixth (1/36th) of the remaining shares subject to the option shall vest each month thereafter, subject to Dr. Mallick continuing to be a service provider to us through each such date.</w:t>
      </w:r>
    </w:p>
    <w:p>
      <w:pPr>
        <w:spacing w:after="0" w:line="126"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In June 2021, Mr. Altman received an option to purchase 44,435 shares of New Nautilus common stock pursuant to the New Nautilus Outside Director Compensation Policy. The option was granted under the 2021 Plan and the form of option agreement thereunder and has a per share exercise price of $11.16, the fair market value of one share of New Nautilus’ common stock on the date of grant. One thirty-sixth (1/36th) of the shares subject to the option shall vest each month beginning June 9, 2021, subject to Mr. Altman continuing to be a service provider to 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Mallick Agreements</w:t>
      </w:r>
    </w:p>
    <w:p>
      <w:pPr>
        <w:spacing w:after="0" w:line="164" w:lineRule="exact"/>
        <w:rPr>
          <w:sz w:val="20"/>
          <w:szCs w:val="20"/>
          <w:color w:val="auto"/>
        </w:rPr>
      </w:pPr>
    </w:p>
    <w:p>
      <w:pPr>
        <w:ind w:firstLine="318"/>
        <w:spacing w:after="0" w:line="214" w:lineRule="exact"/>
        <w:rPr>
          <w:sz w:val="20"/>
          <w:szCs w:val="20"/>
          <w:color w:val="auto"/>
        </w:rPr>
      </w:pPr>
      <w:r>
        <w:rPr>
          <w:rFonts w:ascii="Arial" w:cs="Arial" w:eastAsia="Arial" w:hAnsi="Arial"/>
          <w:sz w:val="18"/>
          <w:szCs w:val="18"/>
          <w:color w:val="auto"/>
        </w:rPr>
        <w:t>In connection with the Business Combination, we entered into a confirmatory employment letter with Dr. Mallick, our Chief Scientist and a member of our board of directors. The confirmatory employment letter has no specific term and provides that Dr. Mallick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Dr. Mallick may have entered into concerning his relationship as a service provider to Nautilus. Dr. Mallick’s current annual base salary is $400,000 and he is eligible for a target annual cash bonus opportunity equal to fifty percent (50%) of his annual base salary for fiscal year 2021. In 2020, Dr. Mallick’s annual base salary was $200,000 and he was eligible for a target annual cash bonus opportunity of $50,000.</w:t>
      </w:r>
    </w:p>
    <w:p>
      <w:pPr>
        <w:spacing w:after="0" w:line="14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Also in connection with the Merger, Old Nautilus had entered into a change in control and severance agreement (the “Mallick CIC Agreement”) with Dr. Mallick, which provides for certain severance and change in control benefits as summarized below, which was approved by our board of directors and assumed by us pursuant to the terms of the Mallick CIC Agreement in connection with the closing of the Business Combination, and supersedes any prior agreement or arrangement that Dr. Mallick may have had with Old Nautilus that provides for severance or change in control payments and benefits.</w:t>
      </w:r>
    </w:p>
    <w:p>
      <w:pPr>
        <w:spacing w:after="0" w:line="93"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The Mallick CIC Agreement has an initial term of three years commencing on June 8, 2021, the business day immediately prior to the closing of the Merger. On the three-year anniversary of the effective date of the Mallick CIC Agreement, the agreement will renew automatically for additional one year terms unless either party provides the other party with written notice of nonrenewal at least ninety (90) days prior to the date of automatic renewal. However, if a change in control (as defined in the Mallick CIC Agreement) occurs when there are fewer than twelve months remaining during the initial term or during an additional term, the term of the Mallick CIC Agreement will extend automatically through the date that is twelve months following the date of the change in control.</w:t>
      </w:r>
    </w:p>
    <w:p>
      <w:pPr>
        <w:spacing w:after="0" w:line="143"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Mallick CIC Agreement provides that if, other than during the period beginning three months before a change in control through the one-year anniversary of a change in control (the “CIC Period”), Dr. Mallick’s employment with Nautilus is terminated either (x) by us without cause (as defined in the Mallick CIC Agreement, and excluding by reason of his or her death or disability) or (y) by Dr. Mallick for good reason (as defined in the Mallick CIC Agreement), then Dr. Mallick will receive the following severance payments and benefits if he timely executes and does not revoke a separation agreement and release of claims in our favor:</w:t>
      </w:r>
    </w:p>
    <w:p>
      <w:pPr>
        <w:spacing w:after="0" w:line="141" w:lineRule="exact"/>
        <w:rPr>
          <w:sz w:val="20"/>
          <w:szCs w:val="20"/>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lump sum cash payment equal to 50% of his base salary as in effect immediately before such termination;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payment of premiums for group health, dental and vision coverage under COBRA for Dr. Mallick and his eligible dependents for up to six months.</w:t>
      </w:r>
    </w:p>
    <w:p>
      <w:pPr>
        <w:spacing w:after="0" w:line="199"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If, during the CIC Period, Dr. Mallick’s employment with us is terminated either (x) by us without cause (as defined in the CIC Agreement, and excluding by reason of his death or disability) or (y) by Dr. Mallick for good reason (as defined in the Mallick CIC Agreement), Dr. Mallick will receive the following severance payments and benefits if he timely executes and does not revoke a separation agreement and release of claims in Nautilus’ favor:</w:t>
      </w:r>
    </w:p>
    <w:p>
      <w:pPr>
        <w:spacing w:after="0" w:line="84" w:lineRule="exact"/>
        <w:rPr>
          <w:sz w:val="20"/>
          <w:szCs w:val="20"/>
          <w:color w:val="auto"/>
        </w:rPr>
      </w:pPr>
    </w:p>
    <w:p>
      <w:pPr>
        <w:ind w:left="640" w:right="3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lump sum cash payment equal to 100% of his base salary as in effect immediately before such termination or if greater, the base salary in effect immediately before the change in control;</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lump sum cash payment equal to 100% of Dr. Mallick’s target bonus opportunity as in effect immediately before such termination or if greater, the target bonus opportunity in effect immediately before the change in control;</w:t>
      </w:r>
    </w:p>
    <w:p>
      <w:pPr>
        <w:spacing w:after="0" w:line="127" w:lineRule="exact"/>
        <w:rPr>
          <w:rFonts w:ascii="Arial" w:cs="Arial" w:eastAsia="Arial" w:hAnsi="Arial"/>
          <w:sz w:val="18"/>
          <w:szCs w:val="18"/>
          <w:color w:val="auto"/>
        </w:rPr>
      </w:pPr>
    </w:p>
    <w:p>
      <w:pPr>
        <w:ind w:left="640" w:right="5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 of premiums for group health, dental and vision coverage under COBRA for Dr. Mallick and his eligible dependents for up to twelve months; and</w:t>
      </w:r>
    </w:p>
    <w:p>
      <w:pPr>
        <w:spacing w:after="0" w:line="127" w:lineRule="exact"/>
        <w:rPr>
          <w:rFonts w:ascii="Arial" w:cs="Arial" w:eastAsia="Arial" w:hAnsi="Arial"/>
          <w:sz w:val="18"/>
          <w:szCs w:val="18"/>
          <w:color w:val="auto"/>
        </w:rPr>
      </w:pPr>
    </w:p>
    <w:p>
      <w:pPr>
        <w:ind w:left="640" w:right="88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 accelerated vesting and exercisability of Dr. Mallick’s outstanding and unvested equity awards (other than equity awards subject to performance-based vesting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19"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Mallick CIC Agreement provides that, if any of the amounts provided for under the Mallick CIC Agreement or otherwise payable to Dr. Mallick would constitute “parachute payments” within the meaning of Internal Revenue Code Section 280G and could be subject to the related excise tax, Dr. Mallick would receive (to the extent he is entitled to such receipt) either the full payment of benefits under the Mallick CIC Agreement or such lesser amount that would result in no portion of the payments and benefits being subject to the excise tax, whichever results in the greater amount of after-tax benefits to Dr. Mallick. The Mallick CIC Agreement does not provide for any tax gross-ups in connection with a change in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Our board of directors expects to review director compensation periodically to ensure that director compensation remains competitive such that we are able to recruit and retain qualified directors. In 2020, the compensation committee of the Old Nautilus board of directors retained Compensia, a third-party compensation consultant, to provide the Old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became effective as of the day immediately prior to the closing of the Business Combination.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64" w:lineRule="exact"/>
        <w:rPr>
          <w:sz w:val="20"/>
          <w:szCs w:val="20"/>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$20,000 per year for service as chair of our audit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$10,000 per year for service as a member of our audit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$14,000 per year for service as chair of our compensation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$7,000 per year for service as a member of our compensation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$10,000 per year for service as chair of our nominating and corporate governance committee;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$5,000 per year for service as a member of our nominating and corporate governance committee.</w:t>
      </w:r>
    </w:p>
    <w:p>
      <w:pPr>
        <w:spacing w:after="0" w:line="164"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Equity Compensation</w:t>
      </w:r>
    </w:p>
    <w:p>
      <w:pPr>
        <w:spacing w:after="0" w:line="16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i w:val="1"/>
          <w:iCs w:val="1"/>
          <w:color w:val="auto"/>
        </w:rPr>
        <w:t>Initial Award</w:t>
      </w:r>
      <w:r>
        <w:rPr>
          <w:rFonts w:ascii="Arial" w:cs="Arial" w:eastAsia="Arial" w:hAnsi="Arial"/>
          <w:sz w:val="15"/>
          <w:szCs w:val="15"/>
          <w:color w:val="auto"/>
        </w:rPr>
        <w:t>. Pursuant to our Outside Director Compensation Policy, each person who first becomes a non-employee director after the effective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policy will receive, on the first trading day on or after the date that the person first becomes a non-employee director, an initial award of stock options to purchase shares of our common stock (the “Initial Award”). The Initial Award will have an aggregate grant date fair value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0" w:name="page131"/>
    <w:bookmarkEnd w:id="130"/>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accordance with U.S. GAAP) of $370,000.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i w:val="1"/>
          <w:iCs w:val="1"/>
          <w:color w:val="auto"/>
        </w:rPr>
        <w:t>Annual Award</w:t>
      </w:r>
      <w:r>
        <w:rPr>
          <w:rFonts w:ascii="Arial" w:cs="Arial" w:eastAsia="Arial" w:hAnsi="Arial"/>
          <w:sz w:val="17"/>
          <w:szCs w:val="17"/>
          <w:color w:val="auto"/>
        </w:rPr>
        <w:t>. Each non-employee director automatically will receive, on the first trading day immediately after the date of each annual meeting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 “Annual Meeting”) that occurs following the effective date of our Outside Director Compensation Policy, an annual award of stock options to purchase shares of our common stock (the “Annual Award”).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1/12th of the shares of our common stock subject to such award on a monthly basis following the Annual Award’s grant date, on the same day of the month as the grant date, subject to continued services to us through the applicable vesting dates.</w:t>
      </w:r>
    </w:p>
    <w:p>
      <w:pPr>
        <w:spacing w:after="0" w:line="132"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the 2021 Plan, each non-employee director’s then outstanding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covering shares of our common stock that were granted to him or her while a non-employee director will accelerate vesting in full, provided that he or she remains a non-employee director through the date of such change in control.</w:t>
      </w:r>
    </w:p>
    <w:p>
      <w:pPr>
        <w:spacing w:after="0" w:line="135"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the 2021 Plan (or its successor plan, as applicable) and form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such plan. These awards will have a maximum term to expiration of ten years from their grant and a per share exercise price equal to 100% of the fair market value of a share of our common stock on the award’s grant date.</w:t>
      </w:r>
    </w:p>
    <w:p>
      <w:pPr>
        <w:spacing w:after="0" w:line="135"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non-employee director may be paid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170"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Described below are any transactions occurring since January 1, 2019 and any currently proposed transactions to which we or either of ARYA or Old Nautilus was a party and in which:</w:t>
      </w:r>
    </w:p>
    <w:p>
      <w:pPr>
        <w:spacing w:after="0" w:line="128" w:lineRule="exact"/>
        <w:rPr>
          <w:sz w:val="20"/>
          <w:szCs w:val="20"/>
          <w:color w:val="auto"/>
        </w:rPr>
      </w:pPr>
    </w:p>
    <w:p>
      <w:pPr>
        <w:ind w:left="640" w:right="10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or 1% of the average of our, ARYA or Old Nautilus’ total assets, as applicable, at year-end for the last two completed fiscal years; and</w:t>
      </w:r>
    </w:p>
    <w:p>
      <w:pPr>
        <w:spacing w:after="0" w:line="127"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the outstanding capital stock of us, ARYA or Old Nautilus, or any member of such person’s immediate family had or will have a direct or indirect material 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Transactions—ARYA</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64"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On March 2, 2020, ARYA Sciences Holdings III, a Cayman Islands exempted limited company and ARYA’s sponsor (the “Sponsor”) paid $25,000 to cover certain offering costs of ARYA in consideration of 3,593,750 of ARYA’s Class B ordinary shares. On August 6, 2020, ARYA effected a share capitalization resulting in the Sponsor and Todd Wider, Bradley L. Campbell and Saqib Islam, each of whom were on ARYA’s board of directors (together with Sponsor, the “initial shareholders”) holding 3,737,500 of ARYA’s Class B ordinary shares. All ARYA share numbers and the associated amounts referenced herein have been retroactively restated to reflect the share capitalization. The Sponsor agreed to forfeit up to 487,500 of ARYA’s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ARYA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ARYA Class B ordinary shares were no longer subject to forfeiture. Upon the Domestication, all of the Class B ordinary shares were exchanged for shares of Common Stock of Nautilus.</w:t>
      </w:r>
    </w:p>
    <w:p>
      <w:pPr>
        <w:spacing w:after="0" w:line="32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ARYA Class B ordinary shares until the earlier to occur of: (A) one year after the completion of the Business Combination and (B) subsequent to the Business Combination, (x) if the closing price of our Common Stock equals or exceeds $12.00 per share (as adjusted for share splits, share capitalizations, reorganizations, recapitalizations and the like) for any 20 trading days within any 30-trading day period commencing at least 150 days after the Business Combination, or (y) the date on which ARYA completes a liquidation, merger, share exchange, reorganization or other similar transaction that results in all of ARYA’s public shareholders having the right to exchange their ordinary shares for cash, securities or other property. Pursuant to the terms of the Sponsor Letter Agreement, as described below, upon the closing of the Business Combination these restrictions terminated upon the closing of the Business Combination. Effective as of the closing of the Business Combination, all shares of Common Stock issued upon the exchange of the Class B ordinary shares are subject to the lock-up restrictions set forth in the Amended and Restated Registration Rights and Lock-Up Agreement described below.</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Private Placement Shares – IPO</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Simultaneously with the closing of ARYA’s initial public offering, the Sponsor purchased an aggregate of 499,000 private placement shares at a price of $10.00 per private placement unit in a private placement, generating gross proceeds of approximately $5.0 million. A portion of these proceeds were added to the proceeds from ARYA’s initial public offering.</w:t>
      </w:r>
    </w:p>
    <w:p>
      <w:pPr>
        <w:spacing w:after="0" w:line="135"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private placement shares are subject to the lock-up period described in the Amended and Restated Registration Rights and Lock-Up Agreement that was executed by the Sponsor in connection with the execution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On April 2, 2020, Sponsor agreed to loan ARYA an aggregate of up to $300,000 to cover expenses related to ARYA’s initial public offering pursuant to a promissory note (the “Note”). This loan was non-interest bearing and payable on the earlier of December 31, 2020 or the completion of ARYA’s initial public offering. Sponsor paid an aggregate of approximately $200,000 to cover for expenses on ARYA’s behalf under the Note. On August 11, 2020, ARYA repaid the Note in full.</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6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Effective August 11, 2020, ARYA entered into an agreement to pay monthly expenses of $10,000 for office space, administrative services and support services to Sponsor. ARYA incurred approximately $98,000 for these services from March 27, 2020 (inception) through the closing of the Business Combination. The letter automatically terminated upon the completion of the Business Combination.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Reference is made to the discussion of the Amended and Restated Registration Rights and Lock-Up Agreement in the section below entitled “</w:t>
      </w:r>
      <w:r>
        <w:rPr>
          <w:rFonts w:ascii="Arial" w:cs="Arial" w:eastAsia="Arial" w:hAnsi="Arial"/>
          <w:sz w:val="18"/>
          <w:szCs w:val="18"/>
          <w:i w:val="1"/>
          <w:iCs w:val="1"/>
          <w:color w:val="auto"/>
        </w:rPr>
        <w:t>—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Transactions—Old Nautilus</w:t>
      </w:r>
      <w:r>
        <w:rPr>
          <w:rFonts w:ascii="Arial" w:cs="Arial" w:eastAsia="Arial" w:hAnsi="Arial"/>
          <w:sz w:val="18"/>
          <w:szCs w:val="18"/>
          <w:color w:val="auto"/>
        </w:rPr>
        <w:t>”.</w:t>
      </w:r>
    </w:p>
    <w:p>
      <w:pPr>
        <w:spacing w:after="0" w:line="128"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ARYA previously entered into a registration and shareholder rights agreement, dated August 11, 2020 (the “ARYA Registration and Shareholder Rights Agreement”), pursuant to which its initial shareholders and their permitted transferees, if any, were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Concurrently with the execution of the Business Combination Agreement, the Sponsor, ARYA, Todd Wider, Bradley L. Campbell and Saqib Islam and Old Nautilus entered into the Sponsor Letter Agreement, pursuant to which the Sponsor and each of Todd Wider, Bradley L. Campbell and Saqib Islam agreed to, among other things, (i) vote in favor of the Business Combination Agreement and the transactions contemplated thereby (ii) waive any adjustment to the conversion ratio set forth in the governing documents of ARYA or any other anti-dilution or similar protection with respect to ARYA’s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Reference is made to the discussion of the PIPE Financing in the section below entitled “</w:t>
      </w:r>
      <w:r>
        <w:rPr>
          <w:rFonts w:ascii="Arial" w:cs="Arial" w:eastAsia="Arial" w:hAnsi="Arial"/>
          <w:sz w:val="18"/>
          <w:szCs w:val="18"/>
          <w:i w:val="1"/>
          <w:iCs w:val="1"/>
          <w:color w:val="auto"/>
        </w:rPr>
        <w:t>— Certain Relationships and Related Person Transactions—Old</w:t>
      </w:r>
      <w:r>
        <w:rPr>
          <w:rFonts w:ascii="Arial" w:cs="Arial" w:eastAsia="Arial" w:hAnsi="Arial"/>
          <w:sz w:val="18"/>
          <w:szCs w:val="18"/>
          <w:color w:val="auto"/>
        </w:rPr>
        <w:t xml:space="preserve"> </w:t>
      </w:r>
      <w:r>
        <w:rPr>
          <w:rFonts w:ascii="Arial" w:cs="Arial" w:eastAsia="Arial" w:hAnsi="Arial"/>
          <w:sz w:val="18"/>
          <w:szCs w:val="18"/>
          <w:i w:val="1"/>
          <w:iCs w:val="1"/>
          <w:color w:val="auto"/>
        </w:rPr>
        <w:t>Nautilus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Transactions—Old Nautilus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B Preferred Stock Issuance</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April and May 2020, Old Nautilus issued and sold an aggregate of 6,109,232 shares of its Series B preferred stock (before giving effect to the exchange upon consummation of the Business Combination) at a purchase price of $12.45 per share (before giving effect to the exchange upon consummation of the Business Combination) for an aggregate purchase price of $76.1 million.</w:t>
      </w:r>
    </w:p>
    <w:p>
      <w:pPr>
        <w:spacing w:after="0" w:line="135"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Purchasers of Old Nautilus’ Series B preferred stock included stockholders that beneficially owned more than 5% of Old Nautilus’ outstanding capital stock at the time of such transaction and/or were represented on 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Nautilus’ board of directors at the time of the transaction. The following table presents the number of shares and the total purchase price paid by these entities (in each case before giving effect to the exchange upon consummation of the Business Combination).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Shares of Series B</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Purchase Price ($)</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20,000,004</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963,855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11,999,995</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AH Bio Fund II, L.P.</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9,999,989</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PFV I, LLC</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HAND Capital, LLC </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Stuart Nagae was a member of Old Nautilus’ board of directors and is an affiliate of Vulcan Capital.</w:t>
      </w:r>
    </w:p>
    <w:p>
      <w:pPr>
        <w:ind w:left="320" w:hanging="314"/>
        <w:spacing w:after="0" w:line="23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Old Nautilus’ board of directors and is an affiliate of Madrona Venture Fund VI. .</w:t>
      </w:r>
    </w:p>
    <w:p>
      <w:pPr>
        <w:ind w:left="320" w:hanging="314"/>
        <w:spacing w:after="0" w:line="23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Old Nautilus’ board of directors and is an affiliate of Andreessen Horowitz.</w:t>
      </w:r>
    </w:p>
    <w:p>
      <w:pPr>
        <w:ind w:left="320" w:hanging="314"/>
        <w:spacing w:after="0" w:line="23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Sujal Patel is a member of our board of directors and was a member of Old Nautilus’ board of directors and is the manager of PFV I, LLC.</w:t>
      </w:r>
    </w:p>
    <w:p>
      <w:pPr>
        <w:ind w:left="320" w:hanging="314"/>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Old Nautilus’ board of directors and is the manager of HAND Capital, LLC.</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Old Nautilus Registration Rights Agreement</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Old Nautilus was party to an amended and restated registration rights agreement with certain holders of its capital stock, including, among others, AH Bio Fund II, L.P., entities affiliated with Vulcan Capital, entities affiliated with Madrona Venture Fund VI, PFV I, LLC (an affiliate of Sujal Patel, Chief Executive Officer, President and a director of Nautilus) and HAND Capital, LLC (an affiliate of Farzad Nazem, a director of Nautilus). Under Old Nautilus’ amended and restated registration rights agreement, certain holders of Old Nautilus’ capital stock had the right to demand that Old Nautilus file a registration statement or request that their shares of capital stock be covered by a registration statement that Old Nautilus is otherwise filing. Upon the consummation of the Business Combination, Old Nautilus’ amended and restated registration rights agreement terminated.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Old Nautilus was party to an amended and restated voting agreement, as amended, with certain holders of its capital stock, including, among others, Sujal Patel, our, and previously Old Nautilus’ Chief Executive Officer, President and director, Parag Mallick, our, and previously Old Nautilus’ Chief Scientist and director, AH Bio Fund II, L.P., entities affiliated with Vulcan Capital, entities affiliated with Madrona Venture Fund VI, PFV I, LLC (an affiliate of Mr. Patel) and HAND Capital, LLC (an affiliate of Farzad Nazem, a director of ours, and, prior to that, of Old Nautilus). The parties to the voting agreement agreed, subject to certain conditions, to vote the shares of Old Nautilus capital stock held by them so as to maintain the size of the Old Nautilus’ board of directors at 9 and to elect the following individuals as directors: (1) one individual designated by a majority-in-interest of the holders of Old Nautilus’ Series Seed Preferred Stock, (2) one individual designated by AH Bio Fund II, L.P., (3) one individual designated by entities affiliated with Vulcan Capital, (4) two individuals designated by a majority-in-interest of certain holders of Old Nautilus’ common stock, (5) one individual who is an independent outside industry expert approved unanimously by the other members of Old Nautilus’ board of directors, (6) one individual who is an independent outside industry expert approved by the majority of the members of Old Nautilus’ board of directors, and (7) two individuals designated by a majority of the other members of Old Nautilus’ board of directors.</w:t>
      </w:r>
    </w:p>
    <w:p>
      <w:pPr>
        <w:spacing w:after="0" w:line="135"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Upon the consummation of the Business Combination, the obligations of the parties to the voting agreement to vote their shares so as to elect these nominees, as well as the other rights and obligations under this agreement, terminated and none of Old Nautilus’ stockholders have any special rights regarding the nomination, election or designation of members of our board of directors pursuant to such agreement. Old Nautilus’ certificate of incorporation as in effect prior to the consummation of the Business Combination contained provisions regarding election of members of the board of directors that corresponded to the amended and restated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9"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however, such provisions were removed in the certificate of incorporation that became effective in connection with the consummation of the Business Combination.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Old Nautilus entered into indemnification agreements with its directors and executive officers and we have entered into separate indemnification agreements with our directors and executive officers, in addition to the indemnification provided for in our Certificate of Incorporation and our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9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limitation of liability and indemnification provisions in our Certificate of Incorporation and our Bylaws may discourage stockholders from bringing a lawsuit against directors for breach of their fiduciary duties. They may also reduce the likelihood of derivative litigation against directors and executive officers, even though an action, if successful, might benefit us and our stockholders. A stockholder’s investment may decline in value to the extent we pay the costs of settlement and damage awards against directors and executive officers pursuant to these indemnification provisions.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Transfer Agreement</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On February 7, 2021, Old Nautilus, Parag Mallick, our, and previously Old Nautilus’, Chief Scientist and director, and certain holders of Old Nautilus capital stock or their affiliates entered into a Stock Transfer Agreement pursuant to which Dr. Mallick transferred and sold an aggregate total of 147,275 shares (before giving effect to the exchange upon consummation of the Business Combination) to the purchasers party thereto at a price per share of $33.95 (before giving effect to the exchange upon consummation of the Business Combination) for aggregate gross proceeds of $4,999,986.25. Old Nautilus did not purchase any of the shares sold by Dr. Mallick pursuant to the agreement and was a party to the agreement solely for the purpose of acknowledging the transfer and waiving certain restrictions on transfer governing the shares set forth in the existing Old Nautilus shareholder agreements and governing documents. Purchasers in the transaction included stockholders that beneficially owned more than 5% of Old Nautilus’ outstanding capital stock at the time of such transaction and/or were represented on Old Nautilus’ board of directors at the time of the transaction. The following table presents the number of shares and the total purchase price paid by these entities.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00" w:type="dxa"/>
            <w:vAlign w:val="bottom"/>
            <w:vMerge w:val="restart"/>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 of Nautilus</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Purchase Price ($)</w:t>
            </w:r>
          </w:p>
        </w:tc>
        <w:tc>
          <w:tcPr>
            <w:tcW w:w="0" w:type="dxa"/>
            <w:vAlign w:val="bottom"/>
          </w:tcPr>
          <w:p>
            <w:pPr>
              <w:spacing w:after="0"/>
              <w:rPr>
                <w:sz w:val="1"/>
                <w:szCs w:val="1"/>
                <w:color w:val="auto"/>
              </w:rPr>
            </w:pPr>
          </w:p>
        </w:tc>
      </w:tr>
      <w:tr>
        <w:trPr>
          <w:trHeight w:val="185"/>
        </w:trPr>
        <w:tc>
          <w:tcPr>
            <w:tcW w:w="7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2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8"/>
                <w:szCs w:val="18"/>
                <w:color w:val="auto"/>
                <w:w w:val="95"/>
              </w:rPr>
              <w:t>Andreessen Horowitz LSV Fund II, LP, for itself and as nominee for Andreessen Horowitz LSV Fund II-B,</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74,490</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2,528,936</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2"/>
                <w:szCs w:val="22"/>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904,360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796,060</w:t>
            </w:r>
          </w:p>
        </w:tc>
        <w:tc>
          <w:tcPr>
            <w:tcW w:w="0" w:type="dxa"/>
            <w:vAlign w:val="bottom"/>
          </w:tcPr>
          <w:p>
            <w:pPr>
              <w:spacing w:after="0"/>
              <w:rPr>
                <w:sz w:val="1"/>
                <w:szCs w:val="1"/>
                <w:color w:val="auto"/>
              </w:rPr>
            </w:pPr>
          </w:p>
        </w:tc>
      </w:tr>
      <w:tr>
        <w:trPr>
          <w:trHeight w:val="30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HAND Capital, LLC</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277,134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Old Nautilus’ board of directors and is an affiliate of Andreessen Horowitz.</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Stuart Nagae was a member of Old Nautilus’ board of directors and is an affiliate of Vulcan Capital.</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Old Nautilus’ board of directors and is an affiliate of Madrona Venture Fund VI.</w:t>
      </w:r>
    </w:p>
    <w:p>
      <w:pPr>
        <w:ind w:left="320" w:hanging="314"/>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Old Nautilus’ board of directors and is the manager of HAND Capital, LLC.</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64"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In connection with the execution of the Business Combination Agreement, effective as of February 7, 2021, ARYA entered into the Subscription Agreements (each, a “Subscription Agreement”) with the Perceptive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Investor and certain other PIPE investors (the “Other PIPE Investors,” and the Other PIPE Investors, together with the Perceptive PIPE Investor, the “PIPE Investors”), pursuant to which the PIPE Investors agreed to subscribe for and purchase, and ARYA agreed to issue and sell to the PIPE Investors, an aggregate of 20,000,000 shares of our Common Stock at a price of $10.00 per share, for aggregate gross proceeds of $200 million. The Perceptive PIPE Investor funded $55 million in the PIPE Financing. The shares of our Common Stock issued pursuant to the Subscription Agreements were not registered under the Securities Act and were issued in reliance of the exemption provided in Section 4(a)(2) of the Securities Act. We granted the PIPE Investors certain registration rights in connection with the PIPE Financing requiring us to file and maintain an effective resale registration statement with respect to the PIPE Shares for the benefit of the PIPE Investors. The Other PIPE Investors include stockholders that beneficially owned more than 5% of Old Nautilus’ outstanding capital stock at the time of entering into the applicable Subscription Agreement and/or were represented on Old Nautilus’ board of directors at such time. The following table presents the number of shares purchased and the total purchase price paid by these individuals and entities, as well as the Perceptive PIPE Investor. In addition to such individuals and entities, as set forth below, funds affiliated with BAIN Capital Life Sciences Investors, LLC, previously a holder of more than 5% of ARYA’s outstanding capital stock, purchased $10,000,000 of our Common Stock in the PIPE Financing.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Investor</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Purchase Price ($)</w:t>
            </w: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Andreessen Horowitz LSV Fund II, LP, for itself and as nominee for Andreessen Horowitz LSV Fund II-B,</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10,856,560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2"/>
                <w:szCs w:val="22"/>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1,248,113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12,481,130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HAND Capital, LLC</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722,860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Matthew Posard </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Perceptive PIPE Investor </w:t>
            </w:r>
            <w:r>
              <w:rPr>
                <w:rFonts w:ascii="Arial" w:cs="Arial" w:eastAsia="Arial" w:hAnsi="Arial"/>
                <w:sz w:val="22"/>
                <w:szCs w:val="22"/>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BAIN Capital Life Sciences Investors, LLC </w:t>
            </w:r>
            <w:r>
              <w:rPr>
                <w:rFonts w:ascii="Arial" w:cs="Arial" w:eastAsia="Arial" w:hAnsi="Arial"/>
                <w:sz w:val="22"/>
                <w:szCs w:val="22"/>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Old Nautilus’ board of directors and is a representative of Andreessen Horowitz.</w:t>
      </w:r>
    </w:p>
    <w:p>
      <w:pPr>
        <w:ind w:left="320" w:hanging="314"/>
        <w:spacing w:after="0" w:line="237"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Stuart Nagae was a member of Old Nautilus’ board of directors and is a representative of Vulcan Capital.</w:t>
      </w:r>
    </w:p>
    <w:p>
      <w:pPr>
        <w:ind w:left="320" w:hanging="314"/>
        <w:spacing w:after="0" w:line="237"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Old Nautilus’ board of directors and is a representative of Madrona Venture Fund VI.</w:t>
      </w:r>
    </w:p>
    <w:p>
      <w:pPr>
        <w:ind w:left="320" w:hanging="314"/>
        <w:spacing w:after="0" w:line="237"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Old Nautilus’ board of directors and is the manager of HAND Capital, LLC.</w:t>
      </w:r>
    </w:p>
    <w:p>
      <w:pPr>
        <w:ind w:left="320" w:hanging="314"/>
        <w:spacing w:after="0" w:line="237"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Posard is a member of our board of directors and was a member of Old Nautilus’ board of directors.</w:t>
      </w:r>
    </w:p>
    <w:p>
      <w:pPr>
        <w:ind w:left="320" w:hanging="314"/>
        <w:spacing w:after="0" w:line="237"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Michael Altman is a member of our board of directors, was a member of ARYA’s board of directors, and is a representative of the Perceptive PIPE Investor.</w:t>
      </w:r>
    </w:p>
    <w:p>
      <w:pPr>
        <w:ind w:left="320" w:hanging="314"/>
        <w:spacing w:after="0"/>
        <w:tabs>
          <w:tab w:leader="none" w:pos="3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Entities affiliated with BAIN Capital Life Sciences Investors, LLC beneficially owned greater than 5% of ARYA’s outstanding capital stock prior to the closing of the Business Combination.</w:t>
      </w:r>
    </w:p>
    <w:p>
      <w:pPr>
        <w:spacing w:after="0" w:line="163"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The closing of the PIPE Financing was contingent upon, among other customary closing conditions, the substantially concurrent closing of the Business Combination. The purpose of the PIPE Financing was to raise additional capital for use by us following the Business Combination.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64" w:lineRule="exact"/>
        <w:rPr>
          <w:sz w:val="20"/>
          <w:szCs w:val="20"/>
          <w:color w:val="auto"/>
        </w:rPr>
      </w:pPr>
    </w:p>
    <w:p>
      <w:pPr>
        <w:ind w:right="240" w:firstLine="318"/>
        <w:spacing w:after="0" w:line="309" w:lineRule="auto"/>
        <w:rPr>
          <w:sz w:val="20"/>
          <w:szCs w:val="20"/>
          <w:color w:val="auto"/>
        </w:rPr>
      </w:pPr>
      <w:r>
        <w:rPr>
          <w:rFonts w:ascii="Arial" w:cs="Arial" w:eastAsia="Arial" w:hAnsi="Arial"/>
          <w:sz w:val="15"/>
          <w:szCs w:val="15"/>
          <w:color w:val="auto"/>
        </w:rPr>
        <w:t>On February 7, 2021, ARYA entered into the Transaction Support Agreements with the Perceptive PIPE Investor and certain other holders of Old Nautilus’ capital stock, including Sujal Patel, our, and previously Old Nautilus’ Chief Executive Officer, President and director, Parag Mallick, our, and previously Old Nautilus’ Chief Scientist and director,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Old Nautilus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64"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became effective at the closing of the Business Combination, with the Perceptive PIPE Investor, ARYA’s initial shareholders, Old Nautilus’ directors, and certain holders of Old Nautilus’ capital stock, including, among others, Sujal Patel, our, and previously Old Nautilus’ Chief Executive Officer, President and director, Parag Mallick, our, and previously Old Nautilus’ Chief Scientist and director, entities affiliated with Andreessen Horowitz, entities affiliated with Vulcan Capital, entities affiliated with Madrona Venture Fund VI, PFV I, LLC (an affiliate of Mr. Patel) and HAND Capital, LLC (an affiliate of Farzad Nazem, our director, and previously a director of Old Nautilus). Pursuant to the terms of the Amended and Restated Registration Rights and Lock-Up Agreement, we are obligated to file a registration statement to register the resale of certain shares of our Common Stock within 45 days after the closing of the Business Combination.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we file a registration statement on Form S-3 (or on Form S-1 if Form S-3 is not available) to register our securities held by such holders, and we are separately required at all times to maintain an effective resale registration statement for the benefit of the holders party to the agreement. The Amended and Restated Registration Rights and Lock-Up Agreement also provides such holders with “piggy-back” registration rights, subject to certain requirements and customary conditions.</w:t>
      </w:r>
    </w:p>
    <w:p>
      <w:pPr>
        <w:spacing w:after="0" w:line="13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Amended and Restated Registration Rights and Lock-Up Agreement further provides for our securities held by the holders party thereto to be locked-up for a period of time following the closing of the Business Combination, subject to certain exceptions.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Old Nautilus Policies for Approval of Related Party Transactions</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Old Nautilus’ board of directors reviewed and approved transactions with directors, officers and holders of 5% or more of its capital stock and their affiliates, each a related party. Prior to this transaction, the material facts as to the related party’s relationship or interest in the transaction were disclosed to its board of directors prior to their consideration of such transaction, and the transaction was not considered approved by Old Nautilus’ board of directors unless a majority of the directors who were then not interested in the transaction approved the transaction. Further, when stockholders were entitled to vote on a transaction with a related party, the material facts of the related party’s relationship or interest in the transaction were disclosed to the stockholders, who had to approve the transaction in good faith.</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Policies and Procedures for Related Party Transactions</w:t>
      </w:r>
    </w:p>
    <w:p>
      <w:pPr>
        <w:spacing w:after="0" w:line="164"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2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38" w:lineRule="exact"/>
        <w:rPr>
          <w:sz w:val="20"/>
          <w:szCs w:val="20"/>
          <w:color w:val="auto"/>
        </w:rPr>
      </w:pPr>
    </w:p>
    <w:p>
      <w:pPr>
        <w:ind w:right="300" w:firstLine="318"/>
        <w:spacing w:after="0" w:line="271" w:lineRule="auto"/>
        <w:rPr>
          <w:sz w:val="20"/>
          <w:szCs w:val="20"/>
          <w:color w:val="auto"/>
        </w:rPr>
      </w:pPr>
      <w:r>
        <w:rPr>
          <w:rFonts w:ascii="Arial" w:cs="Arial" w:eastAsia="Arial" w:hAnsi="Arial"/>
          <w:sz w:val="17"/>
          <w:szCs w:val="17"/>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stockholders. In considering related person transactions, our audit committee will take into account the relevant available facts and circumstances, which may include, but are not limited to:</w:t>
      </w:r>
    </w:p>
    <w:p>
      <w:pPr>
        <w:spacing w:after="0" w:line="128" w:lineRule="exact"/>
        <w:rPr>
          <w:sz w:val="20"/>
          <w:szCs w:val="20"/>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Our audit committee will approve only those transactions that it determines are fair to us and in our best interests. 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8" w:name="page139"/>
    <w:bookmarkEnd w:id="138"/>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PRINCIPAL SECURITYHOLDERS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regarding the beneficial ownership of Common Stock as of June 30, 2021 by:</w:t>
      </w:r>
    </w:p>
    <w:p>
      <w:pPr>
        <w:spacing w:after="0" w:line="164" w:lineRule="exact"/>
        <w:rPr>
          <w:sz w:val="20"/>
          <w:szCs w:val="20"/>
          <w:color w:val="auto"/>
        </w:rPr>
      </w:pPr>
    </w:p>
    <w:p>
      <w:pPr>
        <w:ind w:left="640" w:right="68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known by New Nautilus to be the beneficial owner of more than 5% of New Nautilus’ outstanding Common Stock immediately following the consummation of the Business Combination;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New Nautilus’ executive officers and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New Nautilus’ executive officers and directors as a group after the consummation of the Business Combination.</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June 30, 2021. Shares subject to options that are currently exercisable or exercisable within 60 days of June 30, 2021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New Nautilus, New Nautilus believes that the persons and entities named in the table below have sole voting and investment power with respect to all shares shown as beneficially owned by them. Unless otherwise noted, the business address of each of the directors and executive officers of New Nautilus is 425 Pontius Ave N, Ste 202, Seattle, WA 98109. The percentage of beneficial ownership of New Nautilus is calculated based on 124,094,390 shares of Common Stock outstanding as of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Address of Beneficial Owners</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r>
      <w:tr>
        <w:trPr>
          <w:trHeight w:val="224"/>
        </w:trPr>
        <w:tc>
          <w:tcPr>
            <w:tcW w:w="7820" w:type="dxa"/>
            <w:vAlign w:val="bottom"/>
            <w:tcBorders>
              <w:top w:val="single" w:sz="8" w:color="auto"/>
            </w:tcBorders>
            <w:shd w:val="clear" w:color="auto" w:fill="CCEEFF"/>
          </w:tcPr>
          <w:p>
            <w:pPr>
              <w:ind w:left="180"/>
              <w:spacing w:after="0" w:line="224" w:lineRule="exact"/>
              <w:rPr>
                <w:sz w:val="20"/>
                <w:szCs w:val="20"/>
                <w:color w:val="auto"/>
              </w:rPr>
            </w:pPr>
            <w:r>
              <w:rPr>
                <w:rFonts w:ascii="Arial" w:cs="Arial" w:eastAsia="Arial" w:hAnsi="Arial"/>
                <w:sz w:val="18"/>
                <w:szCs w:val="18"/>
                <w:color w:val="auto"/>
              </w:rPr>
              <w:t>Sujal Patel</w:t>
            </w:r>
            <w:r>
              <w:rPr>
                <w:rFonts w:ascii="Arial" w:cs="Arial" w:eastAsia="Arial" w:hAnsi="Arial"/>
                <w:sz w:val="22"/>
                <w:szCs w:val="22"/>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16,708,899</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Parag Mallick</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20,689,892</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25"/>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Anna Mowry</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Subra Sankar</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7900" w:type="dxa"/>
            <w:vAlign w:val="bottom"/>
            <w:gridSpan w:val="2"/>
            <w:shd w:val="clear" w:color="auto" w:fill="CCEEFF"/>
          </w:tcPr>
          <w:p>
            <w:pPr>
              <w:ind w:left="180"/>
              <w:spacing w:after="0" w:line="226" w:lineRule="exact"/>
              <w:rPr>
                <w:sz w:val="20"/>
                <w:szCs w:val="20"/>
                <w:color w:val="auto"/>
              </w:rPr>
            </w:pPr>
            <w:r>
              <w:rPr>
                <w:rFonts w:ascii="Arial" w:cs="Arial" w:eastAsia="Arial" w:hAnsi="Arial"/>
                <w:sz w:val="18"/>
                <w:szCs w:val="18"/>
                <w:color w:val="auto"/>
              </w:rPr>
              <w:t>Melissa Epperly</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Matthew McIlwain</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6,342,875</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Farzad Nazem</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1,888,146</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Vijay Pande</w:t>
            </w:r>
            <w:r>
              <w:rPr>
                <w:rFonts w:ascii="Arial" w:cs="Arial" w:eastAsia="Arial" w:hAnsi="Arial"/>
                <w:sz w:val="22"/>
                <w:szCs w:val="22"/>
                <w:color w:val="auto"/>
                <w:vertAlign w:val="superscript"/>
              </w:rPr>
              <w:t>(6)</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Matthew L. Posard</w:t>
            </w:r>
            <w:r>
              <w:rPr>
                <w:rFonts w:ascii="Arial" w:cs="Arial" w:eastAsia="Arial" w:hAnsi="Arial"/>
                <w:sz w:val="22"/>
                <w:szCs w:val="22"/>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Michael Altman</w:t>
            </w:r>
            <w:r>
              <w:rPr>
                <w:rFonts w:ascii="Arial" w:cs="Arial" w:eastAsia="Arial" w:hAnsi="Arial"/>
                <w:sz w:val="22"/>
                <w:szCs w:val="22"/>
                <w:color w:val="auto"/>
                <w:vertAlign w:val="superscript"/>
              </w:rPr>
              <w:t>(8)</w:t>
            </w:r>
          </w:p>
        </w:tc>
        <w:tc>
          <w:tcPr>
            <w:tcW w:w="1560" w:type="dxa"/>
            <w:vAlign w:val="bottom"/>
          </w:tcPr>
          <w:p>
            <w:pPr>
              <w:jc w:val="right"/>
              <w:spacing w:after="0"/>
              <w:rPr>
                <w:sz w:val="20"/>
                <w:szCs w:val="20"/>
                <w:color w:val="auto"/>
              </w:rPr>
            </w:pPr>
            <w:r>
              <w:rPr>
                <w:rFonts w:ascii="Arial" w:cs="Arial" w:eastAsia="Arial" w:hAnsi="Arial"/>
                <w:sz w:val="18"/>
                <w:szCs w:val="18"/>
                <w:color w:val="auto"/>
              </w:rPr>
              <w:t>4,148,968</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i w:val="1"/>
                <w:iCs w:val="1"/>
                <w:color w:val="auto"/>
              </w:rPr>
              <w:t>All directors and officers as a group (12 persons)</w:t>
            </w:r>
            <w:r>
              <w:rPr>
                <w:rFonts w:ascii="Arial" w:cs="Arial" w:eastAsia="Arial" w:hAnsi="Arial"/>
                <w:sz w:val="22"/>
                <w:szCs w:val="22"/>
                <w:i w:val="1"/>
                <w:iCs w:val="1"/>
                <w:color w:val="auto"/>
                <w:vertAlign w:val="superscript"/>
              </w:rPr>
              <w:t>(9)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50,074,051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25"/>
        </w:trPr>
        <w:tc>
          <w:tcPr>
            <w:tcW w:w="7900" w:type="dxa"/>
            <w:vAlign w:val="bottom"/>
            <w:gridSpan w:val="2"/>
          </w:tcPr>
          <w:p>
            <w:pPr>
              <w:ind w:left="180"/>
              <w:spacing w:after="0"/>
              <w:rPr>
                <w:sz w:val="20"/>
                <w:szCs w:val="20"/>
                <w:color w:val="auto"/>
              </w:rPr>
            </w:pPr>
            <w:r>
              <w:rPr>
                <w:rFonts w:ascii="Arial" w:cs="Arial" w:eastAsia="Arial" w:hAnsi="Arial"/>
                <w:sz w:val="18"/>
                <w:szCs w:val="18"/>
                <w:i w:val="1"/>
                <w:iCs w:val="1"/>
                <w:color w:val="auto"/>
              </w:rPr>
              <w:t>Five Percent Holders: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6"/>
        </w:trPr>
        <w:tc>
          <w:tcPr>
            <w:tcW w:w="7900" w:type="dxa"/>
            <w:vAlign w:val="bottom"/>
            <w:gridSpan w:val="2"/>
            <w:shd w:val="clear" w:color="auto" w:fill="CCEEFF"/>
          </w:tcPr>
          <w:p>
            <w:pPr>
              <w:ind w:left="180"/>
              <w:spacing w:after="0" w:line="226"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2"/>
                <w:szCs w:val="22"/>
                <w:color w:val="auto"/>
                <w:vertAlign w:val="superscript"/>
              </w:rPr>
              <w:t>(10)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8,911,151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Entities affiliated with Andreessen Horowitz</w:t>
            </w:r>
            <w:r>
              <w:rPr>
                <w:rFonts w:ascii="Arial" w:cs="Arial" w:eastAsia="Arial" w:hAnsi="Arial"/>
                <w:sz w:val="22"/>
                <w:szCs w:val="22"/>
                <w:color w:val="auto"/>
                <w:vertAlign w:val="superscript"/>
              </w:rPr>
              <w:t>(11)</w:t>
            </w:r>
          </w:p>
        </w:tc>
        <w:tc>
          <w:tcPr>
            <w:tcW w:w="1560" w:type="dxa"/>
            <w:vAlign w:val="bottom"/>
          </w:tcPr>
          <w:p>
            <w:pPr>
              <w:jc w:val="right"/>
              <w:spacing w:after="0"/>
              <w:rPr>
                <w:sz w:val="20"/>
                <w:szCs w:val="20"/>
                <w:color w:val="auto"/>
              </w:rPr>
            </w:pPr>
            <w:r>
              <w:rPr>
                <w:rFonts w:ascii="Arial" w:cs="Arial" w:eastAsia="Arial" w:hAnsi="Arial"/>
                <w:sz w:val="18"/>
                <w:szCs w:val="18"/>
                <w:color w:val="auto"/>
              </w:rPr>
              <w:t>17,653,917</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7,172,985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300"/>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Entities affiliated with Madrona Ventures</w:t>
            </w:r>
            <w:r>
              <w:rPr>
                <w:rFonts w:ascii="Arial" w:cs="Arial" w:eastAsia="Arial" w:hAnsi="Arial"/>
                <w:sz w:val="22"/>
                <w:szCs w:val="22"/>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6,342,875</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5.1 %</w:t>
            </w: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1%</w:t>
      </w:r>
    </w:p>
    <w:p>
      <w:pPr>
        <w:ind w:left="320" w:right="100" w:hanging="314"/>
        <w:spacing w:after="0" w:line="239" w:lineRule="auto"/>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9,614,388 shares received by Mr. Patel in the Business Combination as an equityholder of record of Old Nautilus, (ii) 5,280,476 shares received by PFV I, LLC in the Business Combination as an equityholder of Old Nautilus, and (iii) 1,814,035 shares received by the Sujal Patel 2020 Children's Trust, u/a/d December 3, 2020 (the “Patel Trust”) in the Business Combination as an equityholder of Old Nautilus.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report shall not be deemed an admission that Mr. Patel is the beneficial owner of such securities for purposes of Section 16 or for any other purposes.</w:t>
      </w:r>
    </w:p>
    <w:p>
      <w:pPr>
        <w:spacing w:after="0" w:line="8" w:lineRule="exact"/>
        <w:rPr>
          <w:sz w:val="20"/>
          <w:szCs w:val="20"/>
          <w:color w:val="auto"/>
        </w:rPr>
      </w:pPr>
    </w:p>
    <w:p>
      <w:pPr>
        <w:ind w:left="320" w:hanging="314"/>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shares received by Dr. Mallick in the Business Combination as an equityholder of record of Old Nautilus.</w:t>
      </w:r>
    </w:p>
    <w:p>
      <w:pPr>
        <w:ind w:left="320" w:hanging="314"/>
        <w:spacing w:after="0" w:line="237" w:lineRule="auto"/>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shares subject to options held by Ms. Epperly exercisable within 60 days of June 30, 2021.</w:t>
      </w:r>
    </w:p>
    <w:p>
      <w:pPr>
        <w:ind w:left="320" w:hanging="314"/>
        <w:spacing w:after="0" w:line="237" w:lineRule="auto"/>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shares set forth in footnote 14 below.</w:t>
      </w:r>
    </w:p>
    <w:p>
      <w:pPr>
        <w:ind w:left="320" w:right="100" w:hanging="314"/>
        <w:spacing w:after="0" w:line="255" w:lineRule="auto"/>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1,815,860 shares received by HAND Capital, LLC in the Business Combination as an equityholder of Old Nautilus and (ii) 72,286 shares which HAND Capital, LLC purchased in the PIPE Financing. Mr. Nazem is the manager of HAND Capital, LLC and as such has voting and investment power over the shares held by HAND Capital, LLC.</w:t>
      </w:r>
    </w:p>
    <w:p>
      <w:pPr>
        <w:ind w:left="320" w:hanging="314"/>
        <w:spacing w:after="0" w:line="237" w:lineRule="auto"/>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Pande has no voting or investment control over the shares held by entities affiliated with Andreessen Horowitz that are included in footnote 12 below.</w:t>
      </w:r>
    </w:p>
    <w:p>
      <w:pPr>
        <w:ind w:left="320" w:hanging="314"/>
        <w:spacing w:after="0"/>
        <w:tabs>
          <w:tab w:leader="none" w:pos="3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100,000 shares which Mr. Posard purchased in the PIPE Financing and (ii) 154,039 shares subject to options held by Mr. Posard exercisable within 60 days of June 30, 2021.</w:t>
      </w:r>
    </w:p>
    <w:p>
      <w:pPr>
        <w:spacing w:after="0" w:line="9" w:lineRule="exact"/>
        <w:rPr>
          <w:rFonts w:ascii="Arial" w:cs="Arial" w:eastAsia="Arial" w:hAnsi="Arial"/>
          <w:sz w:val="13"/>
          <w:szCs w:val="13"/>
          <w:color w:val="auto"/>
        </w:rPr>
      </w:pPr>
    </w:p>
    <w:p>
      <w:pPr>
        <w:ind w:left="320" w:right="40" w:hanging="314"/>
        <w:spacing w:after="0" w:line="255" w:lineRule="auto"/>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4,146,500 shares held in the name of ARYA’s sponsor, ARYA Sciences Holdings III, a Cayman Islands exempted limited company (“ARYA’s Sponsor”) and (ii) 2,468 shares subject to options held by Mr. Altman exercisable within 60 days of June 30, 2021.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w:t>
      </w:r>
    </w:p>
    <w:p>
      <w:pPr>
        <w:ind w:left="320" w:right="440" w:hanging="314"/>
        <w:spacing w:after="0" w:line="237" w:lineRule="auto"/>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49,905,452 shares beneficially owned by the directors and officers following the Business Combination and (ii) 168,599 shares subject to options held by the directors and officers exercisable within 60 days of June 30, 2021.</w:t>
      </w:r>
    </w:p>
    <w:p>
      <w:pPr>
        <w:ind w:left="320" w:right="40" w:hanging="314"/>
        <w:spacing w:after="0" w:line="237" w:lineRule="auto"/>
        <w:tabs>
          <w:tab w:leader="none" w:pos="317"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2,914,113 shares received by Perceptive Life Sciences Master Fund Ltd. (the “Master Fund”) in the Business Combination as an equityholder of Old Nautilus, (ii) 5,500,000 shares the Master Fund purchased in the PIPE Financing and (iii) 497,038 shares of New Nautilus Common Stock.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ind w:left="320" w:hanging="314"/>
        <w:spacing w:after="0" w:line="255" w:lineRule="auto"/>
        <w:tabs>
          <w:tab w:leader="none" w:pos="311"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16,298,006 shares received by AH Bio Fund II, L.P., for itself and as nominee for AH Bio Fund II-B, L.P. (collectively, the “AH Bio Fund II Entities”), in the Business Combination as an equityholder of Old Nautilus, (ii) 270,255 shares received by Andreessen Horowitz LSV Fund II, L.P., for itself and as nominee for Andreessen Horowitz LSV Fund II-B, L.P. and Andreessen Horowitz LSV Fund II-Q, L.P. (collectively, the “AH LSV Fund II Entities”), in the Business Combination as an equityholder of Old Nautilus, and (iii) 1,085,656 shares that the AH LSV Fund II Entities purchased in the PIPE Financing.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spacing w:after="0" w:line="1" w:lineRule="exact"/>
        <w:rPr>
          <w:rFonts w:ascii="Arial" w:cs="Arial" w:eastAsia="Arial" w:hAnsi="Arial"/>
          <w:sz w:val="13"/>
          <w:szCs w:val="13"/>
          <w:color w:val="auto"/>
        </w:rPr>
      </w:pPr>
    </w:p>
    <w:p>
      <w:pPr>
        <w:ind w:left="320" w:hanging="314"/>
        <w:spacing w:after="0" w:line="255" w:lineRule="auto"/>
        <w:tabs>
          <w:tab w:leader="none" w:pos="317"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2,962,436 shares received by Vulcan Capital Holdings Columbia LLC (“VCHC”) in the Business Combination as an equityholder of Old Nautilus, (ii) 624,057 shares which Vulcan Capital purchased in the PIPE Financing, (iii) 2,962,436 shares received by VCVC V LLC (“VCVC”) in the Business Combination as an equityholder of Old Nautilus, and (iv) 624,056 shares of New Nautilus Common Stock which VCVC is purchasing in the PIPE Financing.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spacing w:after="0" w:line="1" w:lineRule="exact"/>
        <w:rPr>
          <w:rFonts w:ascii="Arial" w:cs="Arial" w:eastAsia="Arial" w:hAnsi="Arial"/>
          <w:sz w:val="13"/>
          <w:szCs w:val="13"/>
          <w:color w:val="auto"/>
        </w:rPr>
      </w:pPr>
    </w:p>
    <w:p>
      <w:pPr>
        <w:ind w:left="320" w:right="80" w:hanging="314"/>
        <w:spacing w:after="0" w:line="258" w:lineRule="auto"/>
        <w:tabs>
          <w:tab w:leader="none" w:pos="317"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4,585,947 shares received by Madrona Venture Fund VI, LP (“Madrona Fund VI”) in the Business Combination as an equityholder of Old Nautilus, (ii) 1,212,447 shares which Madrona Fund VI purchased in the PIPE Financing, (iii) 175,878 shares received by Madrona Venture Fund VI-A, LP (“Madrona Fund VI-A”) in the Business Combination as an equityholder of Old Nautilus, (iv) 46,498 shares which Madrona Fund VI-A purchased in the PIPE Financing, (v) 272,105 shares received by Matthew McIlwain in the Business Combination as an equityholder of Old Nautilus, and (vi) 50,000 shares received by Mr. McIlwain in the Business Combination in exchange for shares of ARYA Class A common stock owned by Mr. McIlwain prior to the consummation of the Business Combination.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9"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Please see the sections titled “</w:t>
      </w:r>
      <w:r>
        <w:rPr>
          <w:rFonts w:ascii="Arial" w:cs="Arial" w:eastAsia="Arial" w:hAnsi="Arial"/>
          <w:sz w:val="17"/>
          <w:szCs w:val="17"/>
          <w:i w:val="1"/>
          <w:iCs w:val="1"/>
          <w:color w:val="auto"/>
        </w:rPr>
        <w:t>Management</w:t>
      </w:r>
      <w:r>
        <w:rPr>
          <w:rFonts w:ascii="Arial" w:cs="Arial" w:eastAsia="Arial" w:hAnsi="Arial"/>
          <w:sz w:val="17"/>
          <w:szCs w:val="17"/>
          <w:color w:val="auto"/>
        </w:rPr>
        <w:t>,” “</w:t>
      </w:r>
      <w:r>
        <w:rPr>
          <w:rFonts w:ascii="Arial" w:cs="Arial" w:eastAsia="Arial" w:hAnsi="Arial"/>
          <w:sz w:val="17"/>
          <w:szCs w:val="17"/>
          <w:i w:val="1"/>
          <w:iCs w:val="1"/>
          <w:color w:val="auto"/>
        </w:rPr>
        <w:t>Executive Compensation</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Party and Other Transactions</w:t>
      </w:r>
      <w:r>
        <w:rPr>
          <w:rFonts w:ascii="Arial" w:cs="Arial" w:eastAsia="Arial" w:hAnsi="Arial"/>
          <w:sz w:val="17"/>
          <w:szCs w:val="17"/>
          <w:color w:val="auto"/>
        </w:rPr>
        <w:t>” appearing elsewhere in this prospectus for information regarding material relationships with our principal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41" w:name="page142"/>
    <w:bookmarkEnd w:id="14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0"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This prospectus relates to the resale by the selling securityholders from time to time of up to an aggregate of 95,645,056 shares of Common Stock (consisting of up to an aggregate of (a) 20,000,000 shares of our Common Stock that were issued to the PIPE Investors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the Common Stock in accordance with the terms of the applicable agreements governing their respective registration rights, other than through a public sale.</w:t>
      </w:r>
    </w:p>
    <w:p>
      <w:pPr>
        <w:spacing w:after="0" w:line="101"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following table sets forth, as of June 30, 2021, the names of the selling securityholders, the aggregate number of shares of Common Stock beneficially owned by the selling securityholders, the aggregate number of shares of Common Stock that the selling securityholders may offer pursuant to this prospectus and the number of shares of Common Stock that would be beneficially owned by the selling securityholders after the sale of the shares of Common Stock offered hereby assuming that the selling securityholders sell all of the shares of Common Stock covered by this prospectus. The percentage of beneficial ownership after the offered shares of Common Stock are sold is calculated based on 124,094,390 shares of Common Stock outstanding as of June 30, 2021.</w:t>
      </w:r>
    </w:p>
    <w:p>
      <w:pPr>
        <w:spacing w:after="0" w:line="98"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84" w:lineRule="exact"/>
        <w:rPr>
          <w:sz w:val="20"/>
          <w:szCs w:val="20"/>
          <w:color w:val="auto"/>
        </w:rPr>
      </w:pPr>
    </w:p>
    <w:p>
      <w:pPr>
        <w:jc w:val="both"/>
        <w:ind w:right="120" w:firstLine="318"/>
        <w:spacing w:after="0" w:line="252"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shares of Common Stock covered by this prospectus upon the completion of the offering.</w:t>
      </w:r>
    </w:p>
    <w:p>
      <w:pPr>
        <w:spacing w:after="0" w:line="138"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Selling securityholder information for each additional selling securityholder, if any, will be set forth by a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5"/>
          <w:szCs w:val="15"/>
          <w:i w:val="1"/>
          <w:iCs w:val="1"/>
          <w:color w:val="auto"/>
        </w:rPr>
        <w:t>Plan of Distribution</w:t>
      </w:r>
      <w:r>
        <w:rPr>
          <w:rFonts w:ascii="Arial" w:cs="Arial" w:eastAsia="Arial" w:hAnsi="Arial"/>
          <w:sz w:val="15"/>
          <w:szCs w:val="15"/>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ind w:left="983"/>
              <w:spacing w:after="0"/>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3"/>
          </w:tcPr>
          <w:p>
            <w:pPr>
              <w:jc w:val="center"/>
              <w:ind w:left="983"/>
              <w:spacing w:after="0" w:line="133" w:lineRule="exact"/>
              <w:rPr>
                <w:sz w:val="20"/>
                <w:szCs w:val="20"/>
                <w:color w:val="auto"/>
              </w:rPr>
            </w:pPr>
            <w:r>
              <w:rPr>
                <w:rFonts w:ascii="Arial" w:cs="Arial" w:eastAsia="Arial" w:hAnsi="Arial"/>
                <w:sz w:val="14"/>
                <w:szCs w:val="14"/>
                <w:b w:val="1"/>
                <w:bCs w:val="1"/>
                <w:color w:val="auto"/>
                <w:w w:val="89"/>
              </w:rPr>
              <w:t>Beneficially</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160" w:type="dxa"/>
            <w:vAlign w:val="bottom"/>
            <w:gridSpan w:val="3"/>
          </w:tcPr>
          <w:p>
            <w:pPr>
              <w:jc w:val="center"/>
              <w:ind w:left="1003"/>
              <w:spacing w:after="0" w:line="133" w:lineRule="exact"/>
              <w:rPr>
                <w:sz w:val="20"/>
                <w:szCs w:val="20"/>
                <w:color w:val="auto"/>
              </w:rPr>
            </w:pPr>
            <w:r>
              <w:rPr>
                <w:rFonts w:ascii="Arial" w:cs="Arial" w:eastAsia="Arial" w:hAnsi="Arial"/>
                <w:sz w:val="14"/>
                <w:szCs w:val="14"/>
                <w:b w:val="1"/>
                <w:bCs w:val="1"/>
                <w:color w:val="auto"/>
                <w:w w:val="92"/>
              </w:rPr>
              <w:t>Owned After the</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983"/>
              <w:spacing w:after="0" w:line="133" w:lineRule="exact"/>
              <w:rPr>
                <w:sz w:val="20"/>
                <w:szCs w:val="20"/>
                <w:color w:val="auto"/>
              </w:rPr>
            </w:pPr>
            <w:r>
              <w:rPr>
                <w:rFonts w:ascii="Arial" w:cs="Arial" w:eastAsia="Arial" w:hAnsi="Arial"/>
                <w:sz w:val="14"/>
                <w:szCs w:val="14"/>
                <w:b w:val="1"/>
                <w:bCs w:val="1"/>
                <w:color w:val="auto"/>
                <w:w w:val="89"/>
              </w:rPr>
              <w:t>Offered Shares</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50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Stock</w:t>
            </w:r>
          </w:p>
        </w:tc>
        <w:tc>
          <w:tcPr>
            <w:tcW w:w="1660" w:type="dxa"/>
            <w:vAlign w:val="bottom"/>
            <w:gridSpan w:val="2"/>
            <w:vMerge w:val="restart"/>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Shares of</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1003"/>
              <w:spacing w:after="0" w:line="133"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50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Beneficially</w:t>
            </w:r>
          </w:p>
        </w:tc>
        <w:tc>
          <w:tcPr>
            <w:tcW w:w="1660" w:type="dxa"/>
            <w:vAlign w:val="bottom"/>
            <w:gridSpan w:val="2"/>
            <w:vMerge w:val="restart"/>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Common</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983"/>
              <w:spacing w:after="0" w:line="133" w:lineRule="exact"/>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50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Owned</w:t>
            </w:r>
          </w:p>
        </w:tc>
        <w:tc>
          <w:tcPr>
            <w:tcW w:w="1660" w:type="dxa"/>
            <w:vAlign w:val="bottom"/>
            <w:gridSpan w:val="2"/>
            <w:vMerge w:val="restart"/>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Stock</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983"/>
              <w:spacing w:after="0"/>
              <w:rPr>
                <w:sz w:val="20"/>
                <w:szCs w:val="20"/>
                <w:color w:val="auto"/>
              </w:rPr>
            </w:pPr>
            <w:r>
              <w:rPr>
                <w:rFonts w:ascii="Arial" w:cs="Arial" w:eastAsia="Arial" w:hAnsi="Arial"/>
                <w:sz w:val="14"/>
                <w:szCs w:val="14"/>
                <w:b w:val="1"/>
                <w:bCs w:val="1"/>
                <w:color w:val="auto"/>
                <w:w w:val="90"/>
              </w:rPr>
              <w:t>are Sold</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860" w:type="dxa"/>
            <w:vAlign w:val="bottom"/>
          </w:tcPr>
          <w:p>
            <w:pPr>
              <w:spacing w:after="0"/>
              <w:rPr>
                <w:sz w:val="9"/>
                <w:szCs w:val="9"/>
                <w:color w:val="auto"/>
              </w:rPr>
            </w:pPr>
          </w:p>
        </w:tc>
        <w:tc>
          <w:tcPr>
            <w:tcW w:w="150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rPr>
              <w:t>Prior to</w:t>
            </w:r>
          </w:p>
        </w:tc>
        <w:tc>
          <w:tcPr>
            <w:tcW w:w="1660" w:type="dxa"/>
            <w:vAlign w:val="bottom"/>
            <w:gridSpan w:val="2"/>
          </w:tcPr>
          <w:p>
            <w:pPr>
              <w:jc w:val="center"/>
              <w:ind w:right="80"/>
              <w:spacing w:after="0" w:line="105" w:lineRule="exact"/>
              <w:rPr>
                <w:sz w:val="20"/>
                <w:szCs w:val="20"/>
                <w:color w:val="auto"/>
              </w:rPr>
            </w:pPr>
            <w:r>
              <w:rPr>
                <w:rFonts w:ascii="Arial" w:cs="Arial" w:eastAsia="Arial" w:hAnsi="Arial"/>
                <w:sz w:val="12"/>
                <w:szCs w:val="12"/>
                <w:b w:val="1"/>
                <w:bCs w:val="1"/>
                <w:color w:val="auto"/>
              </w:rPr>
              <w:t>Being</w:t>
            </w:r>
          </w:p>
        </w:tc>
        <w:tc>
          <w:tcPr>
            <w:tcW w:w="2160" w:type="dxa"/>
            <w:vAlign w:val="bottom"/>
            <w:tcBorders>
              <w:bottom w:val="single" w:sz="8" w:color="auto"/>
            </w:tcBorders>
            <w:gridSpan w:val="3"/>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Selling Securityholder</w:t>
            </w: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Offering</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66"/>
        </w:trPr>
        <w:tc>
          <w:tcPr>
            <w:tcW w:w="486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w w:val="96"/>
              </w:rPr>
              <w:t>AH Bio Fund II, L.P., for itself and as nominee for AH Bio Fund</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100" w:type="dxa"/>
            <w:vAlign w:val="bottom"/>
            <w:shd w:val="clear" w:color="auto" w:fill="CCEEFF"/>
          </w:tcPr>
          <w:p>
            <w:pPr>
              <w:spacing w:after="0"/>
              <w:rPr>
                <w:sz w:val="14"/>
                <w:szCs w:val="14"/>
                <w:color w:val="auto"/>
              </w:rPr>
            </w:pPr>
          </w:p>
        </w:tc>
        <w:tc>
          <w:tcPr>
            <w:tcW w:w="2160" w:type="dxa"/>
            <w:vAlign w:val="bottom"/>
            <w:gridSpan w:val="3"/>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II-B, L.P.</w:t>
            </w:r>
            <w:r>
              <w:rPr>
                <w:rFonts w:ascii="Arial" w:cs="Arial" w:eastAsia="Arial" w:hAnsi="Arial"/>
                <w:sz w:val="22"/>
                <w:szCs w:val="22"/>
                <w:color w:val="auto"/>
                <w:vertAlign w:val="superscript"/>
              </w:rPr>
              <w:t>(1)</w:t>
            </w:r>
          </w:p>
        </w:tc>
        <w:tc>
          <w:tcPr>
            <w:tcW w:w="1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3"/>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line="225" w:lineRule="exact"/>
              <w:rPr>
                <w:sz w:val="20"/>
                <w:szCs w:val="20"/>
                <w:color w:val="auto"/>
              </w:rPr>
            </w:pPr>
            <w:r>
              <w:rPr>
                <w:rFonts w:ascii="Arial" w:cs="Arial" w:eastAsia="Arial" w:hAnsi="Arial"/>
                <w:sz w:val="18"/>
                <w:szCs w:val="18"/>
                <w:color w:val="auto"/>
              </w:rPr>
              <w:t>Alexandria Venture Investments, LLC</w:t>
            </w:r>
            <w:r>
              <w:rPr>
                <w:rFonts w:ascii="Arial" w:cs="Arial" w:eastAsia="Arial" w:hAnsi="Arial"/>
                <w:sz w:val="22"/>
                <w:szCs w:val="22"/>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21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Ally Bridge MedAlpha Master Fund L.P.</w:t>
            </w:r>
            <w:r>
              <w:rPr>
                <w:rFonts w:ascii="Arial" w:cs="Arial" w:eastAsia="Arial" w:hAnsi="Arial"/>
                <w:sz w:val="22"/>
                <w:szCs w:val="22"/>
                <w:color w:val="auto"/>
                <w:vertAlign w:val="superscript"/>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4860" w:type="dxa"/>
            <w:vAlign w:val="bottom"/>
          </w:tcPr>
          <w:p>
            <w:pPr>
              <w:ind w:left="20"/>
              <w:spacing w:after="0"/>
              <w:rPr>
                <w:sz w:val="20"/>
                <w:szCs w:val="20"/>
                <w:color w:val="auto"/>
              </w:rPr>
            </w:pPr>
            <w:r>
              <w:rPr>
                <w:rFonts w:ascii="Arial" w:cs="Arial" w:eastAsia="Arial" w:hAnsi="Arial"/>
                <w:sz w:val="18"/>
                <w:szCs w:val="18"/>
                <w:color w:val="auto"/>
              </w:rPr>
              <w:t>Alyeska Master Fund, L.P.</w:t>
            </w:r>
            <w:r>
              <w:rPr>
                <w:rFonts w:ascii="Arial" w:cs="Arial" w:eastAsia="Arial" w:hAnsi="Arial"/>
                <w:sz w:val="22"/>
                <w:szCs w:val="22"/>
                <w:color w:val="auto"/>
                <w:vertAlign w:val="superscript"/>
              </w:rPr>
              <w:t>(4)</w:t>
            </w:r>
          </w:p>
        </w:tc>
        <w:tc>
          <w:tcPr>
            <w:tcW w:w="1420" w:type="dxa"/>
            <w:vAlign w:val="bottom"/>
          </w:tcPr>
          <w:p>
            <w:pPr>
              <w:jc w:val="right"/>
              <w:spacing w:after="0"/>
              <w:rPr>
                <w:sz w:val="20"/>
                <w:szCs w:val="20"/>
                <w:color w:val="auto"/>
              </w:rPr>
            </w:pPr>
            <w:r>
              <w:rPr>
                <w:rFonts w:ascii="Arial" w:cs="Arial" w:eastAsia="Arial" w:hAnsi="Arial"/>
                <w:sz w:val="18"/>
                <w:szCs w:val="18"/>
                <w:color w:val="auto"/>
              </w:rPr>
              <w:t>1,415,639</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715,639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Andreessen Horowitz LSV Fund II, L.P., for itself and as</w:t>
            </w:r>
          </w:p>
        </w:tc>
        <w:tc>
          <w:tcPr>
            <w:tcW w:w="16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nominee for Andreessen Horowitz LSV Fund II-B, L.P. and</w:t>
            </w:r>
          </w:p>
        </w:tc>
        <w:tc>
          <w:tcPr>
            <w:tcW w:w="166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1,355,911</w:t>
            </w:r>
          </w:p>
        </w:tc>
        <w:tc>
          <w:tcPr>
            <w:tcW w:w="1780" w:type="dxa"/>
            <w:vAlign w:val="bottom"/>
            <w:vMerge w:val="restart"/>
            <w:shd w:val="clear" w:color="auto" w:fill="CCEEFF"/>
          </w:tcPr>
          <w:p>
            <w:pPr>
              <w:jc w:val="right"/>
              <w:ind w:right="452"/>
              <w:spacing w:after="0"/>
              <w:rPr>
                <w:sz w:val="20"/>
                <w:szCs w:val="20"/>
                <w:color w:val="auto"/>
              </w:rPr>
            </w:pPr>
            <w:r>
              <w:rPr>
                <w:rFonts w:ascii="Arial" w:cs="Arial" w:eastAsia="Arial" w:hAnsi="Arial"/>
                <w:sz w:val="18"/>
                <w:szCs w:val="18"/>
                <w:color w:val="auto"/>
              </w:rPr>
              <w:t>1,355,911</w:t>
            </w:r>
          </w:p>
        </w:tc>
        <w:tc>
          <w:tcPr>
            <w:tcW w:w="1840" w:type="dxa"/>
            <w:vAlign w:val="bottom"/>
            <w:vMerge w:val="restart"/>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Andreessen Horowitz LSV Fund II-Q, L.P.(5)</w:t>
            </w:r>
          </w:p>
        </w:tc>
        <w:tc>
          <w:tcPr>
            <w:tcW w:w="166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ARYA Sciences Holdings III</w:t>
            </w:r>
            <w:r>
              <w:rPr>
                <w:rFonts w:ascii="Arial" w:cs="Arial" w:eastAsia="Arial" w:hAnsi="Arial"/>
                <w:sz w:val="22"/>
                <w:szCs w:val="22"/>
                <w:color w:val="auto"/>
                <w:vertAlign w:val="superscript"/>
              </w:rPr>
              <w:t>(6)</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4,146,500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4,146,500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Averill Master Fund, Ltd.</w:t>
            </w:r>
            <w:r>
              <w:rPr>
                <w:rFonts w:ascii="Arial" w:cs="Arial" w:eastAsia="Arial" w:hAnsi="Arial"/>
                <w:sz w:val="22"/>
                <w:szCs w:val="22"/>
                <w:color w:val="auto"/>
                <w:vertAlign w:val="superscript"/>
              </w:rPr>
              <w:t>(7)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314,835</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14,835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Avidity Capital Fund II LP</w:t>
            </w:r>
            <w:r>
              <w:rPr>
                <w:rFonts w:ascii="Arial" w:cs="Arial" w:eastAsia="Arial" w:hAnsi="Arial"/>
                <w:sz w:val="22"/>
                <w:szCs w:val="22"/>
                <w:color w:val="auto"/>
                <w:vertAlign w:val="superscript"/>
              </w:rPr>
              <w:t>(8)</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126,533</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67,000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59,533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Avidity Master Fund LP</w:t>
            </w:r>
            <w:r>
              <w:rPr>
                <w:rFonts w:ascii="Arial" w:cs="Arial" w:eastAsia="Arial" w:hAnsi="Arial"/>
                <w:sz w:val="22"/>
                <w:szCs w:val="22"/>
                <w:color w:val="auto"/>
                <w:vertAlign w:val="superscript"/>
              </w:rPr>
              <w:t>(8)</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887,906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533,000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354,906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AVMI Investments, Inc.</w:t>
            </w:r>
            <w:r>
              <w:rPr>
                <w:rFonts w:ascii="Arial" w:cs="Arial" w:eastAsia="Arial" w:hAnsi="Arial"/>
                <w:sz w:val="22"/>
                <w:szCs w:val="22"/>
                <w:color w:val="auto"/>
                <w:vertAlign w:val="superscript"/>
              </w:rPr>
              <w:t>(9)</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200,000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Bain Capital Life Sciences Fund II, L.P.</w:t>
            </w:r>
            <w:r>
              <w:rPr>
                <w:rFonts w:ascii="Arial" w:cs="Arial" w:eastAsia="Arial" w:hAnsi="Arial"/>
                <w:sz w:val="22"/>
                <w:szCs w:val="22"/>
                <w:color w:val="auto"/>
                <w:vertAlign w:val="superscript"/>
              </w:rPr>
              <w:t>(10)</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1,782,858</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891,429</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891,429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BCIP Life Sciences Associates, LP</w:t>
            </w:r>
            <w:r>
              <w:rPr>
                <w:rFonts w:ascii="Arial" w:cs="Arial" w:eastAsia="Arial" w:hAnsi="Arial"/>
                <w:sz w:val="22"/>
                <w:szCs w:val="22"/>
                <w:color w:val="auto"/>
                <w:vertAlign w:val="superscript"/>
              </w:rPr>
              <w:t>(10)</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217,142</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108,571</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108,571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Blackwell Partners LLC – Series A</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184,128</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81,278</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102,850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Bradley L. Campbell</w:t>
            </w:r>
            <w:r>
              <w:rPr>
                <w:rFonts w:ascii="Arial" w:cs="Arial" w:eastAsia="Arial" w:hAnsi="Arial"/>
                <w:sz w:val="22"/>
                <w:szCs w:val="22"/>
                <w:color w:val="auto"/>
                <w:vertAlign w:val="superscript"/>
              </w:rPr>
              <w:t>(37)</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Casdin Partners Master Fund, L.P.</w:t>
            </w:r>
            <w:r>
              <w:rPr>
                <w:rFonts w:ascii="Arial" w:cs="Arial" w:eastAsia="Arial" w:hAnsi="Arial"/>
                <w:sz w:val="22"/>
                <w:szCs w:val="22"/>
                <w:color w:val="auto"/>
                <w:vertAlign w:val="superscript"/>
              </w:rPr>
              <w:t>(12)</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500,000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Decheng Capital Global Healthcare Fund (Master), LP</w:t>
            </w:r>
            <w:r>
              <w:rPr>
                <w:rFonts w:ascii="Arial" w:cs="Arial" w:eastAsia="Arial" w:hAnsi="Arial"/>
                <w:sz w:val="22"/>
                <w:szCs w:val="22"/>
                <w:color w:val="auto"/>
                <w:vertAlign w:val="superscript"/>
              </w:rPr>
              <w:t>(13)</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Farzad Nazem</w:t>
            </w:r>
            <w:r>
              <w:rPr>
                <w:rFonts w:ascii="Arial" w:cs="Arial" w:eastAsia="Arial" w:hAnsi="Arial"/>
                <w:sz w:val="22"/>
                <w:szCs w:val="22"/>
                <w:color w:val="auto"/>
                <w:vertAlign w:val="superscript"/>
              </w:rPr>
              <w:t>(14)</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1,924,426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1,924,426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line="172" w:lineRule="exact"/>
              <w:rPr>
                <w:sz w:val="20"/>
                <w:szCs w:val="20"/>
                <w:color w:val="auto"/>
              </w:rPr>
            </w:pPr>
            <w:r>
              <w:rPr>
                <w:rFonts w:ascii="Arial" w:cs="Arial" w:eastAsia="Arial" w:hAnsi="Arial"/>
                <w:sz w:val="18"/>
                <w:szCs w:val="18"/>
                <w:color w:val="auto"/>
              </w:rPr>
              <w:t>Franklin Strategic Series – Franklin Biotechnology Discovery</w:t>
            </w:r>
          </w:p>
        </w:tc>
        <w:tc>
          <w:tcPr>
            <w:tcW w:w="1660" w:type="dxa"/>
            <w:vAlign w:val="bottom"/>
            <w:vMerge w:val="restart"/>
          </w:tcPr>
          <w:p>
            <w:pPr>
              <w:jc w:val="right"/>
              <w:ind w:right="332"/>
              <w:spacing w:after="0"/>
              <w:rPr>
                <w:sz w:val="20"/>
                <w:szCs w:val="20"/>
                <w:color w:val="auto"/>
              </w:rPr>
            </w:pPr>
            <w:r>
              <w:rPr>
                <w:rFonts w:ascii="Arial" w:cs="Arial" w:eastAsia="Arial" w:hAnsi="Arial"/>
                <w:sz w:val="18"/>
                <w:szCs w:val="18"/>
                <w:color w:val="auto"/>
              </w:rPr>
              <w:t>415,600</w:t>
            </w:r>
          </w:p>
        </w:tc>
        <w:tc>
          <w:tcPr>
            <w:tcW w:w="1780" w:type="dxa"/>
            <w:vAlign w:val="bottom"/>
            <w:vMerge w:val="restart"/>
          </w:tcPr>
          <w:p>
            <w:pPr>
              <w:jc w:val="right"/>
              <w:ind w:right="452"/>
              <w:spacing w:after="0"/>
              <w:rPr>
                <w:sz w:val="20"/>
                <w:szCs w:val="20"/>
                <w:color w:val="auto"/>
              </w:rPr>
            </w:pPr>
            <w:r>
              <w:rPr>
                <w:rFonts w:ascii="Arial" w:cs="Arial" w:eastAsia="Arial" w:hAnsi="Arial"/>
                <w:sz w:val="18"/>
                <w:szCs w:val="18"/>
                <w:color w:val="auto"/>
              </w:rPr>
              <w:t>415,600</w:t>
            </w:r>
          </w:p>
        </w:tc>
        <w:tc>
          <w:tcPr>
            <w:tcW w:w="1840" w:type="dxa"/>
            <w:vAlign w:val="bottom"/>
            <w:vMerge w:val="restart"/>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180"/>
              <w:spacing w:after="0" w:line="225" w:lineRule="exact"/>
              <w:rPr>
                <w:sz w:val="20"/>
                <w:szCs w:val="20"/>
                <w:color w:val="auto"/>
              </w:rPr>
            </w:pPr>
            <w:r>
              <w:rPr>
                <w:rFonts w:ascii="Arial" w:cs="Arial" w:eastAsia="Arial" w:hAnsi="Arial"/>
                <w:sz w:val="18"/>
                <w:szCs w:val="18"/>
                <w:color w:val="auto"/>
              </w:rPr>
              <w:t>Fund</w:t>
            </w:r>
            <w:r>
              <w:rPr>
                <w:rFonts w:ascii="Arial" w:cs="Arial" w:eastAsia="Arial" w:hAnsi="Arial"/>
                <w:sz w:val="22"/>
                <w:szCs w:val="22"/>
                <w:color w:val="auto"/>
                <w:vertAlign w:val="superscript"/>
              </w:rPr>
              <w:t>(15)</w:t>
            </w:r>
          </w:p>
        </w:tc>
        <w:tc>
          <w:tcPr>
            <w:tcW w:w="166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8"/>
              </w:rPr>
              <w:t>Franklin Templeton Investment Funds – Franklin Biotechnology</w:t>
            </w:r>
          </w:p>
        </w:tc>
        <w:tc>
          <w:tcPr>
            <w:tcW w:w="166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584,400</w:t>
            </w:r>
          </w:p>
        </w:tc>
        <w:tc>
          <w:tcPr>
            <w:tcW w:w="1780" w:type="dxa"/>
            <w:vAlign w:val="bottom"/>
            <w:vMerge w:val="restart"/>
            <w:shd w:val="clear" w:color="auto" w:fill="CCEEFF"/>
          </w:tcPr>
          <w:p>
            <w:pPr>
              <w:jc w:val="right"/>
              <w:ind w:right="452"/>
              <w:spacing w:after="0"/>
              <w:rPr>
                <w:sz w:val="20"/>
                <w:szCs w:val="20"/>
                <w:color w:val="auto"/>
              </w:rPr>
            </w:pPr>
            <w:r>
              <w:rPr>
                <w:rFonts w:ascii="Arial" w:cs="Arial" w:eastAsia="Arial" w:hAnsi="Arial"/>
                <w:sz w:val="18"/>
                <w:szCs w:val="18"/>
                <w:color w:val="auto"/>
              </w:rPr>
              <w:t>584,400</w:t>
            </w:r>
          </w:p>
        </w:tc>
        <w:tc>
          <w:tcPr>
            <w:tcW w:w="1840" w:type="dxa"/>
            <w:vAlign w:val="bottom"/>
            <w:vMerge w:val="restart"/>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Discovery Fund</w:t>
            </w:r>
            <w:r>
              <w:rPr>
                <w:rFonts w:ascii="Arial" w:cs="Arial" w:eastAsia="Arial" w:hAnsi="Arial"/>
                <w:sz w:val="22"/>
                <w:szCs w:val="22"/>
                <w:color w:val="auto"/>
                <w:vertAlign w:val="superscript"/>
              </w:rPr>
              <w:t>(15)</w:t>
            </w:r>
          </w:p>
        </w:tc>
        <w:tc>
          <w:tcPr>
            <w:tcW w:w="166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Funds Managed by RTW Investments, LP</w:t>
            </w:r>
            <w:r>
              <w:rPr>
                <w:rFonts w:ascii="Arial" w:cs="Arial" w:eastAsia="Arial" w:hAnsi="Arial"/>
                <w:sz w:val="22"/>
                <w:szCs w:val="22"/>
                <w:color w:val="auto"/>
                <w:vertAlign w:val="superscript"/>
              </w:rPr>
              <w:t>(16)</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1,100,000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600,000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Hand Capital LLC</w:t>
            </w:r>
            <w:r>
              <w:rPr>
                <w:rFonts w:ascii="Arial" w:cs="Arial" w:eastAsia="Arial" w:hAnsi="Arial"/>
                <w:sz w:val="22"/>
                <w:szCs w:val="22"/>
                <w:color w:val="auto"/>
                <w:vertAlign w:val="superscript"/>
              </w:rPr>
              <w:t>(17)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1,888,146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1,888,146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Logos Global Master Fund, LP</w:t>
            </w:r>
            <w:r>
              <w:rPr>
                <w:rFonts w:ascii="Arial" w:cs="Arial" w:eastAsia="Arial" w:hAnsi="Arial"/>
                <w:sz w:val="22"/>
                <w:szCs w:val="22"/>
                <w:color w:val="auto"/>
                <w:vertAlign w:val="superscript"/>
              </w:rPr>
              <w:t>(18)</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400,000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400,000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Madrona Venture Fund VI-A, LP</w:t>
            </w:r>
            <w:r>
              <w:rPr>
                <w:rFonts w:ascii="Arial" w:cs="Arial" w:eastAsia="Arial" w:hAnsi="Arial"/>
                <w:sz w:val="22"/>
                <w:szCs w:val="22"/>
                <w:color w:val="auto"/>
                <w:vertAlign w:val="superscript"/>
              </w:rPr>
              <w:t>(19)</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222,376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222,376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Madrona Venture Fund VI, LP</w:t>
            </w:r>
            <w:r>
              <w:rPr>
                <w:rFonts w:ascii="Arial" w:cs="Arial" w:eastAsia="Arial" w:hAnsi="Arial"/>
                <w:sz w:val="22"/>
                <w:szCs w:val="22"/>
                <w:color w:val="auto"/>
                <w:vertAlign w:val="superscript"/>
              </w:rPr>
              <w:t>(19)</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5,798,394</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5,798,394</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Matthew and Elizabeth Posard Trust</w:t>
            </w:r>
            <w:r>
              <w:rPr>
                <w:rFonts w:ascii="Arial" w:cs="Arial" w:eastAsia="Arial" w:hAnsi="Arial"/>
                <w:sz w:val="22"/>
                <w:szCs w:val="22"/>
                <w:color w:val="auto"/>
                <w:vertAlign w:val="superscript"/>
              </w:rPr>
              <w:t>(20)</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100,000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Matthew McIlwain</w:t>
            </w:r>
            <w:r>
              <w:rPr>
                <w:rFonts w:ascii="Arial" w:cs="Arial" w:eastAsia="Arial" w:hAnsi="Arial"/>
                <w:sz w:val="22"/>
                <w:szCs w:val="22"/>
                <w:color w:val="auto"/>
                <w:vertAlign w:val="superscript"/>
              </w:rPr>
              <w:t>(21)</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6,379,155</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6,379,155</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Matthew Posard</w:t>
            </w:r>
            <w:r>
              <w:rPr>
                <w:rFonts w:ascii="Arial" w:cs="Arial" w:eastAsia="Arial" w:hAnsi="Arial"/>
                <w:sz w:val="22"/>
                <w:szCs w:val="22"/>
                <w:color w:val="auto"/>
                <w:vertAlign w:val="superscript"/>
              </w:rPr>
              <w:t>(22)</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368,476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368,476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Melissa Epperly</w:t>
            </w:r>
            <w:r>
              <w:rPr>
                <w:rFonts w:ascii="Arial" w:cs="Arial" w:eastAsia="Arial" w:hAnsi="Arial"/>
                <w:sz w:val="22"/>
                <w:szCs w:val="22"/>
                <w:color w:val="auto"/>
                <w:vertAlign w:val="superscript"/>
              </w:rPr>
              <w:t>(23)</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72,561</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72,561</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Nantahala Capital Partners Limited Partnership</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72,785</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29,502</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43,283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Nantahala Capital Partners SI, LP</w:t>
            </w:r>
            <w:r>
              <w:rPr>
                <w:rFonts w:ascii="Arial" w:cs="Arial" w:eastAsia="Arial" w:hAnsi="Arial"/>
                <w:sz w:val="22"/>
                <w:szCs w:val="22"/>
                <w:color w:val="auto"/>
                <w:vertAlign w:val="superscript"/>
              </w:rPr>
              <w:t>(11)</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533,925</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188,902</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345,023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Nantahala Capital Partners II Limited Partnership</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194,666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79,459</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115,207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NCP QR LP</w:t>
            </w:r>
            <w:r>
              <w:rPr>
                <w:rFonts w:ascii="Arial" w:cs="Arial" w:eastAsia="Arial" w:hAnsi="Arial"/>
                <w:sz w:val="22"/>
                <w:szCs w:val="22"/>
                <w:color w:val="auto"/>
                <w:vertAlign w:val="superscript"/>
              </w:rPr>
              <w:t>(11)</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86,258</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32,704</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53,554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NCP RFM LP</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80,200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80,200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OrbiMed Genesis Master Fund, L.P.</w:t>
            </w:r>
            <w:r>
              <w:rPr>
                <w:rFonts w:ascii="Arial" w:cs="Arial" w:eastAsia="Arial" w:hAnsi="Arial"/>
                <w:sz w:val="22"/>
                <w:szCs w:val="22"/>
                <w:color w:val="auto"/>
                <w:vertAlign w:val="superscript"/>
              </w:rPr>
              <w:t>(24)</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363,800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263,800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OrbiMed Partners Master Fund Limited</w:t>
            </w:r>
            <w:r>
              <w:rPr>
                <w:rFonts w:ascii="Arial" w:cs="Arial" w:eastAsia="Arial" w:hAnsi="Arial"/>
                <w:sz w:val="22"/>
                <w:szCs w:val="22"/>
                <w:color w:val="auto"/>
                <w:vertAlign w:val="superscript"/>
              </w:rPr>
              <w:t>(25)</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1,182,900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282,900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Parag Mallick</w:t>
            </w:r>
            <w:r>
              <w:rPr>
                <w:rFonts w:ascii="Arial" w:cs="Arial" w:eastAsia="Arial" w:hAnsi="Arial"/>
                <w:sz w:val="22"/>
                <w:szCs w:val="22"/>
                <w:color w:val="auto"/>
                <w:vertAlign w:val="superscript"/>
              </w:rPr>
              <w:t>(26)</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21,153,911</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21,153,911</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2"/>
                <w:szCs w:val="22"/>
                <w:color w:val="auto"/>
                <w:vertAlign w:val="superscript"/>
              </w:rPr>
              <w:t>(27)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8,911,151</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8,414,113</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497,038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PFV I, LLC</w:t>
            </w:r>
            <w:r>
              <w:rPr>
                <w:rFonts w:ascii="Arial" w:cs="Arial" w:eastAsia="Arial" w:hAnsi="Arial"/>
                <w:sz w:val="22"/>
                <w:szCs w:val="22"/>
                <w:color w:val="auto"/>
                <w:vertAlign w:val="superscript"/>
              </w:rPr>
              <w:t>(28)</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5,280,476</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5,280,476</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RA Capital Healthcare Fund, L.P.</w:t>
            </w:r>
            <w:r>
              <w:rPr>
                <w:rFonts w:ascii="Arial" w:cs="Arial" w:eastAsia="Arial" w:hAnsi="Arial"/>
                <w:sz w:val="22"/>
                <w:szCs w:val="22"/>
                <w:color w:val="auto"/>
                <w:vertAlign w:val="superscript"/>
              </w:rPr>
              <w:t>(29)</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2,471,430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1,500,000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971,430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Saqib Islam</w:t>
            </w:r>
            <w:r>
              <w:rPr>
                <w:rFonts w:ascii="Arial" w:cs="Arial" w:eastAsia="Arial" w:hAnsi="Arial"/>
                <w:sz w:val="22"/>
                <w:szCs w:val="22"/>
                <w:color w:val="auto"/>
                <w:vertAlign w:val="superscript"/>
              </w:rPr>
              <w:t>(37)</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Silver Creek CS SAV, L.L.C.</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38,848</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7,955</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30,893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Sphera Biotech Master Fund, LP</w:t>
            </w:r>
            <w:r>
              <w:rPr>
                <w:rFonts w:ascii="Arial" w:cs="Arial" w:eastAsia="Arial" w:hAnsi="Arial"/>
                <w:sz w:val="22"/>
                <w:szCs w:val="22"/>
                <w:color w:val="auto"/>
                <w:vertAlign w:val="superscript"/>
              </w:rPr>
              <w:t>(30)</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295,200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195,200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Sphera Global Healthcare Master Fund</w:t>
            </w:r>
            <w:r>
              <w:rPr>
                <w:rFonts w:ascii="Arial" w:cs="Arial" w:eastAsia="Arial" w:hAnsi="Arial"/>
                <w:sz w:val="22"/>
                <w:szCs w:val="22"/>
                <w:color w:val="auto"/>
                <w:vertAlign w:val="superscript"/>
              </w:rPr>
              <w:t>(31)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504,800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204,800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ind w:left="20"/>
              <w:spacing w:after="0"/>
              <w:rPr>
                <w:sz w:val="20"/>
                <w:szCs w:val="20"/>
                <w:color w:val="auto"/>
              </w:rPr>
            </w:pPr>
            <w:r>
              <w:rPr>
                <w:rFonts w:ascii="Arial" w:cs="Arial" w:eastAsia="Arial" w:hAnsi="Arial"/>
                <w:sz w:val="18"/>
                <w:szCs w:val="18"/>
                <w:color w:val="auto"/>
              </w:rPr>
              <w:t>Sujal Patel</w:t>
            </w:r>
            <w:r>
              <w:rPr>
                <w:rFonts w:ascii="Arial" w:cs="Arial" w:eastAsia="Arial" w:hAnsi="Arial"/>
                <w:sz w:val="22"/>
                <w:szCs w:val="22"/>
                <w:color w:val="auto"/>
                <w:vertAlign w:val="superscript"/>
              </w:rPr>
              <w:t>(32)</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17,497,732</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17,497,732</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w w:val="97"/>
              </w:rPr>
              <w:t>Sujal Patel 2020 Children’s Trust, u/a/d/ December 3, 2020</w:t>
            </w:r>
            <w:r>
              <w:rPr>
                <w:rFonts w:ascii="Arial" w:cs="Arial" w:eastAsia="Arial" w:hAnsi="Arial"/>
                <w:sz w:val="22"/>
                <w:szCs w:val="22"/>
                <w:color w:val="auto"/>
                <w:w w:val="97"/>
                <w:vertAlign w:val="superscript"/>
              </w:rPr>
              <w:t>(33)</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1,814,035</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1,814,035</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tcPr>
          <w:p>
            <w:pPr>
              <w:ind w:left="20"/>
              <w:spacing w:after="0" w:line="225" w:lineRule="exact"/>
              <w:rPr>
                <w:sz w:val="20"/>
                <w:szCs w:val="20"/>
                <w:color w:val="auto"/>
              </w:rPr>
            </w:pPr>
            <w:r>
              <w:rPr>
                <w:rFonts w:ascii="Arial" w:cs="Arial" w:eastAsia="Arial" w:hAnsi="Arial"/>
                <w:sz w:val="18"/>
                <w:szCs w:val="18"/>
                <w:color w:val="auto"/>
              </w:rPr>
              <w:t>Todd Wider</w:t>
            </w:r>
            <w:r>
              <w:rPr>
                <w:rFonts w:ascii="Arial" w:cs="Arial" w:eastAsia="Arial" w:hAnsi="Arial"/>
                <w:sz w:val="22"/>
                <w:szCs w:val="22"/>
                <w:color w:val="auto"/>
                <w:vertAlign w:val="superscript"/>
              </w:rPr>
              <w:t>(37)</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30,000</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30,000</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VCVC V LLC</w:t>
            </w:r>
            <w:r>
              <w:rPr>
                <w:rFonts w:ascii="Arial" w:cs="Arial" w:eastAsia="Arial" w:hAnsi="Arial"/>
                <w:sz w:val="22"/>
                <w:szCs w:val="22"/>
                <w:color w:val="auto"/>
                <w:vertAlign w:val="superscript"/>
              </w:rPr>
              <w:t>(34)</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3,586,492</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3,586,492</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tcPr>
          <w:p>
            <w:pPr>
              <w:ind w:left="20"/>
              <w:spacing w:after="0" w:line="225" w:lineRule="exact"/>
              <w:rPr>
                <w:sz w:val="20"/>
                <w:szCs w:val="20"/>
                <w:color w:val="auto"/>
              </w:rPr>
            </w:pPr>
            <w:r>
              <w:rPr>
                <w:rFonts w:ascii="Arial" w:cs="Arial" w:eastAsia="Arial" w:hAnsi="Arial"/>
                <w:sz w:val="18"/>
                <w:szCs w:val="18"/>
                <w:color w:val="auto"/>
              </w:rPr>
              <w:t>Vijay Pande</w:t>
            </w:r>
            <w:r>
              <w:rPr>
                <w:rFonts w:ascii="Arial" w:cs="Arial" w:eastAsia="Arial" w:hAnsi="Arial"/>
                <w:sz w:val="22"/>
                <w:szCs w:val="22"/>
                <w:color w:val="auto"/>
                <w:vertAlign w:val="superscript"/>
              </w:rPr>
              <w:t>(35)</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36,280</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36,280</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Vulcan Capital Holdings Columbia LLC</w:t>
            </w:r>
            <w:r>
              <w:rPr>
                <w:rFonts w:ascii="Arial" w:cs="Arial" w:eastAsia="Arial" w:hAnsi="Arial"/>
                <w:sz w:val="22"/>
                <w:szCs w:val="22"/>
                <w:color w:val="auto"/>
                <w:vertAlign w:val="superscript"/>
              </w:rPr>
              <w:t>(34)</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3,586,493</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3,586,493</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tcPr>
          <w:p>
            <w:pPr>
              <w:ind w:left="20"/>
              <w:spacing w:after="0" w:line="225" w:lineRule="exact"/>
              <w:rPr>
                <w:sz w:val="20"/>
                <w:szCs w:val="20"/>
                <w:color w:val="auto"/>
              </w:rPr>
            </w:pPr>
            <w:r>
              <w:rPr>
                <w:rFonts w:ascii="Arial" w:cs="Arial" w:eastAsia="Arial" w:hAnsi="Arial"/>
                <w:sz w:val="18"/>
                <w:szCs w:val="18"/>
                <w:color w:val="auto"/>
              </w:rPr>
              <w:t>WS Investment Company, LLC (21A)</w:t>
            </w:r>
            <w:r>
              <w:rPr>
                <w:rFonts w:ascii="Arial" w:cs="Arial" w:eastAsia="Arial" w:hAnsi="Arial"/>
                <w:sz w:val="22"/>
                <w:szCs w:val="22"/>
                <w:color w:val="auto"/>
                <w:vertAlign w:val="superscript"/>
              </w:rPr>
              <w:t>(36)</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35,000</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35,000</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101,395,947</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95,645,056</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5,750,891</w:t>
            </w:r>
          </w:p>
        </w:tc>
        <w:tc>
          <w:tcPr>
            <w:tcW w:w="940" w:type="dxa"/>
            <w:vAlign w:val="bottom"/>
            <w:shd w:val="clear" w:color="auto" w:fill="CCEEFF"/>
          </w:tcPr>
          <w:p>
            <w:pPr>
              <w:spacing w:after="0"/>
              <w:rPr>
                <w:sz w:val="19"/>
                <w:szCs w:val="19"/>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Less than 1%</w:t>
      </w:r>
    </w:p>
    <w:p>
      <w:pPr>
        <w:ind w:left="320" w:right="6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AH Equity Partners Bio II, L.L.C (“AH EP Bio II”) has sole voting and dispositive power with regard to the securities held by AH Bio Fund II, L.P. (“AH Bio Fund II”) and AH Bio Fund II-B, L.P. (“AH Bio Fund II-B,” and together with AH Bio Fund II, the “AH Bio Fund II Entities”). The managing members of AH EP Bio II are Marc Andreessen and Ben Horowitz. Marc Andreessen and Ben Horowitz share voting and dispositive power with respect to the shares held by the AH Bio Fund II Entities. Vijay Pande, a member of the board of directors of the Company, is a general partner of entities affiliated with Andreessen Horowitz.</w:t>
      </w:r>
    </w:p>
    <w:p>
      <w:pPr>
        <w:ind w:left="320" w:hanging="314"/>
        <w:spacing w:after="0" w:line="237" w:lineRule="auto"/>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selling securityholder is a subsidiary of Alexandria Real Estate Equities, Inc., a publicly held corporation.</w:t>
      </w:r>
    </w:p>
    <w:p>
      <w:pPr>
        <w:ind w:left="320" w:right="40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Fan Yu is the sole shareholder of ABG Management Ltd., which is the sole member of each of Ally Bridge MedAlpha Management GP, LLC and Ally Bridge Group (NY) LLC. Ally Bridge Group (NY) LLC and Ally Bridge MedAlpha Management L.P., acting through its general partner Ally Bridge MedAlpha Management GP, LLC,</w:t>
      </w:r>
    </w:p>
    <w:p>
      <w:pPr>
        <w:ind w:left="320" w:right="280"/>
        <w:spacing w:after="0" w:line="237" w:lineRule="auto"/>
        <w:rPr>
          <w:rFonts w:ascii="Arial" w:cs="Arial" w:eastAsia="Arial" w:hAnsi="Arial"/>
          <w:sz w:val="14"/>
          <w:szCs w:val="14"/>
          <w:color w:val="auto"/>
        </w:rPr>
      </w:pPr>
      <w:r>
        <w:rPr>
          <w:rFonts w:ascii="Arial" w:cs="Arial" w:eastAsia="Arial" w:hAnsi="Arial"/>
          <w:sz w:val="14"/>
          <w:szCs w:val="14"/>
          <w:color w:val="auto"/>
        </w:rPr>
        <w:t>manage Ally Bridge MedAlpha Master Fund L.P.’s (“Ally Bridge”) investments. As such, each of the foregoing entities and Mr. Fan Yu may be deemed to share beneficial ownership of the shares held of record by Ally Bridge. Each of them disclaims any such beneficial ownership.</w:t>
      </w:r>
    </w:p>
    <w:p>
      <w:pPr>
        <w:ind w:left="320" w:right="22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Alyeska Investment Group, L.P. (“Alyeska Investment Group”), the investment manager of the selling securityholder, has voting and investment control of the shares held by the selling securityholder. Anand Parekh is the Chief Executive Officer of Alyeska Investment Group and may be deemed to be the beneficial owner of such shares. Mr. Parekh disclaims any beneficial ownership of the shares held by Alyeska Master Fund.</w:t>
      </w:r>
    </w:p>
    <w:p>
      <w:pPr>
        <w:ind w:left="320" w:right="4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AH Equity Partners LSV II, L.L.C. (“AH EP LSV II”) has sole voting and dispositive power with regard to the securities held by Andreessen Horowitz LSV Fund II, L.P. (“AH LSV Fund II”), Andreessen Horowitz LSV Fund II-B, L.P. (“AH LSV Fund II-B”) and Andreessen Horowitz LSV Fund II-Q, L.P. (“AH LSV Fund II-Q,” and together with AH LSV Fund II and AH LSV Fund II-B, the “AH LSV Fund II Entities”). The managing members of AH EP LSV II are Mark Andreessen and Ben Horowitz. Marc Andreessen and Ben Horowitz share voting and dispositive power with respect to the shares held by the AH LSV Fund II Entities. Vijay Pande, a member of the board of directors of the Company, is a general partner of entities affiliated with Andreessen Horowitz.</w:t>
      </w:r>
    </w:p>
    <w:p>
      <w:pPr>
        <w:ind w:left="320" w:right="4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Adam Stone and Michael Altman are members of the board of directors of the selling securityholder and have voting and investment power over the shares held by the selling securityholder. Each of Mr. Altman and Mr. Stone disclaim beneficial ownership of such securities except to the extent of his pecuniary interest therein. Mr. Altman is a member of the board of directors of the Company.</w:t>
      </w:r>
    </w:p>
    <w:p>
      <w:pPr>
        <w:ind w:left="320" w:right="18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Suvretta Capital Management, LLC (“Suvretta”), the investment manager of the selling securityholder, may be deemed to have voting and investment power with respect to the shares. Aaron Cowen, as control person of Suvretta, may be deemed to have voting and investment power with respect to the shares held by the selling securityholder.</w:t>
      </w:r>
    </w:p>
    <w:p>
      <w:pPr>
        <w:jc w:val="both"/>
        <w:ind w:left="320" w:right="280" w:hanging="314"/>
        <w:spacing w:after="0" w:line="255" w:lineRule="auto"/>
        <w:tabs>
          <w:tab w:leader="none" w:pos="312" w:val="left"/>
        </w:tabs>
        <w:numPr>
          <w:ilvl w:val="0"/>
          <w:numId w:val="82"/>
        </w:numPr>
        <w:rPr>
          <w:rFonts w:ascii="Arial" w:cs="Arial" w:eastAsia="Arial" w:hAnsi="Arial"/>
          <w:sz w:val="13"/>
          <w:szCs w:val="13"/>
          <w:color w:val="auto"/>
        </w:rPr>
      </w:pPr>
      <w:r>
        <w:rPr>
          <w:rFonts w:ascii="Arial" w:cs="Arial" w:eastAsia="Arial" w:hAnsi="Arial"/>
          <w:sz w:val="13"/>
          <w:szCs w:val="13"/>
          <w:color w:val="auto"/>
        </w:rPr>
        <w:t>Avidity Capital Partners Fund (GP) LP is the general partner of Avidity Master Fund LP (“Avidity Master Fund”) and Avidity Capital Fund II LP (“Avidity Capital Fund,” and together with Avidity Master Fund,” the “Avidity Funds”). Avidity Capital Partners (GP) LLC is the general partner of Avidity Capital Partners Fund (GP) LP. David Witzke and Michael Gregory are the managing members of Avidity Capital Partners (GP) LLC and may be deemed to have voting and dispositive power over the securities held directly by the Avidity Funds.</w:t>
      </w:r>
    </w:p>
    <w:p>
      <w:pPr>
        <w:ind w:left="320" w:hanging="314"/>
        <w:spacing w:after="0" w:line="237" w:lineRule="auto"/>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Wanda M. Cook and Michael J. McCullough share voting and investment power over the shares held by the selling securityholder.</w:t>
      </w:r>
    </w:p>
    <w:p>
      <w:pPr>
        <w:ind w:left="320" w:right="20" w:hanging="314"/>
        <w:spacing w:after="0" w:line="255" w:lineRule="auto"/>
        <w:tabs>
          <w:tab w:leader="none" w:pos="317"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Bain Capital Life Sciences Investors, LLC (“BCLSI”), whose managers are Jeffrey Schwartz and Adam Koppel, is the manager of the general partner of Bain Capital Life Sciences Fund II, L.P. and governs the investment strategy and decision-making process with respect to investments held by BCIP Life Sciences Associates, LP. As a result, each of BCLSI, Mr. Schwartz and Dr. Koppel may be deemed to share voting and dispositive power over the shares held by Bain Capital Life Sciences Fund II, L.P. and BCIP Life Sciences Associates, LP.</w:t>
      </w:r>
    </w:p>
    <w:p>
      <w:pPr>
        <w:ind w:left="320" w:right="240" w:hanging="314"/>
        <w:spacing w:after="0" w:line="237" w:lineRule="auto"/>
        <w:tabs>
          <w:tab w:leader="none" w:pos="311" w:val="left"/>
        </w:tabs>
        <w:numPr>
          <w:ilvl w:val="0"/>
          <w:numId w:val="82"/>
        </w:numPr>
        <w:rPr>
          <w:rFonts w:ascii="Arial" w:cs="Arial" w:eastAsia="Arial" w:hAnsi="Arial"/>
          <w:sz w:val="14"/>
          <w:szCs w:val="14"/>
          <w:color w:val="auto"/>
        </w:rPr>
      </w:pPr>
      <w:r>
        <w:rPr>
          <w:rFonts w:ascii="Arial" w:cs="Arial" w:eastAsia="Arial" w:hAnsi="Arial"/>
          <w:sz w:val="14"/>
          <w:szCs w:val="14"/>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w:t>
      </w:r>
    </w:p>
    <w:p>
      <w:pPr>
        <w:jc w:val="both"/>
        <w:ind w:left="320" w:right="20" w:hanging="314"/>
        <w:spacing w:after="0" w:line="255" w:lineRule="auto"/>
        <w:tabs>
          <w:tab w:leader="none" w:pos="317" w:val="left"/>
        </w:tabs>
        <w:numPr>
          <w:ilvl w:val="0"/>
          <w:numId w:val="82"/>
        </w:numPr>
        <w:rPr>
          <w:rFonts w:ascii="Arial" w:cs="Arial" w:eastAsia="Arial" w:hAnsi="Arial"/>
          <w:sz w:val="13"/>
          <w:szCs w:val="13"/>
          <w:color w:val="auto"/>
        </w:rPr>
      </w:pPr>
      <w:r>
        <w:rPr>
          <w:rFonts w:ascii="Arial" w:cs="Arial" w:eastAsia="Arial" w:hAnsi="Arial"/>
          <w:sz w:val="13"/>
          <w:szCs w:val="13"/>
          <w:color w:val="auto"/>
        </w:rPr>
        <w:t>Casdin Capital, LLC (“Casdin Capital”) is the investment adviser to Casdin Partners Master Fund, L.P. (“Casdin Master Fund”), and Casdin Partners GP, LLC (“Casdin Partners”) is the general partner of Casdin Master Fund. Eli Casdin is the managing member of Casdin Capital and Casdin Partners. As such, each of Casdin Capital, Casdin Partners GP and Eli Casdin may be deemed to beneficially own the securities held by Casdin Master Fund by virtue of their shared voting and investment control over Casdin Master Fund. Each of Casdin Capital, Casdin Partners and Mr. Casdin disclaims beneficial ownership of such securities except to the extent of their respective pecuniary interest therein.</w:t>
      </w:r>
    </w:p>
    <w:p>
      <w:pPr>
        <w:ind w:left="320" w:right="560" w:hanging="314"/>
        <w:spacing w:after="0" w:line="24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Xiangmin Cui has voting and investment power over the shares held by the selling securityholder. The selling securityholder is an investment company registered under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12" w:lineRule="exact"/>
        <w:rPr>
          <w:sz w:val="20"/>
          <w:szCs w:val="20"/>
          <w:color w:val="auto"/>
        </w:rPr>
      </w:pPr>
    </w:p>
    <w:p>
      <w:pPr>
        <w:ind w:left="320" w:right="60" w:hanging="314"/>
        <w:spacing w:after="0"/>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36,280 shares of Common Stock issuable upon exercise of options held by Mr. Nazem and (ii) 1,888,146 shares of Common Stock held by HAND Capital, LLC. None of the 36,280 shares of Common Stock issuable upon exercise of options are exercisable within 60 days of June 30, 2021. One hundred percent (100%) of the shares subject to the options vest on the earlier of (a) January 31, 2022 and (b) the day immediately before the date of the Company’s next annual meeting of stockholders, subject to Mr. Nazem’s continued status as a service provider through such vesting date. Mr. Nazem is the manager of HAND Capital, LLC and as such has voting and investment power over the shares held by HAND Capital, LLC. Mr. Nazem is a member of the board of directors of the Company.</w:t>
      </w:r>
    </w:p>
    <w:p>
      <w:pPr>
        <w:spacing w:after="0" w:line="2" w:lineRule="exact"/>
        <w:rPr>
          <w:rFonts w:ascii="Arial" w:cs="Arial" w:eastAsia="Arial" w:hAnsi="Arial"/>
          <w:sz w:val="14"/>
          <w:szCs w:val="14"/>
          <w:color w:val="auto"/>
        </w:rPr>
      </w:pPr>
    </w:p>
    <w:p>
      <w:pPr>
        <w:ind w:left="320" w:right="14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Evan McCulloch, as the portfolio manager on behalf of Franklin Advisers, Inc., is the investment manager and has been delegated the voting and investment power over the shares held by the selling securityholder.</w:t>
      </w:r>
    </w:p>
    <w:p>
      <w:pPr>
        <w:ind w:left="320" w:right="8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298,128 shares of Common Stock held by RTW Innovation Master Fund, Ltd. (“RTW Innovation Fund”), (ii) 744,682 shares of Common Stock held by RTW Master Fund, Ltd. (“RTW Master Fund”), and (iii) 57,190 shares of Common Stock held by RTW Venture Fund Limited (“RTW Venture Fund,” and together with RTW Master Fund and RTW Innovation Fund, the “RTW Funds”). RTW Investments, LP is the investment manager to the RTW Funds. Roderick Wong, M.D., is the managing partner and chief investment officer of RTW Investments, LP. and as such has sole voting and investment control over such shares. Dr. Wong disclaims beneficial ownership of the reported securities held by the RTW Funds, except to the extent of any pecuniary interest therein.</w:t>
      </w:r>
    </w:p>
    <w:p>
      <w:pPr>
        <w:ind w:left="320" w:hanging="314"/>
        <w:spacing w:after="0"/>
        <w:tabs>
          <w:tab w:leader="none" w:pos="3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Farzad Nazem and Noosheen Hashemi have voting and investment power over the shares held by the selling securityholder. Mr. Nazem is a member of the board of directors of the Company.</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Arsani William is the selling securityholder’s managing partner and Chief Investment Officer and has voting and investment power over the shares held by the selling securityholder.</w:t>
      </w:r>
    </w:p>
    <w:p>
      <w:pPr>
        <w:spacing w:after="0" w:line="9" w:lineRule="exact"/>
        <w:rPr>
          <w:rFonts w:ascii="Arial" w:cs="Arial" w:eastAsia="Arial" w:hAnsi="Arial"/>
          <w:sz w:val="13"/>
          <w:szCs w:val="13"/>
          <w:color w:val="auto"/>
        </w:rPr>
      </w:pPr>
    </w:p>
    <w:p>
      <w:pPr>
        <w:ind w:left="320" w:right="10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Madrona Investment Partners VI, L.P. (“Madrona Partners VI”) is the general partner of each of Madrona Venture Fund VI-A, LP (“Madrona Fund VI-A”) and Madrona Venture Fund VI, LP (“Madrona Fund VI”),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Mr. McIlwain is a member of the board of directors of the Company.</w:t>
      </w:r>
    </w:p>
    <w:p>
      <w:pPr>
        <w:ind w:left="320" w:hanging="314"/>
        <w:spacing w:after="0"/>
        <w:tabs>
          <w:tab w:leader="none" w:pos="3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Matthew Posard and Elizabeth Posard share voting and investment power over the shares held by the selling securityholder. Mr. Posard is a member of the board of directors of the Company.</w:t>
      </w:r>
    </w:p>
    <w:p>
      <w:pPr>
        <w:spacing w:after="0" w:line="21" w:lineRule="exact"/>
        <w:rPr>
          <w:rFonts w:ascii="Arial" w:cs="Arial" w:eastAsia="Arial" w:hAnsi="Arial"/>
          <w:sz w:val="12"/>
          <w:szCs w:val="12"/>
          <w:color w:val="auto"/>
        </w:rPr>
      </w:pPr>
    </w:p>
    <w:p>
      <w:pPr>
        <w:ind w:left="320" w:right="8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322,105 shares of Common Stock held directly by Mr. McIlwain, (ii) 36,280 shares of Common Stock issuable upon exercise of options held by Mr. McIlwain, (iii) 5,798,394 shares of Common Stock held by Madrona Fund VI, and (iv) 222,376 shares of Common Stock held by Madrona Fund VI-A.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McIlwain’s continued status as a service provider through such vesting date. Mr. McIlwain is a member of the board of directors of the Company.</w:t>
      </w:r>
    </w:p>
    <w:p>
      <w:pPr>
        <w:ind w:left="320" w:right="20" w:hanging="314"/>
        <w:spacing w:after="0" w:line="255" w:lineRule="auto"/>
        <w:tabs>
          <w:tab w:leader="none" w:pos="317"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(i) 268,476 shares of Common Stock issuable upon exercise of options held by Mr. Posard and (ii) 100,000 shares of Common Stock held by the Matthew and Elizabeth Posard Trust (the “Posard Trust”). 154,039 options to purchase shares of Common Stock are exercisable within 60 days of June 30, 2021. Of the remaining options to purchase shares of Common Stock (i) 27,817 shares of Common Stock that are issuable upon exercise of options vest evenly on the 1st of each month through February 1, 2022, (ii) 50,340 shares of Common Stock that are issuable upon the exercise of options vest evenly on the 1st of each month through September 1, 2024, and (iii) 36,280 shares of Common Stock that are issuable upon exercise of options vest on the earlier of (a) January 31, 2022 and (b) the day immediately before the date of the Company’s next annual meeting of stockholders, subject to Mr. Posard’s continued status as a service provider through each vesting date. Mr. Posard is a member of the board of directors of the Company.</w:t>
      </w:r>
    </w:p>
    <w:p>
      <w:pPr>
        <w:ind w:left="32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72,561 shares of Common Stock issuable upon exercise of options held by Ms. Epperly. 12,092 options to purchase shares of common stock are exercisable within 60 days of June 30, 2021. The remaining options to purchase shares of Common Stock vest evenly on the last day of each month through January 31, 2024, subject to Ms. Epperly’s continued status as a service provider through each vesting date.</w:t>
      </w:r>
    </w:p>
    <w:p>
      <w:pPr>
        <w:ind w:left="320" w:right="2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These securities are held of record by OrbiMed Genesis Master Fund, L.P. (“Genesis”). OrbiMed Genesis GP LLC (“Genesis GP”) is the general partner of Genesis. OrbiMed Advisors LLC (“OrbiMed Advisors”) is the managing member of Genesis GP. OrbiMed Advisors exercises investment and voting power through a management committee comprised of Carl L. Gordon, Sven H. Borho and Jonathan T. Silverstein. Each of Genesis GP and OrbiMed Advisors disclaims beneficial ownership of the shares held by Genesis, except to the extent of its or his pecuniary interest therein if any.</w:t>
      </w:r>
    </w:p>
    <w:p>
      <w:pPr>
        <w:ind w:left="320" w:right="18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These securities are held of record by OrbiMed Partners Master Fund Limited (“OPM”). OrbiMed Capital LLC (“OrbiMed Capital”) is the sole investment advisor of OPM. OrbiMed Capital exercises investment and voting power through a management committee comprised of Carl L. Gordon, Sven H. Borho and Jonathan T. Silverstein. OrbiMed Capital disclaims beneficial ownership of the shares held by OPM, except to the extent of its or his pecuniary interest therein if any.</w:t>
      </w:r>
    </w:p>
    <w:p>
      <w:pPr>
        <w:ind w:left="32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20,689,892 shares of Common Stock and (ii) 464,019 shares of Common Stock issuable upon exercise of options held by Dr. Mallick. None of the 464,019 shares of Common Stock issuable upon exercise of options are exercisable within 60 days of June 30, 2021. 116,005 shares subject to the options vest on January 31, 2022 and 348,014 options to purchase shares of Common Stock vest monthly over 36 months thereafter, subject to Dr. Mallick’s continued service through each vesting date. If, during the period 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ind w:left="320" w:right="16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Perceptive Advisors LLC (“Perceptive”) is the investment advisor to Perceptive Life Sciences Master Fund, Ltd (the “Master Fund”). Joseph Edelman is the managing member of Perceptive. Perceptive and Mr. Edelman may be deemed to beneficially own the shares held by the Master Fund.</w:t>
      </w:r>
    </w:p>
    <w:p>
      <w:pPr>
        <w:ind w:left="320" w:right="60" w:hanging="314"/>
        <w:spacing w:after="0" w:line="24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Patel is the manager of PFV I, LLC (“PFV”) and as such has voting and investment control over the shares held by PFV. Mr. Patel is the President, Chief Executive Officer, Secretary and a member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2" w:lineRule="exact"/>
        <w:rPr>
          <w:sz w:val="20"/>
          <w:szCs w:val="20"/>
          <w:color w:val="auto"/>
        </w:rPr>
      </w:pPr>
    </w:p>
    <w:p>
      <w:pPr>
        <w:ind w:left="320" w:right="120" w:hanging="314"/>
        <w:spacing w:after="0" w:line="261" w:lineRule="auto"/>
        <w:tabs>
          <w:tab w:leader="none" w:pos="317" w:val="left"/>
        </w:tabs>
        <w:numPr>
          <w:ilvl w:val="0"/>
          <w:numId w:val="84"/>
        </w:numPr>
        <w:rPr>
          <w:rFonts w:ascii="Arial" w:cs="Arial" w:eastAsia="Arial" w:hAnsi="Arial"/>
          <w:sz w:val="13"/>
          <w:szCs w:val="13"/>
          <w:color w:val="auto"/>
        </w:rPr>
      </w:pPr>
      <w:r>
        <w:rPr>
          <w:rFonts w:ascii="Arial" w:cs="Arial" w:eastAsia="Arial" w:hAnsi="Arial"/>
          <w:sz w:val="13"/>
          <w:szCs w:val="13"/>
          <w:color w:val="auto"/>
        </w:rPr>
        <w:t>RA Capital Management, L.P. is the investment manager for RA Capital Healthcare Fund, L.P.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w:t>
      </w:r>
    </w:p>
    <w:p>
      <w:pPr>
        <w:spacing w:after="0" w:line="1" w:lineRule="exact"/>
        <w:rPr>
          <w:rFonts w:ascii="Arial" w:cs="Arial" w:eastAsia="Arial" w:hAnsi="Arial"/>
          <w:sz w:val="13"/>
          <w:szCs w:val="13"/>
          <w:color w:val="auto"/>
        </w:rPr>
      </w:pPr>
    </w:p>
    <w:p>
      <w:pPr>
        <w:ind w:left="320" w:right="100" w:hanging="314"/>
        <w:spacing w:after="0" w:line="237" w:lineRule="auto"/>
        <w:tabs>
          <w:tab w:leader="none" w:pos="317" w:val="left"/>
        </w:tabs>
        <w:numPr>
          <w:ilvl w:val="0"/>
          <w:numId w:val="84"/>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GP, Ltd., which is the general partner of Sphera Global Healthcare Management, LP, which is the general partner of Sphera Biotech GP, LP, which is the general partner of Sphera Biotech Master Fund, LP.</w:t>
      </w:r>
    </w:p>
    <w:p>
      <w:pPr>
        <w:ind w:left="320" w:hanging="314"/>
        <w:spacing w:after="0" w:line="237" w:lineRule="auto"/>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Master Fund.</w:t>
      </w:r>
    </w:p>
    <w:p>
      <w:pPr>
        <w:ind w:left="320" w:hanging="314"/>
        <w:spacing w:after="0" w:line="237" w:lineRule="auto"/>
        <w:tabs>
          <w:tab w:leader="none" w:pos="317"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(i) 9,614,388 shares of Common Stock directly owned by Mr. Patel, (ii) 5,280,476 shares of Common Stock held by PFV, (iii) 1,814,035 shares of Common Stock held by the Patel Trust, and (iv) 788,833 shares of Common Stock issuable upon exercise of options held by Mr. Patel. None of the 788,833 shares of Common Stock issuable upon exercise of options are exercisable within 60 days of June 30, 2021. 197,208 options to purchase shares of Common Stock vest on January 31, 2022 and 591,625 options to purchase shares of Common Stock vest monthly over 36 months thereafter, subject to Mr. Patel’s continued service through each vesting date. If, during the period beginning three months before a change in control through the one-year anniversary of a change in control, Mr. Patel’s employment with the Company is terminated either (x) by the Company without cause, and excluding by reason of Mr. Patel’s death or disability or (y) by Mr. Patel for good reason, then 100% of any unvested shares shall immediately vest. Mr. Patel is the President, Chief Executive Officer, Secretary and a member of the board of directors of the Company.</w:t>
      </w:r>
    </w:p>
    <w:p>
      <w:pPr>
        <w:ind w:left="320" w:right="100" w:hanging="314"/>
        <w:spacing w:after="0" w:line="237" w:lineRule="auto"/>
        <w:tabs>
          <w:tab w:leader="none" w:pos="317"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Patel is a trustee of the Sujal Patel 2020 Children’s Trust, u/a/d December 3, 2020 (the “Patel Trust”) and as such has voting and investment control over the shares held by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 Mr. Patel is the President, Chief Executive Officer, Secretary and a member of the board of directors of the Company.</w:t>
      </w:r>
    </w:p>
    <w:p>
      <w:pPr>
        <w:ind w:left="320" w:right="20" w:hanging="314"/>
        <w:spacing w:after="0" w:line="255" w:lineRule="auto"/>
        <w:tabs>
          <w:tab w:leader="none" w:pos="317" w:val="left"/>
        </w:tabs>
        <w:numPr>
          <w:ilvl w:val="0"/>
          <w:numId w:val="84"/>
        </w:numPr>
        <w:rPr>
          <w:rFonts w:ascii="Arial" w:cs="Arial" w:eastAsia="Arial" w:hAnsi="Arial"/>
          <w:sz w:val="13"/>
          <w:szCs w:val="13"/>
          <w:color w:val="auto"/>
        </w:rPr>
      </w:pPr>
      <w:r>
        <w:rPr>
          <w:rFonts w:ascii="Arial" w:cs="Arial" w:eastAsia="Arial" w:hAnsi="Arial"/>
          <w:sz w:val="13"/>
          <w:szCs w:val="13"/>
          <w:color w:val="auto"/>
        </w:rPr>
        <w:t>VCVC Management V LLC (“VCVC Management”) serves as the Manager of VCVC V LLC (“VCVC”) and Cougar Investment Holdings LLC (“Cougar”) serves as the Managing Member of VCVC Management. VCHC Management LLC (“Vulcan Capital Management”) serves as the Manager of Vulcan Capital Holdings Columbia LLC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Stuart Nagae, an affiliate of Vulcan Capital, was a member of the board of directors of Old Nautilus until June 9, 2021.</w:t>
      </w:r>
    </w:p>
    <w:p>
      <w:pPr>
        <w:ind w:left="320" w:hanging="314"/>
        <w:spacing w:after="0" w:line="276" w:lineRule="auto"/>
        <w:tabs>
          <w:tab w:leader="none" w:pos="317" w:val="left"/>
        </w:tabs>
        <w:numPr>
          <w:ilvl w:val="0"/>
          <w:numId w:val="84"/>
        </w:numPr>
        <w:rPr>
          <w:rFonts w:ascii="Arial" w:cs="Arial" w:eastAsia="Arial" w:hAnsi="Arial"/>
          <w:sz w:val="12"/>
          <w:szCs w:val="12"/>
          <w:color w:val="auto"/>
        </w:rPr>
      </w:pPr>
      <w:r>
        <w:rPr>
          <w:rFonts w:ascii="Arial" w:cs="Arial" w:eastAsia="Arial" w:hAnsi="Arial"/>
          <w:sz w:val="12"/>
          <w:szCs w:val="12"/>
          <w:color w:val="auto"/>
        </w:rPr>
        <w:t>Consists of 36,280 shares of Common Stock issuable upon exercise of options held by Mr. Pande.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Pande’s continued status as a service provider through such vesting date. Mr. Pande has no voting or investment control over the shares held by entities affiliated with Andreessen Horowitz that are included in footnotes 1 and 5. Mr. Pande is a member of the board of directors of the Company.</w:t>
      </w:r>
    </w:p>
    <w:p>
      <w:pPr>
        <w:spacing w:after="0" w:line="1" w:lineRule="exact"/>
        <w:rPr>
          <w:rFonts w:ascii="Arial" w:cs="Arial" w:eastAsia="Arial" w:hAnsi="Arial"/>
          <w:sz w:val="12"/>
          <w:szCs w:val="12"/>
          <w:color w:val="auto"/>
        </w:rPr>
      </w:pPr>
    </w:p>
    <w:p>
      <w:pPr>
        <w:ind w:left="320" w:right="220" w:hanging="314"/>
        <w:spacing w:after="0" w:line="237" w:lineRule="auto"/>
        <w:tabs>
          <w:tab w:leader="none" w:pos="317" w:val="left"/>
        </w:tabs>
        <w:numPr>
          <w:ilvl w:val="0"/>
          <w:numId w:val="84"/>
        </w:numPr>
        <w:rPr>
          <w:rFonts w:ascii="Arial" w:cs="Arial" w:eastAsia="Arial" w:hAnsi="Arial"/>
          <w:sz w:val="14"/>
          <w:szCs w:val="14"/>
          <w:color w:val="auto"/>
        </w:rPr>
      </w:pPr>
      <w:r>
        <w:rPr>
          <w:rFonts w:ascii="Arial" w:cs="Arial" w:eastAsia="Arial" w:hAnsi="Arial"/>
          <w:sz w:val="14"/>
          <w:szCs w:val="14"/>
          <w:color w:val="auto"/>
        </w:rPr>
        <w:t>WS Investment Management Company, a California corporation (“WSIMCo.”) is the Manager of WS Investment Company, LLC (“WS”) and has sole voting and dispositive power with respect to the shares held by WS. The managing members of WSIMCo. are Mario Rosati, Robert Latta, Donald Bradley and James Terranova. By virtue of these relationships, the managing members may be deemed to have voting and investment power over the shares held by WS.</w:t>
      </w:r>
    </w:p>
    <w:p>
      <w:pPr>
        <w:ind w:left="320" w:hanging="314"/>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selling securityholder was a member of the board of directors of ARYA Sciences Acquisition Corp III prior to the consummation of the Business Combination.</w:t>
      </w:r>
    </w:p>
    <w:p>
      <w:pPr>
        <w:spacing w:after="0" w:line="390"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Please see the sections titled “Management,” “Executive Compensation” and “Certain Relationships, Related Party and Other Transactions” appearing elsewhere in this prospectus for information regarding material relationships with our selling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following summary of certain provisions of our securities does not purport to be complete and is subject to our Certificate of Incorporation, our Bylaws and the provisions of applicable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w:t>
      </w:r>
    </w:p>
    <w:p>
      <w:pPr>
        <w:spacing w:after="0" w:line="164" w:lineRule="exact"/>
        <w:rPr>
          <w:sz w:val="20"/>
          <w:szCs w:val="20"/>
          <w:color w:val="auto"/>
        </w:rPr>
      </w:pPr>
    </w:p>
    <w:p>
      <w:pPr>
        <w:ind w:right="680" w:firstLine="318"/>
        <w:spacing w:after="0" w:line="365" w:lineRule="auto"/>
        <w:rPr>
          <w:sz w:val="20"/>
          <w:szCs w:val="20"/>
          <w:color w:val="auto"/>
        </w:rPr>
      </w:pPr>
      <w:r>
        <w:rPr>
          <w:rFonts w:ascii="Arial" w:cs="Arial" w:eastAsia="Arial" w:hAnsi="Arial"/>
          <w:sz w:val="15"/>
          <w:szCs w:val="15"/>
          <w:color w:val="auto"/>
        </w:rPr>
        <w:t>Our authorized capital stock consists of 1,000,000,000 shares of our Common Stock, par value $0.0001 per share, and 200,000,000 shares of our Preferred Stock, par value $0.0001 per share. As of June 30, 2021, we have 124,094,390 shares of our Common Stock outstanding.</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summary describes all material provisions of our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b w:val="1"/>
          <w:bCs w:val="1"/>
          <w:i w:val="1"/>
          <w:iCs w:val="1"/>
          <w:color w:val="auto"/>
        </w:rPr>
        <w:t>Voting rights</w:t>
      </w:r>
      <w:r>
        <w:rPr>
          <w:rFonts w:ascii="Arial" w:cs="Arial" w:eastAsia="Arial" w:hAnsi="Arial"/>
          <w:sz w:val="15"/>
          <w:szCs w:val="15"/>
          <w:color w:val="auto"/>
        </w:rPr>
        <w:t>. Each share of our Common Stock is entitled to one vote per share on all matters (including the election of directors) submitted to a vote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stockholders, unless otherwise required by law or our certificate of incorporation. Our Certificate of Incorporation and our Bylaws do not provide for cumulative voting rights. Our directors are elected by plurality vote of the shares of our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04"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 Subject to preferences that may be applicable to any then-outstanding preferred stock, holders of our Common Stock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dividends, if any, as may be declared from time to time by our board of directors out of legally available funds.</w:t>
      </w:r>
    </w:p>
    <w:p>
      <w:pPr>
        <w:spacing w:after="0" w:line="10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our Common Stock are entitled to share ratably in the net assets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to stockholders after the payment of all of our debts and other liabilities and the satisfaction of any liquidation preference granted to the holders of any then-outstanding shares of preferred stock.</w:t>
      </w:r>
    </w:p>
    <w:p>
      <w:pPr>
        <w:spacing w:after="0" w:line="135"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b w:val="1"/>
          <w:bCs w:val="1"/>
          <w:i w:val="1"/>
          <w:iCs w:val="1"/>
          <w:color w:val="auto"/>
        </w:rPr>
        <w:t>Other rights</w:t>
      </w:r>
      <w:r>
        <w:rPr>
          <w:rFonts w:ascii="Arial" w:cs="Arial" w:eastAsia="Arial" w:hAnsi="Arial"/>
          <w:sz w:val="17"/>
          <w:szCs w:val="17"/>
          <w:color w:val="auto"/>
        </w:rPr>
        <w:t>. Holders of our Common Stock have no preemptive, conversion, subscription or other rights, and there are no redemption or sinking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0"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our company or other corporate action. As of June 30, 2021, there are no shares of preferred stock outstanding, and we have no present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Subject to the rights of the holders of any series of Preferred Stock to elect additional directors under specified circumstances, the number of directors of our board of directors shall be fixed solely and exclusively by resolution duly adopted from time to time by our board of directors, but currently consists of eight (8) directors, which are divided into three (3) classes, designated Class I, II and III, with each class consisting of three (3) directors. Under our Bylaws, at all meetings of stockholders called for the election of directors, directors shall be elected by a plurality of the voting power of the shares present in person or represented by proxy at the meeting and entitled to vote on the election of directors. All directors are elected to hold office until the expiration of the term for which they are elected and until their successors have been duly elected and qualified or until their earlier resignation or removal.</w:t>
      </w:r>
    </w:p>
    <w:p>
      <w:pPr>
        <w:spacing w:after="0" w:line="99"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our Preferred Stock, newly created directorships resulting from any increase in the number of directors and any vacancies on our board of directors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6" w:lineRule="exact"/>
        <w:rPr>
          <w:sz w:val="20"/>
          <w:szCs w:val="20"/>
          <w:color w:val="auto"/>
        </w:rPr>
      </w:pPr>
    </w:p>
    <w:p>
      <w:pPr>
        <w:jc w:val="both"/>
        <w:ind w:right="240" w:firstLine="318"/>
        <w:spacing w:after="0" w:line="255" w:lineRule="auto"/>
        <w:rPr>
          <w:sz w:val="20"/>
          <w:szCs w:val="20"/>
          <w:color w:val="auto"/>
        </w:rPr>
      </w:pPr>
      <w:r>
        <w:rPr>
          <w:rFonts w:ascii="Arial" w:cs="Arial" w:eastAsia="Arial" w:hAnsi="Arial"/>
          <w:sz w:val="18"/>
          <w:szCs w:val="18"/>
          <w:color w:val="auto"/>
        </w:rPr>
        <w:t>Subject to the rights, if any, of any series our Preferred Stock, any director or our entire board of directors may be removed from office at any time, but only for cause and only by the affirmative vote of the holders of at least 66 2/3% of the voting power of our issued and outstanding capital stock entitled to vote in the election of directors.</w:t>
      </w:r>
    </w:p>
    <w:p>
      <w:pPr>
        <w:spacing w:after="0" w:line="13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In addition to the powers and authority expressly conferred upon them by statute or by our Certificate of Incorporation or our Bylaws, the directors are empowered to exercise all such powers and do all such acts and things as may be exercised or done by us, subject, nevertheless, to the provisions of the DGCL, our Certificate of Incorporation and our Bylaws adopted and in effect from time to time; provided, however, that no Bylaw adopted, amended, altered or repealed after the date of our Bylaws will invalidate any prior act of our directors or officers which would have been valid if such Bylaw had not been adopted, amended, altered or repealed.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0"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our Certificate of Incorporation or our Bylaws, each as amended from 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170"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Our Certificate of Incorporation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of us to first negotiate with our board of directors, which we believe may result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improvement of the terms of any such acquisition in favor of our stockholders. However, they also give our board of directors the power to discourage acquisitions that some stockholders may favor.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0"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2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One of the effects of the existence of unissued and unreserved common stock may be to enable our board of directors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170"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Unless otherwise required by law, and subject to the rights, if any, of the holders of any series of our Preferred Stock, special meetings of our stockholders may be called only by the Chairperson of our board of directors, our Chief Executive Officer, our President, or our board of directors acting pursuant to a resolution adopted by a majority of our board of directors.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9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w:t>
      </w:r>
    </w:p>
    <w:p>
      <w:pPr>
        <w:spacing w:after="0" w:line="135"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93"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70"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Our Certificate of Incorporation will provide that the following provisions therein may be amended, altered, repealed or rescinded only by the affirmative vote of the holders of at least 66 2/3% in voting power of all the then outstanding shares of our stock entitled to vote thereon and the affirmative vote of at least 66 2/3% of the then outstanding voting securities of the Company, voting together as a single class:</w:t>
      </w:r>
    </w:p>
    <w:p>
      <w:pPr>
        <w:spacing w:after="0" w:line="135" w:lineRule="exact"/>
        <w:rPr>
          <w:sz w:val="20"/>
          <w:szCs w:val="20"/>
          <w:color w:val="auto"/>
        </w:rPr>
      </w:pPr>
    </w:p>
    <w:p>
      <w:pPr>
        <w:ind w:left="640" w:right="540" w:hanging="316"/>
        <w:spacing w:after="0" w:line="264" w:lineRule="auto"/>
        <w:tabs>
          <w:tab w:leader="none" w:pos="6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issues shares of our Preferred Stock, with any rights, preferences or privileges as they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19" w:lineRule="exact"/>
        <w:rPr>
          <w:sz w:val="20"/>
          <w:szCs w:val="20"/>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dividing our board of directors into three classes, each of which stands for election once every three years;</w:t>
      </w:r>
    </w:p>
    <w:p>
      <w:pPr>
        <w:spacing w:after="0" w:line="164" w:lineRule="exact"/>
        <w:rPr>
          <w:rFonts w:ascii="Arial" w:cs="Arial" w:eastAsia="Arial" w:hAnsi="Arial"/>
          <w:sz w:val="18"/>
          <w:szCs w:val="18"/>
          <w:color w:val="auto"/>
        </w:rPr>
      </w:pPr>
    </w:p>
    <w:p>
      <w:pPr>
        <w:ind w:left="640" w:right="180" w:hanging="316"/>
        <w:spacing w:after="0" w:line="294" w:lineRule="auto"/>
        <w:tabs>
          <w:tab w:leader="none" w:pos="6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provisions providing that a director may only be removed from our board of directors for cause only by the affirmative vote of the holders of at least 66 2/3% of the voting power of our issued and outstanding capital stock entitled to vote in the election of directors;</w:t>
      </w:r>
    </w:p>
    <w:p>
      <w:pPr>
        <w:spacing w:after="0" w:line="104" w:lineRule="exact"/>
        <w:rPr>
          <w:rFonts w:ascii="Arial" w:cs="Arial" w:eastAsia="Arial" w:hAnsi="Arial"/>
          <w:sz w:val="17"/>
          <w:szCs w:val="17"/>
          <w:color w:val="auto"/>
        </w:rPr>
      </w:pPr>
    </w:p>
    <w:p>
      <w:pPr>
        <w:ind w:left="640" w:right="680" w:hanging="316"/>
        <w:spacing w:after="0" w:line="264"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our stockholders must be effected at a duly called annual or special meeting of stockholders and not be taken by written consent;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64" w:lineRule="exact"/>
        <w:rPr>
          <w:rFonts w:ascii="Arial" w:cs="Arial" w:eastAsia="Arial" w:hAnsi="Arial"/>
          <w:sz w:val="18"/>
          <w:szCs w:val="18"/>
          <w:color w:val="auto"/>
        </w:rPr>
      </w:pPr>
    </w:p>
    <w:p>
      <w:pPr>
        <w:ind w:left="640" w:right="360" w:hanging="316"/>
        <w:spacing w:after="0" w:line="264"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our stockholders;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Our Bylaws may be amended or repealed (A) by the affirmative vote of a majority of our entire board of directors then in office (subject to any bylaw requiring the affirmative vote of a larger percentage of the members of our board of directors) or (B) by our stockholders, provided that the affirmative vote of the holders of at least 66 2/3% of the total voting power of outstanding voting securities, voting together as a single class, shall be required for our stockholders to alter, amend or repeal, or adopt certain provisions of our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our board of directors or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Our Certificate of Incorporation limits the liability of our directors to the fullest extent permitted by the DGCL, and our Bylaws provide that we will indemnify them to the fullest extent permitted by such law. We have entered into indemnification agreements with our directors and officers and we expect to continue to enter into agreements to indemnify our directors, executive officers and other employees as determined by our board of directors. Under the terms of such indemnification agreements, we will be required to indemnify each of its directors and officers, to the fullest extent permitted by the laws of the state of Delaware, if the basis of the indemnitee’s involvement was by reason of the fact that the indemnitee is or was a director or officer of us or any of our subsidiaries or was serving at our request in an official capacity for another entity. Any claims for indemnification by our directors and officers may reduce our available funds to satisfy successful third-party claims against it and may reduce the amount of money available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70"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firstLine="6"/>
        <w:spacing w:after="0" w:line="265" w:lineRule="auto"/>
        <w:tabs>
          <w:tab w:leader="none" w:pos="309"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action arising pursuant to any provision of the Delaware General Corporation Law or our Certificate of Incorporation or our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we give an Alternative Forum Consent, the federal district courts of the United States shall be the sole and exclusive forum for resolving any action asserting a claim arising under the Securities Act of 1933.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listed on Nasdaq under the symbol “NAUT.”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17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are registering the Securities covered by this prospectus to permit the selling securityholders to conduct public secondary trading of these Securities from time to time after the date of this prospectus. We will not receive any of the proceeds of the sale of the Securities offered by this prospectus. The aggregate proceeds to the selling securityholders from the sale of the Securities will be the purchase price of the Securities less any discounts and commissions. We will not pay any brokers’ or underwriters’ discounts and commissions in connection with the registration and sale of the Securities covered by this prospectus. The selling securityholders reserve the right to accept and, together with their respective agents, to reject, any proposed purchases of Securities to be made directly or through agents.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Securities offered by this prospectus may be sold from time to time to purchasers:</w:t>
      </w:r>
    </w:p>
    <w:p>
      <w:pPr>
        <w:spacing w:after="0" w:line="164" w:lineRule="exact"/>
        <w:rPr>
          <w:sz w:val="20"/>
          <w:szCs w:val="20"/>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164"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securityholders or the purchasers of the Securities; or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64"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spacing w:after="0" w:line="132"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Securities may be sold in one or more transactions at:</w:t>
      </w:r>
    </w:p>
    <w:p>
      <w:pPr>
        <w:spacing w:after="0" w:line="84" w:lineRule="exact"/>
        <w:rPr>
          <w:sz w:val="20"/>
          <w:szCs w:val="20"/>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sales may be effected in one or more transactions:</w:t>
      </w:r>
    </w:p>
    <w:p>
      <w:pPr>
        <w:spacing w:after="0" w:line="164" w:lineRule="exact"/>
        <w:rPr>
          <w:sz w:val="20"/>
          <w:szCs w:val="20"/>
          <w:color w:val="auto"/>
        </w:rPr>
      </w:pPr>
    </w:p>
    <w:p>
      <w:pPr>
        <w:ind w:left="640" w:hanging="316"/>
        <w:spacing w:after="0"/>
        <w:tabs>
          <w:tab w:leader="none" w:pos="6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on any national securities exchange or quotation service on which the Securities may be listed or quoted at the time of sale, including Nasdaq;</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64"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52" w:name="page153"/>
    <w:bookmarkEnd w:id="152"/>
    <w:p>
      <w:pPr>
        <w:spacing w:after="0" w:line="119" w:lineRule="exact"/>
        <w:rPr>
          <w:sz w:val="20"/>
          <w:szCs w:val="20"/>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164" w:lineRule="exact"/>
        <w:rPr>
          <w:rFonts w:ascii="Arial" w:cs="Arial" w:eastAsia="Arial" w:hAnsi="Arial"/>
          <w:sz w:val="18"/>
          <w:szCs w:val="18"/>
          <w:color w:val="auto"/>
        </w:rPr>
      </w:pPr>
    </w:p>
    <w:p>
      <w:pPr>
        <w:ind w:left="640" w:right="100" w:hanging="316"/>
        <w:spacing w:after="0" w:line="255" w:lineRule="auto"/>
        <w:tabs>
          <w:tab w:leader="none" w:pos="6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options or other hedging transactions, whether through an options exchange or otherwise;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distributions to members, limited partners or stockholders of selling securityholders;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the Securities offered by this prospectus, which Securities such broker-dealer or other financial institution may resell pursuant to this prospectus (as supplemented or amended to reflect such transaction). The selling securityholders may also pledge the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0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the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32"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At the time a particular offering of the Securities is made, a prospectus supplement, if required, will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w:t>
      </w:r>
    </w:p>
    <w:p>
      <w:pPr>
        <w:spacing w:after="0" w:line="1" w:lineRule="exact"/>
        <w:rPr>
          <w:sz w:val="20"/>
          <w:szCs w:val="20"/>
          <w:color w:val="auto"/>
        </w:rPr>
      </w:pPr>
    </w:p>
    <w:p>
      <w:pPr>
        <w:ind w:right="600" w:firstLine="6"/>
        <w:spacing w:after="0" w:line="251" w:lineRule="auto"/>
        <w:tabs>
          <w:tab w:leader="none" w:pos="2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discounts, commissions or concessions allowed or reallowed to be paid to broker-dealers. We may suspend the sale of Securities by the selling securityholders pursuant to this prospectus for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periods of time for certain reasons, including if the prospectus is required to be supplemented or amended to include additional material information.</w:t>
      </w:r>
    </w:p>
    <w:p>
      <w:pPr>
        <w:spacing w:after="0" w:line="176"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Further, we cannot assure you that the selling securityholders will not transfer, distribute, devise or gift the Securities by other means not described in this prospectus. In addition, any Securities covered by this prospectus that qualify for sale under Rule 144 of the Securities Act may be sold under Rule 144 rather than under this prospectus.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spacing w:after="0" w:line="99"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 This may affect the marketability of the Securities and the ability of any person or entity to engage in market-making activities with respect to the Securities.</w:t>
      </w:r>
    </w:p>
    <w:p>
      <w:pPr>
        <w:spacing w:after="0" w:line="14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the Securities owned by them and, if a selling securityholder defaults in the performance of its secured obligations, the pledgees or secured parties may offer and sell such shares of the Securities,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the Securities in other circumstances, in which case the transferees, pledgees or other successors in interest will be the selling beneficial owners for purposes of this prospectus.</w:t>
      </w:r>
    </w:p>
    <w:p>
      <w:pPr>
        <w:spacing w:after="0" w:line="143"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A selling securityholder that is an entity may elect to make an in-kind distribution of the Securities to its members, partners or shareholders pursuant to the registration statement of which this prospectus is a part by delivering a prospectus. To the extent that such members, partners or shareholders are not affiliates of ours, such members, partners or stockholders would thereby receive freely tradable shares of the Securities pursuant to the distribution through a registration statement.</w:t>
      </w:r>
    </w:p>
    <w:p>
      <w:pPr>
        <w:spacing w:after="0" w:line="138"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With respect to those Securities being registered pursuant to the Registration Rights Agreement, we have agreed to indemnify or provide contribution to the selling securityholders and all of their officers, directors and control persons, as applicable, and certain underwriters effecting sales of the Securities against certain liabilities, including certain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98" w:lineRule="exact"/>
        <w:rPr>
          <w:sz w:val="20"/>
          <w:szCs w:val="20"/>
          <w:color w:val="auto"/>
        </w:rPr>
      </w:pPr>
    </w:p>
    <w:p>
      <w:pPr>
        <w:ind w:right="880" w:firstLine="318"/>
        <w:spacing w:after="0" w:line="430" w:lineRule="auto"/>
        <w:rPr>
          <w:sz w:val="20"/>
          <w:szCs w:val="20"/>
          <w:color w:val="auto"/>
        </w:rPr>
      </w:pPr>
      <w:r>
        <w:rPr>
          <w:rFonts w:ascii="Arial" w:cs="Arial" w:eastAsia="Arial" w:hAnsi="Arial"/>
          <w:sz w:val="18"/>
          <w:szCs w:val="18"/>
          <w:color w:val="auto"/>
        </w:rPr>
        <w:t>For additional information regarding expenses of registration, see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appearing elsewhere in this prospectus. </w:t>
      </w:r>
      <w:r>
        <w:rPr>
          <w:rFonts w:ascii="Arial" w:cs="Arial" w:eastAsia="Arial" w:hAnsi="Arial"/>
          <w:sz w:val="18"/>
          <w:szCs w:val="18"/>
          <w:b w:val="1"/>
          <w:bCs w:val="1"/>
          <w:color w:val="auto"/>
        </w:rPr>
        <w:t>Lock-Up Restrictions</w:t>
      </w:r>
    </w:p>
    <w:p>
      <w:pPr>
        <w:ind w:right="140" w:firstLine="318"/>
        <w:spacing w:after="0" w:line="277" w:lineRule="auto"/>
        <w:rPr>
          <w:sz w:val="20"/>
          <w:szCs w:val="20"/>
          <w:color w:val="auto"/>
        </w:rPr>
      </w:pPr>
      <w:r>
        <w:rPr>
          <w:rFonts w:ascii="Arial" w:cs="Arial" w:eastAsia="Arial" w:hAnsi="Arial"/>
          <w:sz w:val="17"/>
          <w:szCs w:val="17"/>
          <w:color w:val="auto"/>
        </w:rPr>
        <w:t>Of the shares of Common Stock that may be offered or sold by selling securityholders identified in this prospectus, certain of our selling securityholders are subject to lock-up restrictions with respect to 83,157,327 of those shares as pursuant to our bylaws and/or other agreements further described in the sections titled “</w:t>
      </w:r>
      <w:r>
        <w:rPr>
          <w:rFonts w:ascii="Arial" w:cs="Arial" w:eastAsia="Arial" w:hAnsi="Arial"/>
          <w:sz w:val="17"/>
          <w:szCs w:val="17"/>
          <w:i w:val="1"/>
          <w:iCs w:val="1"/>
          <w:color w:val="auto"/>
        </w:rPr>
        <w:t>Certain Relationships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Party and Other Transactions</w:t>
      </w:r>
      <w:r>
        <w:rPr>
          <w:rFonts w:ascii="Arial" w:cs="Arial" w:eastAsia="Arial" w:hAnsi="Arial"/>
          <w:sz w:val="17"/>
          <w:szCs w:val="17"/>
          <w:color w:val="auto"/>
        </w:rPr>
        <w:t>”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0" w:lineRule="exact"/>
        <w:rPr>
          <w:sz w:val="20"/>
          <w:szCs w:val="20"/>
          <w:color w:val="auto"/>
        </w:rPr>
      </w:pPr>
    </w:p>
    <w:p>
      <w:pPr>
        <w:jc w:val="both"/>
        <w:ind w:right="340" w:firstLine="318"/>
        <w:spacing w:after="0" w:line="277" w:lineRule="auto"/>
        <w:rPr>
          <w:sz w:val="20"/>
          <w:szCs w:val="20"/>
          <w:color w:val="auto"/>
        </w:rPr>
      </w:pPr>
      <w:r>
        <w:rPr>
          <w:rFonts w:ascii="Arial" w:cs="Arial" w:eastAsia="Arial" w:hAnsi="Arial"/>
          <w:sz w:val="17"/>
          <w:szCs w:val="17"/>
          <w:color w:val="auto"/>
        </w:rPr>
        <w:t>The validity of the Securities offered hereby has been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0.2% of the outstanding shares of our common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financial statements of Nautilus Biotechnology, Inc. as of December 31, 2020 and 2019 and for each of the two years in the period ended December 31, 2020 included in this prospectus have been so included in reliance on the report of PricewaterhouseCoopers LLP (“PwC”), an independent registered public accounting firm, given on the authority of said firm as experts in auditing and accounting.</w:t>
      </w:r>
    </w:p>
    <w:p>
      <w:pPr>
        <w:spacing w:after="0" w:line="135"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financial statements of ARYA Sciences Acquisition Corp III as of December 31, 2020, and for the period from March 27, 2020 (inception) through December 31, 2020, appearing in this prospectus have been audited by WithumSmith+Brown, PC (“Withum”), an independent registered public accounting firm, as stated in their report thereon and included in this prospectus, in reliance upon such report and upon the authority of such firm as experts in accounting and auditing.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Certifying Accountant</w:t>
      </w:r>
    </w:p>
    <w:p>
      <w:pPr>
        <w:spacing w:after="0" w:line="17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On June 9, 2021, the audit committee of our board of directors approved a resolution appointing PwC as New Nautilus’ independent registered public accounting firm to audit New Nautilus’ consolidated financial statements for the fiscal year ending December 31, 2021. PwC served as the independent registered public accounting firm of Old Nautilus prior to the Business Combination. Accordingly, Withum, ARYA’s independent registered public accounting firm prior to the Business Combination, was informed on June 9, 2021 that it was dismissed as New Nautilus’ independent registered public accounting firm.</w:t>
      </w:r>
    </w:p>
    <w:p>
      <w:pPr>
        <w:spacing w:after="0" w:line="93"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spacing w:after="0" w:line="104"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spacing w:after="0" w:line="138"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During ARYA’s fiscal year ending December 31, 2020 and the subsequent interim period through June 9, 2021, there were no “reportable events” (as defined in Item 304(a)(1)(v) of Regulation S-K under the Securities Exchange Act of 1934, as amended (the “Exchange Act”)).</w:t>
      </w:r>
    </w:p>
    <w:p>
      <w:pPr>
        <w:spacing w:after="0" w:line="10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New Nautilus provided Withum with a copy of the foregoing disclosures and has requested that Withum furnish Nautilus Biotechnology, Inc. with a letter addressed to the SEC stating whether it agrees with the statements made by New Nautilus set forth above. A copy of Withum’s letter, dated June 9, 2021, is filed as an exhibit hereto.</w:t>
      </w:r>
    </w:p>
    <w:p>
      <w:pPr>
        <w:spacing w:after="0" w:line="135"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During the fiscal year ending December 31, 2020 and the subsequent interim period through June 9, 2021, neither New Nautilus, nor any party on behalf of New Nautilus, consulted with PwC with respect to either (i) the application of accounting principles to a specified transaction, either completed or proposed, or the type of the audit opinion that might be rendered with respect to New Nautilus’ consolidated financial statements, and no written report or oral advice was provided to New Nautilus by PwC that was an important factor considered by New Nautilus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5" w:name="page156"/>
    <w:bookmarkEnd w:id="155"/>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have filed with the SEC a registration statement on Form S-1 under the Securities Act that registers the shares of our Common Stock to be sold in this offering. The registration statement, including the attached exhibits and schedules, contains additional relevant information about us and our capital stock.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99"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are subject to the informational reporting requirements of the Exchange Act. We file reports, proxy statements and other information with the SEC under the Exchange Act. Our SEC filings are available over the Internet at the SEC’s website at http://www.sec.gov. Our website address is www.nautilus.bio. The information on, or that 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80" w:type="dxa"/>
            <w:vAlign w:val="bottom"/>
            <w:gridSpan w:val="9"/>
          </w:tcPr>
          <w:p>
            <w:pPr>
              <w:ind w:left="320"/>
              <w:spacing w:after="0"/>
              <w:rPr>
                <w:sz w:val="20"/>
                <w:szCs w:val="20"/>
                <w:color w:val="auto"/>
              </w:rPr>
            </w:pPr>
            <w:r>
              <w:rPr>
                <w:rFonts w:ascii="Arial" w:cs="Arial" w:eastAsia="Arial" w:hAnsi="Arial"/>
                <w:sz w:val="18"/>
                <w:szCs w:val="18"/>
                <w:b w:val="1"/>
                <w:bCs w:val="1"/>
                <w:color w:val="auto"/>
              </w:rPr>
              <w:t>INDEX TO FINANCIAL STATEMENTS</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1"/>
        </w:trPr>
        <w:tc>
          <w:tcPr>
            <w:tcW w:w="962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 for ARYA Sciences Acquisition Corp III:</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gridSpan w:val="3"/>
          </w:tcPr>
          <w:p>
            <w:pPr>
              <w:jc w:val="center"/>
              <w:ind w:left="832"/>
              <w:spacing w:after="0"/>
              <w:rPr>
                <w:sz w:val="20"/>
                <w:szCs w:val="20"/>
                <w:color w:val="auto"/>
              </w:rPr>
            </w:pPr>
            <w:r>
              <w:rPr>
                <w:rFonts w:ascii="Arial" w:cs="Arial" w:eastAsia="Arial" w:hAnsi="Arial"/>
                <w:sz w:val="18"/>
                <w:szCs w:val="18"/>
                <w:b w:val="1"/>
                <w:bCs w:val="1"/>
                <w:color w:val="auto"/>
                <w:w w:val="83"/>
              </w:rPr>
              <w:t>Page</w:t>
            </w:r>
          </w:p>
        </w:tc>
      </w:tr>
      <w:tr>
        <w:trPr>
          <w:trHeight w:val="187"/>
        </w:trPr>
        <w:tc>
          <w:tcPr>
            <w:tcW w:w="20" w:type="dxa"/>
            <w:vAlign w:val="bottom"/>
          </w:tcPr>
          <w:p>
            <w:pPr>
              <w:spacing w:after="0"/>
              <w:rPr>
                <w:sz w:val="16"/>
                <w:szCs w:val="16"/>
                <w:color w:val="auto"/>
              </w:rPr>
            </w:pPr>
          </w:p>
        </w:tc>
        <w:tc>
          <w:tcPr>
            <w:tcW w:w="9600" w:type="dxa"/>
            <w:vAlign w:val="bottom"/>
            <w:gridSpan w:val="12"/>
          </w:tcPr>
          <w:p>
            <w:pPr>
              <w:spacing w:after="0" w:line="187" w:lineRule="exact"/>
              <w:rPr>
                <w:rFonts w:ascii="Arial" w:cs="Arial" w:eastAsia="Arial" w:hAnsi="Arial"/>
                <w:sz w:val="18"/>
                <w:szCs w:val="18"/>
                <w:color w:val="0000FF"/>
              </w:rPr>
            </w:pPr>
            <w:hyperlink w:anchor="page160">
              <w:r>
                <w:rPr>
                  <w:rFonts w:ascii="Arial" w:cs="Arial" w:eastAsia="Arial" w:hAnsi="Arial"/>
                  <w:sz w:val="18"/>
                  <w:szCs w:val="18"/>
                  <w:color w:val="0000FF"/>
                </w:rPr>
                <w:t>Report of Independent Registered Public Accounting Firm</w:t>
              </w:r>
            </w:hyperlink>
          </w:p>
        </w:tc>
        <w:tc>
          <w:tcPr>
            <w:tcW w:w="960" w:type="dxa"/>
            <w:vAlign w:val="bottom"/>
          </w:tcPr>
          <w:p>
            <w:pPr>
              <w:spacing w:after="0"/>
              <w:rPr>
                <w:sz w:val="16"/>
                <w:szCs w:val="16"/>
                <w:color w:val="auto"/>
              </w:rPr>
            </w:pPr>
          </w:p>
        </w:tc>
        <w:tc>
          <w:tcPr>
            <w:tcW w:w="320" w:type="dxa"/>
            <w:vAlign w:val="bottom"/>
            <w:gridSpan w:val="2"/>
          </w:tcPr>
          <w:p>
            <w:pPr>
              <w:jc w:val="center"/>
              <w:ind w:right="60"/>
              <w:spacing w:after="0" w:line="187" w:lineRule="exact"/>
              <w:rPr>
                <w:rFonts w:ascii="Arial" w:cs="Arial" w:eastAsia="Arial" w:hAnsi="Arial"/>
                <w:sz w:val="18"/>
                <w:szCs w:val="18"/>
                <w:color w:val="0000FF"/>
                <w:w w:val="96"/>
              </w:rPr>
            </w:pPr>
            <w:hyperlink w:anchor="page160">
              <w:r>
                <w:rPr>
                  <w:rFonts w:ascii="Arial" w:cs="Arial" w:eastAsia="Arial" w:hAnsi="Arial"/>
                  <w:sz w:val="18"/>
                  <w:szCs w:val="18"/>
                  <w:color w:val="0000FF"/>
                  <w:w w:val="96"/>
                </w:rPr>
                <w:t>F-4</w:t>
              </w:r>
            </w:hyperlink>
          </w:p>
        </w:tc>
      </w:tr>
      <w:tr>
        <w:trPr>
          <w:trHeight w:val="258"/>
        </w:trPr>
        <w:tc>
          <w:tcPr>
            <w:tcW w:w="20" w:type="dxa"/>
            <w:vAlign w:val="bottom"/>
          </w:tcPr>
          <w:p>
            <w:pPr>
              <w:spacing w:after="0"/>
              <w:rPr>
                <w:sz w:val="22"/>
                <w:szCs w:val="22"/>
                <w:color w:val="auto"/>
              </w:rPr>
            </w:pPr>
          </w:p>
        </w:tc>
        <w:tc>
          <w:tcPr>
            <w:tcW w:w="4140" w:type="dxa"/>
            <w:vAlign w:val="bottom"/>
            <w:tcBorders>
              <w:top w:val="single" w:sz="8" w:color="0000FF"/>
            </w:tcBorders>
            <w:gridSpan w:val="4"/>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Balance Sheet as of December 31, 2020</w:t>
              </w:r>
            </w:hyperlink>
          </w:p>
        </w:tc>
        <w:tc>
          <w:tcPr>
            <w:tcW w:w="5460" w:type="dxa"/>
            <w:vAlign w:val="bottom"/>
            <w:gridSpan w:val="8"/>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rFonts w:ascii="Arial" w:cs="Arial" w:eastAsia="Arial" w:hAnsi="Arial"/>
                <w:sz w:val="18"/>
                <w:szCs w:val="18"/>
                <w:color w:val="0000FF"/>
                <w:w w:val="96"/>
              </w:rPr>
            </w:pPr>
            <w:hyperlink w:anchor="page160">
              <w:r>
                <w:rPr>
                  <w:rFonts w:ascii="Arial" w:cs="Arial" w:eastAsia="Arial" w:hAnsi="Arial"/>
                  <w:sz w:val="18"/>
                  <w:szCs w:val="18"/>
                  <w:color w:val="0000FF"/>
                  <w:w w:val="96"/>
                </w:rPr>
                <w:t>F-5</w:t>
              </w:r>
            </w:hyperlink>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600" w:type="dxa"/>
            <w:vAlign w:val="bottom"/>
            <w:gridSpan w:val="12"/>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Statement of Operations for the period from March 27, 2020 (inception) through December 31, 2020</w:t>
              </w:r>
            </w:hyperlink>
          </w:p>
        </w:tc>
        <w:tc>
          <w:tcPr>
            <w:tcW w:w="960" w:type="dxa"/>
            <w:vAlign w:val="bottom"/>
          </w:tcPr>
          <w:p>
            <w:pPr>
              <w:spacing w:after="0"/>
              <w:rPr>
                <w:sz w:val="22"/>
                <w:szCs w:val="22"/>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161">
              <w:r>
                <w:rPr>
                  <w:rFonts w:ascii="Arial" w:cs="Arial" w:eastAsia="Arial" w:hAnsi="Arial"/>
                  <w:sz w:val="18"/>
                  <w:szCs w:val="18"/>
                  <w:color w:val="0000FF"/>
                  <w:w w:val="96"/>
                </w:rPr>
                <w:t>F-6</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62">
              <w:r>
                <w:rPr>
                  <w:rFonts w:ascii="Arial" w:cs="Arial" w:eastAsia="Arial" w:hAnsi="Arial"/>
                  <w:sz w:val="18"/>
                  <w:szCs w:val="18"/>
                  <w:color w:val="0000FF"/>
                  <w:w w:val="89"/>
                </w:rPr>
                <w:t>Statement of Changes in Shareholders’ Equity for the period from March 27, 2020 (inception) through December 31, 2020</w:t>
              </w:r>
            </w:hyperlink>
          </w:p>
        </w:tc>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62">
              <w:r>
                <w:rPr>
                  <w:rFonts w:ascii="Arial" w:cs="Arial" w:eastAsia="Arial" w:hAnsi="Arial"/>
                  <w:sz w:val="18"/>
                  <w:szCs w:val="18"/>
                  <w:color w:val="0000FF"/>
                  <w:w w:val="96"/>
                </w:rPr>
                <w:t>F-7</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718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163">
              <w:r>
                <w:rPr>
                  <w:rFonts w:ascii="Arial" w:cs="Arial" w:eastAsia="Arial" w:hAnsi="Arial"/>
                  <w:sz w:val="18"/>
                  <w:szCs w:val="18"/>
                  <w:color w:val="0000FF"/>
                  <w:w w:val="89"/>
                </w:rPr>
                <w:t>Statement of Cash Flows for the period from March 27, 2020 (inception) through December 31, 2020</w:t>
              </w:r>
            </w:hyperlink>
          </w:p>
        </w:tc>
        <w:tc>
          <w:tcPr>
            <w:tcW w:w="2420" w:type="dxa"/>
            <w:vAlign w:val="bottom"/>
            <w:gridSpan w:val="3"/>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63">
              <w:r>
                <w:rPr>
                  <w:rFonts w:ascii="Arial" w:cs="Arial" w:eastAsia="Arial" w:hAnsi="Arial"/>
                  <w:sz w:val="18"/>
                  <w:szCs w:val="18"/>
                  <w:color w:val="0000FF"/>
                  <w:w w:val="96"/>
                </w:rPr>
                <w:t>F-8</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2120" w:type="dxa"/>
            <w:vAlign w:val="bottom"/>
            <w:tcBorders>
              <w:bottom w:val="single" w:sz="8" w:color="0000FF"/>
            </w:tcBorders>
          </w:tcPr>
          <w:p>
            <w:pPr>
              <w:spacing w:after="0"/>
              <w:rPr>
                <w:rFonts w:ascii="Arial" w:cs="Arial" w:eastAsia="Arial" w:hAnsi="Arial"/>
                <w:sz w:val="18"/>
                <w:szCs w:val="18"/>
                <w:color w:val="0000FF"/>
                <w:w w:val="87"/>
              </w:rPr>
            </w:pPr>
            <w:hyperlink w:anchor="page164">
              <w:r>
                <w:rPr>
                  <w:rFonts w:ascii="Arial" w:cs="Arial" w:eastAsia="Arial" w:hAnsi="Arial"/>
                  <w:sz w:val="18"/>
                  <w:szCs w:val="18"/>
                  <w:color w:val="0000FF"/>
                  <w:w w:val="87"/>
                </w:rPr>
                <w:t>Notes to Financial Statements</w:t>
              </w:r>
            </w:hyperlink>
          </w:p>
        </w:tc>
        <w:tc>
          <w:tcPr>
            <w:tcW w:w="7480" w:type="dxa"/>
            <w:vAlign w:val="bottom"/>
            <w:gridSpan w:val="11"/>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64">
              <w:r>
                <w:rPr>
                  <w:rFonts w:ascii="Arial" w:cs="Arial" w:eastAsia="Arial" w:hAnsi="Arial"/>
                  <w:sz w:val="18"/>
                  <w:szCs w:val="18"/>
                  <w:color w:val="0000FF"/>
                  <w:w w:val="96"/>
                </w:rPr>
                <w:t>F-9</w:t>
              </w:r>
            </w:hyperlink>
          </w:p>
        </w:tc>
        <w:tc>
          <w:tcPr>
            <w:tcW w:w="60" w:type="dxa"/>
            <w:vAlign w:val="bottom"/>
          </w:tcPr>
          <w:p>
            <w:pPr>
              <w:spacing w:after="0"/>
              <w:rPr>
                <w:sz w:val="22"/>
                <w:szCs w:val="22"/>
                <w:color w:val="auto"/>
              </w:rPr>
            </w:pPr>
          </w:p>
        </w:tc>
      </w:tr>
      <w:tr>
        <w:trPr>
          <w:trHeight w:val="482"/>
        </w:trPr>
        <w:tc>
          <w:tcPr>
            <w:tcW w:w="9620" w:type="dxa"/>
            <w:vAlign w:val="bottom"/>
            <w:gridSpan w:val="13"/>
          </w:tcPr>
          <w:p>
            <w:pPr>
              <w:spacing w:after="0"/>
              <w:rPr>
                <w:sz w:val="20"/>
                <w:szCs w:val="20"/>
                <w:color w:val="auto"/>
              </w:rPr>
            </w:pPr>
            <w:r>
              <w:rPr>
                <w:rFonts w:ascii="Arial" w:cs="Arial" w:eastAsia="Arial" w:hAnsi="Arial"/>
                <w:sz w:val="18"/>
                <w:szCs w:val="18"/>
                <w:b w:val="1"/>
                <w:bCs w:val="1"/>
                <w:color w:val="auto"/>
              </w:rPr>
              <w:t>Unaudited Condensed Financial Statements for ARYA Sciences Acquisition Corp III:</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gridSpan w:val="3"/>
          </w:tcPr>
          <w:p>
            <w:pPr>
              <w:jc w:val="center"/>
              <w:ind w:left="832"/>
              <w:spacing w:after="0"/>
              <w:rPr>
                <w:sz w:val="20"/>
                <w:szCs w:val="20"/>
                <w:color w:val="auto"/>
              </w:rPr>
            </w:pPr>
            <w:r>
              <w:rPr>
                <w:rFonts w:ascii="Arial" w:cs="Arial" w:eastAsia="Arial" w:hAnsi="Arial"/>
                <w:sz w:val="18"/>
                <w:szCs w:val="18"/>
                <w:b w:val="1"/>
                <w:bCs w:val="1"/>
                <w:color w:val="auto"/>
                <w:w w:val="83"/>
              </w:rPr>
              <w:t>Page</w:t>
            </w:r>
          </w:p>
        </w:tc>
      </w:tr>
      <w:tr>
        <w:trPr>
          <w:trHeight w:val="213"/>
        </w:trPr>
        <w:tc>
          <w:tcPr>
            <w:tcW w:w="20" w:type="dxa"/>
            <w:vAlign w:val="bottom"/>
          </w:tcPr>
          <w:p>
            <w:pPr>
              <w:spacing w:after="0"/>
              <w:rPr>
                <w:sz w:val="18"/>
                <w:szCs w:val="18"/>
                <w:color w:val="auto"/>
              </w:rPr>
            </w:pPr>
          </w:p>
        </w:tc>
        <w:tc>
          <w:tcPr>
            <w:tcW w:w="9600" w:type="dxa"/>
            <w:vAlign w:val="bottom"/>
            <w:gridSpan w:val="12"/>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Condensed Balance Sheets as of March 31, 2021 (Unaudited) and December 31, 2020</w:t>
              </w:r>
            </w:hyperlink>
          </w:p>
        </w:tc>
        <w:tc>
          <w:tcPr>
            <w:tcW w:w="960" w:type="dxa"/>
            <w:vAlign w:val="bottom"/>
          </w:tcPr>
          <w:p>
            <w:pPr>
              <w:spacing w:after="0"/>
              <w:rPr>
                <w:sz w:val="18"/>
                <w:szCs w:val="18"/>
                <w:color w:val="auto"/>
              </w:rPr>
            </w:pPr>
          </w:p>
        </w:tc>
        <w:tc>
          <w:tcPr>
            <w:tcW w:w="320" w:type="dxa"/>
            <w:vAlign w:val="bottom"/>
            <w:gridSpan w:val="2"/>
          </w:tcPr>
          <w:p>
            <w:pPr>
              <w:jc w:val="center"/>
              <w:ind w:right="20"/>
              <w:spacing w:after="0"/>
              <w:rPr>
                <w:rFonts w:ascii="Arial" w:cs="Arial" w:eastAsia="Arial" w:hAnsi="Arial"/>
                <w:sz w:val="18"/>
                <w:szCs w:val="18"/>
                <w:color w:val="0000FF"/>
                <w:w w:val="80"/>
              </w:rPr>
            </w:pPr>
            <w:hyperlink w:anchor="page177">
              <w:r>
                <w:rPr>
                  <w:rFonts w:ascii="Arial" w:cs="Arial" w:eastAsia="Arial" w:hAnsi="Arial"/>
                  <w:sz w:val="18"/>
                  <w:szCs w:val="18"/>
                  <w:color w:val="0000FF"/>
                  <w:w w:val="80"/>
                </w:rPr>
                <w:t>F-21</w:t>
              </w:r>
            </w:hyperlink>
          </w:p>
        </w:tc>
      </w:tr>
      <w:tr>
        <w:trPr>
          <w:trHeight w:val="20"/>
        </w:trPr>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44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177">
              <w:r>
                <w:rPr>
                  <w:rFonts w:ascii="Arial" w:cs="Arial" w:eastAsia="Arial" w:hAnsi="Arial"/>
                  <w:sz w:val="18"/>
                  <w:szCs w:val="18"/>
                  <w:color w:val="0000FF"/>
                  <w:w w:val="87"/>
                </w:rPr>
                <w:t>Unaudited Condensed Statement of Operations for the three months ended March 31, 2021</w:t>
              </w:r>
            </w:hyperlink>
          </w:p>
        </w:tc>
        <w:tc>
          <w:tcPr>
            <w:tcW w:w="3160" w:type="dxa"/>
            <w:vAlign w:val="bottom"/>
            <w:gridSpan w:val="6"/>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177">
              <w:r>
                <w:rPr>
                  <w:rFonts w:ascii="Arial" w:cs="Arial" w:eastAsia="Arial" w:hAnsi="Arial"/>
                  <w:sz w:val="18"/>
                  <w:szCs w:val="18"/>
                  <w:color w:val="0000FF"/>
                  <w:w w:val="80"/>
                </w:rPr>
                <w:t>F-22</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9600" w:type="dxa"/>
            <w:vAlign w:val="bottom"/>
            <w:gridSpan w:val="12"/>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Unaudited Condensed Statement of Changes in Shareholders’ Equity for the three months ended March 31, 2021</w:t>
              </w:r>
            </w:hyperlink>
          </w:p>
        </w:tc>
        <w:tc>
          <w:tcPr>
            <w:tcW w:w="960" w:type="dxa"/>
            <w:vAlign w:val="bottom"/>
          </w:tcPr>
          <w:p>
            <w:pPr>
              <w:spacing w:after="0"/>
              <w:rPr>
                <w:sz w:val="22"/>
                <w:szCs w:val="22"/>
                <w:color w:val="auto"/>
              </w:rPr>
            </w:pPr>
          </w:p>
        </w:tc>
        <w:tc>
          <w:tcPr>
            <w:tcW w:w="320" w:type="dxa"/>
            <w:vAlign w:val="bottom"/>
            <w:gridSpan w:val="2"/>
          </w:tcPr>
          <w:p>
            <w:pPr>
              <w:jc w:val="center"/>
              <w:ind w:right="20"/>
              <w:spacing w:after="0"/>
              <w:rPr>
                <w:rFonts w:ascii="Arial" w:cs="Arial" w:eastAsia="Arial" w:hAnsi="Arial"/>
                <w:sz w:val="18"/>
                <w:szCs w:val="18"/>
                <w:color w:val="0000FF"/>
                <w:w w:val="80"/>
              </w:rPr>
            </w:pPr>
            <w:hyperlink w:anchor="page178">
              <w:r>
                <w:rPr>
                  <w:rFonts w:ascii="Arial" w:cs="Arial" w:eastAsia="Arial" w:hAnsi="Arial"/>
                  <w:sz w:val="18"/>
                  <w:szCs w:val="18"/>
                  <w:color w:val="0000FF"/>
                  <w:w w:val="80"/>
                </w:rPr>
                <w:t>F-23</w:t>
              </w:r>
            </w:hyperlink>
          </w:p>
        </w:tc>
      </w:tr>
      <w:tr>
        <w:trPr>
          <w:trHeight w:val="258"/>
        </w:trPr>
        <w:tc>
          <w:tcPr>
            <w:tcW w:w="20" w:type="dxa"/>
            <w:vAlign w:val="bottom"/>
          </w:tcPr>
          <w:p>
            <w:pPr>
              <w:spacing w:after="0"/>
              <w:rPr>
                <w:sz w:val="22"/>
                <w:szCs w:val="22"/>
                <w:color w:val="auto"/>
              </w:rPr>
            </w:pPr>
          </w:p>
        </w:tc>
        <w:tc>
          <w:tcPr>
            <w:tcW w:w="7980" w:type="dxa"/>
            <w:vAlign w:val="bottom"/>
            <w:tcBorders>
              <w:top w:val="single" w:sz="8" w:color="0000FF"/>
            </w:tcBorders>
            <w:gridSpan w:val="10"/>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Unaudited Condensed Statement of Cash Flows for the three months ended March 31, 2021</w:t>
              </w:r>
            </w:hyperlink>
          </w:p>
        </w:tc>
        <w:tc>
          <w:tcPr>
            <w:tcW w:w="162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rFonts w:ascii="Arial" w:cs="Arial" w:eastAsia="Arial" w:hAnsi="Arial"/>
                <w:sz w:val="18"/>
                <w:szCs w:val="18"/>
                <w:color w:val="0000FF"/>
                <w:w w:val="80"/>
              </w:rPr>
            </w:pPr>
            <w:hyperlink w:anchor="page179">
              <w:r>
                <w:rPr>
                  <w:rFonts w:ascii="Arial" w:cs="Arial" w:eastAsia="Arial" w:hAnsi="Arial"/>
                  <w:sz w:val="18"/>
                  <w:szCs w:val="18"/>
                  <w:color w:val="0000FF"/>
                  <w:w w:val="80"/>
                </w:rPr>
                <w:t>F-24</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6480" w:type="dxa"/>
            <w:vAlign w:val="bottom"/>
            <w:tcBorders>
              <w:top w:val="single" w:sz="8" w:color="0000FF"/>
            </w:tcBorders>
            <w:gridSpan w:val="7"/>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Notes to Unaudited Condensed Financial Statements</w:t>
              </w:r>
            </w:hyperlink>
          </w:p>
        </w:tc>
        <w:tc>
          <w:tcPr>
            <w:tcW w:w="3120" w:type="dxa"/>
            <w:vAlign w:val="bottom"/>
            <w:gridSpan w:val="5"/>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rFonts w:ascii="Arial" w:cs="Arial" w:eastAsia="Arial" w:hAnsi="Arial"/>
                <w:sz w:val="18"/>
                <w:szCs w:val="18"/>
                <w:color w:val="0000FF"/>
                <w:w w:val="80"/>
              </w:rPr>
            </w:pPr>
            <w:hyperlink w:anchor="page180">
              <w:r>
                <w:rPr>
                  <w:rFonts w:ascii="Arial" w:cs="Arial" w:eastAsia="Arial" w:hAnsi="Arial"/>
                  <w:sz w:val="18"/>
                  <w:szCs w:val="18"/>
                  <w:color w:val="0000FF"/>
                  <w:w w:val="80"/>
                </w:rPr>
                <w:t>F-25</w:t>
              </w:r>
            </w:hyperlink>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157" w:name="page158"/>
    <w:bookmarkEnd w:id="157"/>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gridSpan w:val="9"/>
          </w:tcPr>
          <w:p>
            <w:pPr>
              <w:spacing w:after="0"/>
              <w:rPr>
                <w:sz w:val="20"/>
                <w:szCs w:val="20"/>
                <w:color w:val="auto"/>
              </w:rPr>
            </w:pPr>
            <w:r>
              <w:rPr>
                <w:rFonts w:ascii="Arial" w:cs="Arial" w:eastAsia="Arial" w:hAnsi="Arial"/>
                <w:sz w:val="18"/>
                <w:szCs w:val="18"/>
                <w:b w:val="1"/>
                <w:bCs w:val="1"/>
                <w:color w:val="auto"/>
                <w:w w:val="97"/>
              </w:rPr>
              <w:t>Financial Statements for Nautilus Biotechnology, Inc. As of and for the Years Ended December 31, 2020 and 2019</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00" w:type="dxa"/>
            <w:vAlign w:val="bottom"/>
            <w:gridSpan w:val="3"/>
          </w:tcPr>
          <w:p>
            <w:pPr>
              <w:jc w:val="center"/>
              <w:ind w:left="872"/>
              <w:spacing w:after="0"/>
              <w:rPr>
                <w:sz w:val="20"/>
                <w:szCs w:val="20"/>
                <w:color w:val="auto"/>
              </w:rPr>
            </w:pPr>
            <w:r>
              <w:rPr>
                <w:rFonts w:ascii="Arial" w:cs="Arial" w:eastAsia="Arial" w:hAnsi="Arial"/>
                <w:sz w:val="18"/>
                <w:szCs w:val="18"/>
                <w:b w:val="1"/>
                <w:bCs w:val="1"/>
                <w:color w:val="auto"/>
                <w:w w:val="82"/>
              </w:rPr>
              <w:t>Page(s)</w:t>
            </w:r>
          </w:p>
        </w:tc>
      </w:tr>
      <w:tr>
        <w:trPr>
          <w:trHeight w:val="213"/>
        </w:trPr>
        <w:tc>
          <w:tcPr>
            <w:tcW w:w="20" w:type="dxa"/>
            <w:vAlign w:val="bottom"/>
          </w:tcPr>
          <w:p>
            <w:pPr>
              <w:spacing w:after="0"/>
              <w:rPr>
                <w:sz w:val="18"/>
                <w:szCs w:val="18"/>
                <w:color w:val="auto"/>
              </w:rPr>
            </w:pPr>
          </w:p>
        </w:tc>
        <w:tc>
          <w:tcPr>
            <w:tcW w:w="9460" w:type="dxa"/>
            <w:vAlign w:val="bottom"/>
            <w:gridSpan w:val="8"/>
          </w:tcPr>
          <w:p>
            <w:pPr>
              <w:spacing w:after="0"/>
              <w:rPr>
                <w:rFonts w:ascii="Arial" w:cs="Arial" w:eastAsia="Arial" w:hAnsi="Arial"/>
                <w:sz w:val="18"/>
                <w:szCs w:val="18"/>
                <w:color w:val="0000FF"/>
              </w:rPr>
            </w:pPr>
            <w:hyperlink w:anchor="page192">
              <w:r>
                <w:rPr>
                  <w:rFonts w:ascii="Arial" w:cs="Arial" w:eastAsia="Arial" w:hAnsi="Arial"/>
                  <w:sz w:val="18"/>
                  <w:szCs w:val="18"/>
                  <w:color w:val="0000FF"/>
                </w:rPr>
                <w:t>Report of Independent Registered Public Accounting Firm</w:t>
              </w:r>
            </w:hyperlink>
          </w:p>
        </w:tc>
        <w:tc>
          <w:tcPr>
            <w:tcW w:w="1060" w:type="dxa"/>
            <w:vAlign w:val="bottom"/>
          </w:tcPr>
          <w:p>
            <w:pPr>
              <w:spacing w:after="0"/>
              <w:rPr>
                <w:sz w:val="18"/>
                <w:szCs w:val="18"/>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192">
              <w:r>
                <w:rPr>
                  <w:rFonts w:ascii="Arial" w:cs="Arial" w:eastAsia="Arial" w:hAnsi="Arial"/>
                  <w:sz w:val="18"/>
                  <w:szCs w:val="18"/>
                  <w:color w:val="0000FF"/>
                  <w:w w:val="91"/>
                </w:rPr>
                <w:t>F-37</w:t>
              </w:r>
            </w:hyperlink>
          </w:p>
        </w:tc>
      </w:tr>
      <w:tr>
        <w:trPr>
          <w:trHeight w:val="311"/>
        </w:trPr>
        <w:tc>
          <w:tcPr>
            <w:tcW w:w="20" w:type="dxa"/>
            <w:vAlign w:val="bottom"/>
          </w:tcPr>
          <w:p>
            <w:pPr>
              <w:spacing w:after="0"/>
              <w:rPr>
                <w:sz w:val="24"/>
                <w:szCs w:val="24"/>
                <w:color w:val="auto"/>
              </w:rPr>
            </w:pPr>
          </w:p>
        </w:tc>
        <w:tc>
          <w:tcPr>
            <w:tcW w:w="1080" w:type="dxa"/>
            <w:vAlign w:val="bottom"/>
            <w:tcBorders>
              <w:top w:val="single" w:sz="8" w:color="0000FF"/>
              <w:bottom w:val="single" w:sz="8" w:color="0000FF"/>
            </w:tcBorders>
          </w:tcPr>
          <w:p>
            <w:pPr>
              <w:spacing w:after="0"/>
              <w:rPr>
                <w:rFonts w:ascii="Arial" w:cs="Arial" w:eastAsia="Arial" w:hAnsi="Arial"/>
                <w:sz w:val="18"/>
                <w:szCs w:val="18"/>
                <w:color w:val="0000FF"/>
                <w:w w:val="84"/>
              </w:rPr>
            </w:pPr>
            <w:hyperlink w:anchor="page193">
              <w:r>
                <w:rPr>
                  <w:rFonts w:ascii="Arial" w:cs="Arial" w:eastAsia="Arial" w:hAnsi="Arial"/>
                  <w:sz w:val="18"/>
                  <w:szCs w:val="18"/>
                  <w:color w:val="0000FF"/>
                  <w:w w:val="84"/>
                </w:rPr>
                <w:t>Balance Sheets</w:t>
              </w:r>
            </w:hyperlink>
          </w:p>
        </w:tc>
        <w:tc>
          <w:tcPr>
            <w:tcW w:w="3060" w:type="dxa"/>
            <w:vAlign w:val="bottom"/>
            <w:tcBorders>
              <w:top w:val="single" w:sz="8" w:color="0000FF"/>
            </w:tcBorders>
            <w:gridSpan w:val="5"/>
          </w:tcPr>
          <w:p>
            <w:pPr>
              <w:spacing w:after="0"/>
              <w:rPr>
                <w:sz w:val="24"/>
                <w:szCs w:val="24"/>
                <w:color w:val="auto"/>
              </w:rPr>
            </w:pPr>
          </w:p>
        </w:tc>
        <w:tc>
          <w:tcPr>
            <w:tcW w:w="53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1"/>
              </w:rPr>
            </w:pPr>
            <w:hyperlink w:anchor="page193">
              <w:r>
                <w:rPr>
                  <w:rFonts w:ascii="Arial" w:cs="Arial" w:eastAsia="Arial" w:hAnsi="Arial"/>
                  <w:sz w:val="18"/>
                  <w:szCs w:val="18"/>
                  <w:color w:val="0000FF"/>
                  <w:w w:val="91"/>
                </w:rPr>
                <w:t>F-38</w:t>
              </w:r>
            </w:hyperlink>
          </w:p>
        </w:tc>
        <w:tc>
          <w:tcPr>
            <w:tcW w:w="10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9460" w:type="dxa"/>
            <w:vAlign w:val="bottom"/>
            <w:gridSpan w:val="8"/>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Statements of Operations</w:t>
              </w:r>
            </w:hyperlink>
          </w:p>
        </w:tc>
        <w:tc>
          <w:tcPr>
            <w:tcW w:w="106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194">
              <w:r>
                <w:rPr>
                  <w:rFonts w:ascii="Arial" w:cs="Arial" w:eastAsia="Arial" w:hAnsi="Arial"/>
                  <w:sz w:val="18"/>
                  <w:szCs w:val="18"/>
                  <w:color w:val="0000FF"/>
                  <w:w w:val="91"/>
                </w:rPr>
                <w:t>F-39</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Borders>
              <w:bottom w:val="single" w:sz="8" w:color="0000FF"/>
            </w:tcBorders>
            <w:gridSpan w:val="5"/>
          </w:tcPr>
          <w:p>
            <w:pPr>
              <w:spacing w:after="0"/>
              <w:rPr>
                <w:rFonts w:ascii="Arial" w:cs="Arial" w:eastAsia="Arial" w:hAnsi="Arial"/>
                <w:sz w:val="18"/>
                <w:szCs w:val="18"/>
                <w:color w:val="0000FF"/>
                <w:w w:val="86"/>
              </w:rPr>
            </w:pPr>
            <w:hyperlink w:anchor="page195">
              <w:r>
                <w:rPr>
                  <w:rFonts w:ascii="Arial" w:cs="Arial" w:eastAsia="Arial" w:hAnsi="Arial"/>
                  <w:sz w:val="18"/>
                  <w:szCs w:val="18"/>
                  <w:color w:val="0000FF"/>
                  <w:w w:val="86"/>
                </w:rPr>
                <w:t>Statements of Comprehensive Loss</w:t>
              </w:r>
            </w:hyperlink>
          </w:p>
        </w:tc>
        <w:tc>
          <w:tcPr>
            <w:tcW w:w="6960" w:type="dxa"/>
            <w:vAlign w:val="bottom"/>
            <w:gridSpan w:val="3"/>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5">
              <w:r>
                <w:rPr>
                  <w:rFonts w:ascii="Arial" w:cs="Arial" w:eastAsia="Arial" w:hAnsi="Arial"/>
                  <w:sz w:val="18"/>
                  <w:szCs w:val="18"/>
                  <w:color w:val="0000FF"/>
                  <w:w w:val="91"/>
                </w:rPr>
                <w:t>F-40</w:t>
              </w:r>
            </w:hyperlink>
          </w:p>
        </w:tc>
        <w:tc>
          <w:tcPr>
            <w:tcW w:w="10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5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96">
              <w:r>
                <w:rPr>
                  <w:rFonts w:ascii="Arial" w:cs="Arial" w:eastAsia="Arial" w:hAnsi="Arial"/>
                  <w:sz w:val="18"/>
                  <w:szCs w:val="18"/>
                  <w:color w:val="0000FF"/>
                  <w:w w:val="88"/>
                </w:rPr>
                <w:t>Statements of Redeemable Convertible Preferred Stock and Stockholders’ Deficit</w:t>
              </w:r>
            </w:hyperlink>
          </w:p>
        </w:tc>
        <w:tc>
          <w:tcPr>
            <w:tcW w:w="3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6">
              <w:r>
                <w:rPr>
                  <w:rFonts w:ascii="Arial" w:cs="Arial" w:eastAsia="Arial" w:hAnsi="Arial"/>
                  <w:sz w:val="18"/>
                  <w:szCs w:val="18"/>
                  <w:color w:val="0000FF"/>
                  <w:w w:val="91"/>
                </w:rPr>
                <w:t>F-41</w:t>
              </w:r>
            </w:hyperlink>
          </w:p>
        </w:tc>
        <w:tc>
          <w:tcPr>
            <w:tcW w:w="10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9460" w:type="dxa"/>
            <w:vAlign w:val="bottom"/>
            <w:gridSpan w:val="8"/>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Statements of Cash Flows</w:t>
              </w:r>
            </w:hyperlink>
          </w:p>
        </w:tc>
        <w:tc>
          <w:tcPr>
            <w:tcW w:w="106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197">
              <w:r>
                <w:rPr>
                  <w:rFonts w:ascii="Arial" w:cs="Arial" w:eastAsia="Arial" w:hAnsi="Arial"/>
                  <w:sz w:val="18"/>
                  <w:szCs w:val="18"/>
                  <w:color w:val="0000FF"/>
                  <w:w w:val="91"/>
                </w:rPr>
                <w:t>F-42</w:t>
              </w:r>
            </w:hyperlink>
          </w:p>
        </w:tc>
      </w:tr>
      <w:tr>
        <w:trPr>
          <w:trHeight w:val="20"/>
        </w:trPr>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12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198">
              <w:r>
                <w:rPr>
                  <w:rFonts w:ascii="Arial" w:cs="Arial" w:eastAsia="Arial" w:hAnsi="Arial"/>
                  <w:sz w:val="18"/>
                  <w:szCs w:val="18"/>
                  <w:color w:val="0000FF"/>
                  <w:w w:val="87"/>
                </w:rPr>
                <w:t>Notes to Financial Statements</w:t>
              </w:r>
            </w:hyperlink>
          </w:p>
        </w:tc>
        <w:tc>
          <w:tcPr>
            <w:tcW w:w="7340" w:type="dxa"/>
            <w:vAlign w:val="bottom"/>
            <w:gridSpan w:val="4"/>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8">
              <w:r>
                <w:rPr>
                  <w:rFonts w:ascii="Arial" w:cs="Arial" w:eastAsia="Arial" w:hAnsi="Arial"/>
                  <w:sz w:val="18"/>
                  <w:szCs w:val="18"/>
                  <w:color w:val="0000FF"/>
                  <w:w w:val="91"/>
                </w:rPr>
                <w:t>F-43</w:t>
              </w:r>
            </w:hyperlink>
          </w:p>
        </w:tc>
        <w:tc>
          <w:tcPr>
            <w:tcW w:w="100" w:type="dxa"/>
            <w:vAlign w:val="bottom"/>
          </w:tcPr>
          <w:p>
            <w:pPr>
              <w:spacing w:after="0"/>
              <w:rPr>
                <w:sz w:val="22"/>
                <w:szCs w:val="22"/>
                <w:color w:val="auto"/>
              </w:rPr>
            </w:pPr>
          </w:p>
        </w:tc>
      </w:tr>
    </w:tbl>
    <w:p>
      <w:pPr>
        <w:spacing w:after="0" w:line="26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Unaudited Condensed Financial Statements for Nautilus Biotechnology, Inc. As of March 31, 2021 and December 31, 2020 and for the Three Months Ended March 31, 2021 and 2020</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360" w:type="dxa"/>
            <w:vAlign w:val="bottom"/>
            <w:gridSpan w:val="3"/>
          </w:tcPr>
          <w:p>
            <w:pPr>
              <w:jc w:val="center"/>
              <w:ind w:left="3732"/>
              <w:spacing w:after="0"/>
              <w:rPr>
                <w:sz w:val="20"/>
                <w:szCs w:val="20"/>
                <w:color w:val="auto"/>
              </w:rPr>
            </w:pPr>
            <w:r>
              <w:rPr>
                <w:rFonts w:ascii="Arial" w:cs="Arial" w:eastAsia="Arial" w:hAnsi="Arial"/>
                <w:sz w:val="18"/>
                <w:szCs w:val="18"/>
                <w:b w:val="1"/>
                <w:bCs w:val="1"/>
                <w:color w:val="auto"/>
                <w:w w:val="82"/>
              </w:rPr>
              <w:t>Page(s)</w:t>
            </w:r>
          </w:p>
        </w:tc>
      </w:tr>
      <w:tr>
        <w:trPr>
          <w:trHeight w:val="187"/>
        </w:trPr>
        <w:tc>
          <w:tcPr>
            <w:tcW w:w="6600" w:type="dxa"/>
            <w:vAlign w:val="bottom"/>
            <w:gridSpan w:val="6"/>
          </w:tcPr>
          <w:p>
            <w:pPr>
              <w:spacing w:after="0" w:line="187" w:lineRule="exact"/>
              <w:rPr>
                <w:rFonts w:ascii="Arial" w:cs="Arial" w:eastAsia="Arial" w:hAnsi="Arial"/>
                <w:sz w:val="18"/>
                <w:szCs w:val="18"/>
                <w:color w:val="0000FF"/>
              </w:rPr>
            </w:pPr>
            <w:hyperlink w:anchor="page218">
              <w:r>
                <w:rPr>
                  <w:rFonts w:ascii="Arial" w:cs="Arial" w:eastAsia="Arial" w:hAnsi="Arial"/>
                  <w:sz w:val="18"/>
                  <w:szCs w:val="18"/>
                  <w:color w:val="0000FF"/>
                </w:rPr>
                <w:t>Condensed Balance Sheets</w:t>
              </w:r>
            </w:hyperlink>
          </w:p>
        </w:tc>
        <w:tc>
          <w:tcPr>
            <w:tcW w:w="3920" w:type="dxa"/>
            <w:vAlign w:val="bottom"/>
          </w:tcPr>
          <w:p>
            <w:pPr>
              <w:spacing w:after="0"/>
              <w:rPr>
                <w:sz w:val="16"/>
                <w:szCs w:val="16"/>
                <w:color w:val="auto"/>
              </w:rPr>
            </w:pPr>
          </w:p>
        </w:tc>
        <w:tc>
          <w:tcPr>
            <w:tcW w:w="440" w:type="dxa"/>
            <w:vAlign w:val="bottom"/>
            <w:gridSpan w:val="2"/>
          </w:tcPr>
          <w:p>
            <w:pPr>
              <w:jc w:val="center"/>
              <w:ind w:right="100"/>
              <w:spacing w:after="0" w:line="187" w:lineRule="exact"/>
              <w:rPr>
                <w:rFonts w:ascii="Arial" w:cs="Arial" w:eastAsia="Arial" w:hAnsi="Arial"/>
                <w:sz w:val="18"/>
                <w:szCs w:val="18"/>
                <w:color w:val="0000FF"/>
                <w:w w:val="91"/>
              </w:rPr>
            </w:pPr>
            <w:hyperlink w:anchor="page218">
              <w:r>
                <w:rPr>
                  <w:rFonts w:ascii="Arial" w:cs="Arial" w:eastAsia="Arial" w:hAnsi="Arial"/>
                  <w:sz w:val="18"/>
                  <w:szCs w:val="18"/>
                  <w:color w:val="0000FF"/>
                  <w:w w:val="91"/>
                </w:rPr>
                <w:t>F-63</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620" w:type="dxa"/>
            <w:vAlign w:val="bottom"/>
            <w:tcBorders>
              <w:bottom w:val="single" w:sz="8" w:color="0000FF"/>
            </w:tcBorders>
            <w:gridSpan w:val="2"/>
          </w:tcPr>
          <w:p>
            <w:pPr>
              <w:spacing w:after="0"/>
              <w:rPr>
                <w:rFonts w:ascii="Arial" w:cs="Arial" w:eastAsia="Arial" w:hAnsi="Arial"/>
                <w:sz w:val="18"/>
                <w:szCs w:val="18"/>
                <w:color w:val="0000FF"/>
                <w:w w:val="86"/>
              </w:rPr>
            </w:pPr>
            <w:hyperlink w:anchor="page219">
              <w:r>
                <w:rPr>
                  <w:rFonts w:ascii="Arial" w:cs="Arial" w:eastAsia="Arial" w:hAnsi="Arial"/>
                  <w:sz w:val="18"/>
                  <w:szCs w:val="18"/>
                  <w:color w:val="0000FF"/>
                  <w:w w:val="86"/>
                </w:rPr>
                <w:t>Condensed Statements of Operations</w:t>
              </w:r>
            </w:hyperlink>
          </w:p>
        </w:tc>
        <w:tc>
          <w:tcPr>
            <w:tcW w:w="3980" w:type="dxa"/>
            <w:vAlign w:val="bottom"/>
            <w:gridSpan w:val="4"/>
          </w:tcPr>
          <w:p>
            <w:pPr>
              <w:spacing w:after="0"/>
              <w:rPr>
                <w:sz w:val="22"/>
                <w:szCs w:val="22"/>
                <w:color w:val="auto"/>
              </w:rPr>
            </w:pPr>
          </w:p>
        </w:tc>
        <w:tc>
          <w:tcPr>
            <w:tcW w:w="392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219">
              <w:r>
                <w:rPr>
                  <w:rFonts w:ascii="Arial" w:cs="Arial" w:eastAsia="Arial" w:hAnsi="Arial"/>
                  <w:sz w:val="18"/>
                  <w:szCs w:val="18"/>
                  <w:color w:val="0000FF"/>
                  <w:w w:val="91"/>
                </w:rPr>
                <w:t>F-64</w:t>
              </w:r>
            </w:hyperlink>
          </w:p>
        </w:tc>
        <w:tc>
          <w:tcPr>
            <w:tcW w:w="100" w:type="dxa"/>
            <w:vAlign w:val="bottom"/>
          </w:tcPr>
          <w:p>
            <w:pPr>
              <w:spacing w:after="0"/>
              <w:rPr>
                <w:sz w:val="22"/>
                <w:szCs w:val="22"/>
                <w:color w:val="auto"/>
              </w:rPr>
            </w:pPr>
          </w:p>
        </w:tc>
      </w:tr>
      <w:tr>
        <w:trPr>
          <w:trHeight w:val="258"/>
        </w:trPr>
        <w:tc>
          <w:tcPr>
            <w:tcW w:w="6600" w:type="dxa"/>
            <w:vAlign w:val="bottom"/>
            <w:gridSpan w:val="6"/>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Condensed Statements of Comprehensive Loss</w:t>
              </w:r>
            </w:hyperlink>
          </w:p>
        </w:tc>
        <w:tc>
          <w:tcPr>
            <w:tcW w:w="392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20">
              <w:r>
                <w:rPr>
                  <w:rFonts w:ascii="Arial" w:cs="Arial" w:eastAsia="Arial" w:hAnsi="Arial"/>
                  <w:sz w:val="18"/>
                  <w:szCs w:val="18"/>
                  <w:color w:val="0000FF"/>
                  <w:w w:val="91"/>
                </w:rPr>
                <w:t>F-65</w:t>
              </w:r>
            </w:hyperlink>
          </w:p>
        </w:tc>
      </w:tr>
      <w:tr>
        <w:trPr>
          <w:trHeight w:val="20"/>
        </w:trPr>
        <w:tc>
          <w:tcPr>
            <w:tcW w:w="26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66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221">
              <w:r>
                <w:rPr>
                  <w:rFonts w:ascii="Arial" w:cs="Arial" w:eastAsia="Arial" w:hAnsi="Arial"/>
                  <w:sz w:val="18"/>
                  <w:szCs w:val="18"/>
                  <w:color w:val="0000FF"/>
                  <w:w w:val="88"/>
                </w:rPr>
                <w:t>Condensed Statements of Redeemable Convertible Preferred Stock and Stockholders’ Deficit</w:t>
              </w:r>
            </w:hyperlink>
          </w:p>
        </w:tc>
        <w:tc>
          <w:tcPr>
            <w:tcW w:w="392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221">
              <w:r>
                <w:rPr>
                  <w:rFonts w:ascii="Arial" w:cs="Arial" w:eastAsia="Arial" w:hAnsi="Arial"/>
                  <w:sz w:val="18"/>
                  <w:szCs w:val="18"/>
                  <w:color w:val="0000FF"/>
                  <w:w w:val="91"/>
                </w:rPr>
                <w:t>F-66</w:t>
              </w:r>
            </w:hyperlink>
          </w:p>
        </w:tc>
        <w:tc>
          <w:tcPr>
            <w:tcW w:w="100" w:type="dxa"/>
            <w:vAlign w:val="bottom"/>
          </w:tcPr>
          <w:p>
            <w:pPr>
              <w:spacing w:after="0"/>
              <w:rPr>
                <w:sz w:val="22"/>
                <w:szCs w:val="22"/>
                <w:color w:val="auto"/>
              </w:rPr>
            </w:pPr>
          </w:p>
        </w:tc>
      </w:tr>
      <w:tr>
        <w:trPr>
          <w:trHeight w:val="258"/>
        </w:trPr>
        <w:tc>
          <w:tcPr>
            <w:tcW w:w="268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222">
              <w:r>
                <w:rPr>
                  <w:rFonts w:ascii="Arial" w:cs="Arial" w:eastAsia="Arial" w:hAnsi="Arial"/>
                  <w:sz w:val="18"/>
                  <w:szCs w:val="18"/>
                  <w:color w:val="0000FF"/>
                  <w:w w:val="86"/>
                </w:rPr>
                <w:t>Condensed Statements of Cash Flows</w:t>
              </w:r>
            </w:hyperlink>
          </w:p>
        </w:tc>
        <w:tc>
          <w:tcPr>
            <w:tcW w:w="3920" w:type="dxa"/>
            <w:vAlign w:val="bottom"/>
            <w:gridSpan w:val="3"/>
          </w:tcPr>
          <w:p>
            <w:pPr>
              <w:spacing w:after="0"/>
              <w:rPr>
                <w:sz w:val="22"/>
                <w:szCs w:val="22"/>
                <w:color w:val="auto"/>
              </w:rPr>
            </w:pPr>
          </w:p>
        </w:tc>
        <w:tc>
          <w:tcPr>
            <w:tcW w:w="392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222">
              <w:r>
                <w:rPr>
                  <w:rFonts w:ascii="Arial" w:cs="Arial" w:eastAsia="Arial" w:hAnsi="Arial"/>
                  <w:sz w:val="18"/>
                  <w:szCs w:val="18"/>
                  <w:color w:val="0000FF"/>
                  <w:w w:val="91"/>
                </w:rPr>
                <w:t>F-67</w:t>
              </w:r>
            </w:hyperlink>
          </w:p>
        </w:tc>
        <w:tc>
          <w:tcPr>
            <w:tcW w:w="100" w:type="dxa"/>
            <w:vAlign w:val="bottom"/>
          </w:tcPr>
          <w:p>
            <w:pPr>
              <w:spacing w:after="0"/>
              <w:rPr>
                <w:sz w:val="22"/>
                <w:szCs w:val="22"/>
                <w:color w:val="auto"/>
              </w:rPr>
            </w:pPr>
          </w:p>
        </w:tc>
      </w:tr>
      <w:tr>
        <w:trPr>
          <w:trHeight w:val="258"/>
        </w:trPr>
        <w:tc>
          <w:tcPr>
            <w:tcW w:w="6600" w:type="dxa"/>
            <w:vAlign w:val="bottom"/>
            <w:gridSpan w:val="6"/>
          </w:tcPr>
          <w:p>
            <w:pPr>
              <w:spacing w:after="0"/>
              <w:rPr>
                <w:rFonts w:ascii="Arial" w:cs="Arial" w:eastAsia="Arial" w:hAnsi="Arial"/>
                <w:sz w:val="18"/>
                <w:szCs w:val="18"/>
                <w:color w:val="0000FF"/>
              </w:rPr>
            </w:pPr>
            <w:hyperlink w:anchor="page223">
              <w:r>
                <w:rPr>
                  <w:rFonts w:ascii="Arial" w:cs="Arial" w:eastAsia="Arial" w:hAnsi="Arial"/>
                  <w:sz w:val="18"/>
                  <w:szCs w:val="18"/>
                  <w:color w:val="0000FF"/>
                </w:rPr>
                <w:t>Notes to Condensed Financial Statements (Unaudited)</w:t>
              </w:r>
            </w:hyperlink>
          </w:p>
        </w:tc>
        <w:tc>
          <w:tcPr>
            <w:tcW w:w="392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23">
              <w:r>
                <w:rPr>
                  <w:rFonts w:ascii="Arial" w:cs="Arial" w:eastAsia="Arial" w:hAnsi="Arial"/>
                  <w:sz w:val="18"/>
                  <w:szCs w:val="18"/>
                  <w:color w:val="0000FF"/>
                  <w:w w:val="91"/>
                </w:rPr>
                <w:t>F-68</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8" w:name="page159"/>
    <w:bookmarkEnd w:id="158"/>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gridSpan w:val="7"/>
          </w:tcPr>
          <w:p>
            <w:pPr>
              <w:spacing w:after="0"/>
              <w:rPr>
                <w:sz w:val="20"/>
                <w:szCs w:val="20"/>
                <w:color w:val="auto"/>
              </w:rPr>
            </w:pPr>
            <w:r>
              <w:rPr>
                <w:rFonts w:ascii="Arial" w:cs="Arial" w:eastAsia="Arial" w:hAnsi="Arial"/>
                <w:sz w:val="18"/>
                <w:szCs w:val="18"/>
                <w:b w:val="1"/>
                <w:bCs w:val="1"/>
                <w:color w:val="auto"/>
              </w:rPr>
              <w:t>Unaudited Pro Forma Condensed Combined Financial Information</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gridSpan w:val="3"/>
          </w:tcPr>
          <w:p>
            <w:pPr>
              <w:jc w:val="center"/>
              <w:ind w:left="1112"/>
              <w:spacing w:after="0"/>
              <w:rPr>
                <w:sz w:val="20"/>
                <w:szCs w:val="20"/>
                <w:color w:val="auto"/>
              </w:rPr>
            </w:pPr>
            <w:r>
              <w:rPr>
                <w:rFonts w:ascii="Arial" w:cs="Arial" w:eastAsia="Arial" w:hAnsi="Arial"/>
                <w:sz w:val="18"/>
                <w:szCs w:val="18"/>
                <w:b w:val="1"/>
                <w:bCs w:val="1"/>
                <w:color w:val="auto"/>
                <w:w w:val="82"/>
              </w:rPr>
              <w:t>Page(s)</w:t>
            </w:r>
          </w:p>
        </w:tc>
      </w:tr>
      <w:tr>
        <w:trPr>
          <w:trHeight w:val="187"/>
        </w:trPr>
        <w:tc>
          <w:tcPr>
            <w:tcW w:w="20" w:type="dxa"/>
            <w:vAlign w:val="bottom"/>
          </w:tcPr>
          <w:p>
            <w:pPr>
              <w:spacing w:after="0"/>
              <w:rPr>
                <w:sz w:val="16"/>
                <w:szCs w:val="16"/>
                <w:color w:val="auto"/>
              </w:rPr>
            </w:pPr>
          </w:p>
        </w:tc>
        <w:tc>
          <w:tcPr>
            <w:tcW w:w="4740" w:type="dxa"/>
            <w:vAlign w:val="bottom"/>
            <w:tcBorders>
              <w:bottom w:val="single" w:sz="8" w:color="0000FF"/>
            </w:tcBorders>
            <w:gridSpan w:val="2"/>
          </w:tcPr>
          <w:p>
            <w:pPr>
              <w:spacing w:after="0" w:line="187" w:lineRule="exact"/>
              <w:rPr>
                <w:rFonts w:ascii="Arial" w:cs="Arial" w:eastAsia="Arial" w:hAnsi="Arial"/>
                <w:sz w:val="18"/>
                <w:szCs w:val="18"/>
                <w:color w:val="0000FF"/>
                <w:w w:val="89"/>
              </w:rPr>
            </w:pPr>
            <w:hyperlink w:anchor="page240">
              <w:r>
                <w:rPr>
                  <w:rFonts w:ascii="Arial" w:cs="Arial" w:eastAsia="Arial" w:hAnsi="Arial"/>
                  <w:sz w:val="18"/>
                  <w:szCs w:val="18"/>
                  <w:color w:val="0000FF"/>
                  <w:w w:val="89"/>
                </w:rPr>
                <w:t>Unaudited Pro Forma Condensed Combined Financial Information</w:t>
              </w:r>
            </w:hyperlink>
          </w:p>
        </w:tc>
        <w:tc>
          <w:tcPr>
            <w:tcW w:w="4480" w:type="dxa"/>
            <w:vAlign w:val="bottom"/>
            <w:gridSpan w:val="4"/>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Borders>
              <w:bottom w:val="single" w:sz="8" w:color="0000FF"/>
            </w:tcBorders>
          </w:tcPr>
          <w:p>
            <w:pPr>
              <w:jc w:val="center"/>
              <w:spacing w:after="0" w:line="187" w:lineRule="exact"/>
              <w:rPr>
                <w:rFonts w:ascii="Arial" w:cs="Arial" w:eastAsia="Arial" w:hAnsi="Arial"/>
                <w:sz w:val="18"/>
                <w:szCs w:val="18"/>
                <w:color w:val="0000FF"/>
                <w:w w:val="91"/>
              </w:rPr>
            </w:pPr>
            <w:hyperlink w:anchor="page240">
              <w:r>
                <w:rPr>
                  <w:rFonts w:ascii="Arial" w:cs="Arial" w:eastAsia="Arial" w:hAnsi="Arial"/>
                  <w:sz w:val="18"/>
                  <w:szCs w:val="18"/>
                  <w:color w:val="0000FF"/>
                  <w:w w:val="91"/>
                </w:rPr>
                <w:t>F-84</w:t>
              </w:r>
            </w:hyperlink>
          </w:p>
        </w:tc>
        <w:tc>
          <w:tcPr>
            <w:tcW w:w="1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6840" w:type="dxa"/>
            <w:vAlign w:val="bottom"/>
            <w:tcBorders>
              <w:bottom w:val="single" w:sz="8" w:color="0000FF"/>
            </w:tcBorders>
            <w:gridSpan w:val="4"/>
          </w:tcPr>
          <w:p>
            <w:pPr>
              <w:spacing w:after="0" w:line="205" w:lineRule="exact"/>
              <w:rPr>
                <w:rFonts w:ascii="Arial" w:cs="Arial" w:eastAsia="Arial" w:hAnsi="Arial"/>
                <w:sz w:val="18"/>
                <w:szCs w:val="18"/>
                <w:color w:val="0000FF"/>
                <w:w w:val="88"/>
              </w:rPr>
            </w:pPr>
            <w:hyperlink w:anchor="page241">
              <w:r>
                <w:rPr>
                  <w:rFonts w:ascii="Arial" w:cs="Arial" w:eastAsia="Arial" w:hAnsi="Arial"/>
                  <w:sz w:val="18"/>
                  <w:szCs w:val="18"/>
                  <w:color w:val="0000FF"/>
                  <w:w w:val="88"/>
                </w:rPr>
                <w:t>Unaudited Pro Forma Combined Statement of Operations for the year ended December 31, 2020</w:t>
              </w:r>
            </w:hyperlink>
          </w:p>
        </w:tc>
        <w:tc>
          <w:tcPr>
            <w:tcW w:w="238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Borders>
              <w:bottom w:val="single" w:sz="8" w:color="0000FF"/>
            </w:tcBorders>
          </w:tcPr>
          <w:p>
            <w:pPr>
              <w:jc w:val="center"/>
              <w:spacing w:after="0" w:line="205" w:lineRule="exact"/>
              <w:rPr>
                <w:rFonts w:ascii="Arial" w:cs="Arial" w:eastAsia="Arial" w:hAnsi="Arial"/>
                <w:sz w:val="18"/>
                <w:szCs w:val="18"/>
                <w:color w:val="0000FF"/>
                <w:w w:val="91"/>
              </w:rPr>
            </w:pPr>
            <w:hyperlink w:anchor="page241">
              <w:r>
                <w:rPr>
                  <w:rFonts w:ascii="Arial" w:cs="Arial" w:eastAsia="Arial" w:hAnsi="Arial"/>
                  <w:sz w:val="18"/>
                  <w:szCs w:val="18"/>
                  <w:color w:val="0000FF"/>
                  <w:w w:val="91"/>
                </w:rPr>
                <w:t>F-86</w:t>
              </w:r>
            </w:hyperlink>
          </w:p>
        </w:tc>
        <w:tc>
          <w:tcPr>
            <w:tcW w:w="10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9220" w:type="dxa"/>
            <w:vAlign w:val="bottom"/>
            <w:gridSpan w:val="6"/>
          </w:tcPr>
          <w:p>
            <w:pPr>
              <w:spacing w:after="0"/>
              <w:rPr>
                <w:rFonts w:ascii="Arial" w:cs="Arial" w:eastAsia="Arial" w:hAnsi="Arial"/>
                <w:sz w:val="18"/>
                <w:szCs w:val="18"/>
                <w:color w:val="0000FF"/>
              </w:rPr>
            </w:pPr>
            <w:hyperlink w:anchor="page242">
              <w:r>
                <w:rPr>
                  <w:rFonts w:ascii="Arial" w:cs="Arial" w:eastAsia="Arial" w:hAnsi="Arial"/>
                  <w:sz w:val="18"/>
                  <w:szCs w:val="18"/>
                  <w:color w:val="0000FF"/>
                </w:rPr>
                <w:t>Unaudited Pro Forma Condensed Combined Balance Sheet as of March 31, 2021</w:t>
              </w:r>
            </w:hyperlink>
          </w:p>
        </w:tc>
        <w:tc>
          <w:tcPr>
            <w:tcW w:w="130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42">
              <w:r>
                <w:rPr>
                  <w:rFonts w:ascii="Arial" w:cs="Arial" w:eastAsia="Arial" w:hAnsi="Arial"/>
                  <w:sz w:val="18"/>
                  <w:szCs w:val="18"/>
                  <w:color w:val="0000FF"/>
                  <w:w w:val="91"/>
                </w:rPr>
                <w:t>F-87</w:t>
              </w:r>
            </w:hyperlink>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220" w:type="dxa"/>
            <w:vAlign w:val="bottom"/>
            <w:gridSpan w:val="6"/>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Unaudited Pro Forma Condensed Combined Statement of Operations for the three months ended March 31, 2021</w:t>
              </w:r>
            </w:hyperlink>
          </w:p>
        </w:tc>
        <w:tc>
          <w:tcPr>
            <w:tcW w:w="130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44">
              <w:r>
                <w:rPr>
                  <w:rFonts w:ascii="Arial" w:cs="Arial" w:eastAsia="Arial" w:hAnsi="Arial"/>
                  <w:sz w:val="18"/>
                  <w:szCs w:val="18"/>
                  <w:color w:val="0000FF"/>
                  <w:w w:val="91"/>
                </w:rPr>
                <w:t>F-89</w:t>
              </w:r>
            </w:hyperlink>
          </w:p>
        </w:tc>
      </w:tr>
      <w:tr>
        <w:trPr>
          <w:trHeight w:val="258"/>
        </w:trPr>
        <w:tc>
          <w:tcPr>
            <w:tcW w:w="20" w:type="dxa"/>
            <w:vAlign w:val="bottom"/>
          </w:tcPr>
          <w:p>
            <w:pPr>
              <w:spacing w:after="0"/>
              <w:rPr>
                <w:sz w:val="22"/>
                <w:szCs w:val="22"/>
                <w:color w:val="auto"/>
              </w:rPr>
            </w:pPr>
          </w:p>
        </w:tc>
        <w:tc>
          <w:tcPr>
            <w:tcW w:w="396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245">
              <w:r>
                <w:rPr>
                  <w:rFonts w:ascii="Arial" w:cs="Arial" w:eastAsia="Arial" w:hAnsi="Arial"/>
                  <w:sz w:val="18"/>
                  <w:szCs w:val="18"/>
                  <w:color w:val="0000FF"/>
                  <w:w w:val="88"/>
                </w:rPr>
                <w:t>Unaudited Pro Forma Notes to the Financial Statements</w:t>
              </w:r>
            </w:hyperlink>
          </w:p>
        </w:tc>
        <w:tc>
          <w:tcPr>
            <w:tcW w:w="4040" w:type="dxa"/>
            <w:vAlign w:val="bottom"/>
            <w:tcBorders>
              <w:top w:val="single" w:sz="8" w:color="0000FF"/>
            </w:tcBorders>
            <w:gridSpan w:val="4"/>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1"/>
              </w:rPr>
            </w:pPr>
            <w:hyperlink w:anchor="page245">
              <w:r>
                <w:rPr>
                  <w:rFonts w:ascii="Arial" w:cs="Arial" w:eastAsia="Arial" w:hAnsi="Arial"/>
                  <w:sz w:val="18"/>
                  <w:szCs w:val="18"/>
                  <w:color w:val="0000FF"/>
                  <w:w w:val="91"/>
                </w:rPr>
                <w:t>F-90</w:t>
              </w:r>
            </w:hyperlink>
          </w:p>
        </w:tc>
        <w:tc>
          <w:tcPr>
            <w:tcW w:w="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59" w:name="page160"/>
    <w:bookmarkEnd w:id="159"/>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0"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have audited the accompanying balance sheet of ARYA Sciences Acquisition Corp III (the “Company”) as of December 31, 2020, the related statement of operations, changes in shareholders’ equity and cash flows for the period from March 27,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March 27, 2020 (inception) through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9"/>
              </w:rPr>
              <w:t>ARYA SCIENCES ACQUISITION CORP III</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8"/>
              </w:rPr>
              <w:t>BALANCE SHEET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jc w:val="center"/>
              <w:ind w:left="1472"/>
              <w:spacing w:after="0"/>
              <w:rPr>
                <w:sz w:val="20"/>
                <w:szCs w:val="20"/>
                <w:color w:val="auto"/>
              </w:rPr>
            </w:pPr>
            <w:r>
              <w:rPr>
                <w:rFonts w:ascii="Arial" w:cs="Arial" w:eastAsia="Arial" w:hAnsi="Arial"/>
                <w:sz w:val="18"/>
                <w:szCs w:val="18"/>
                <w:b w:val="1"/>
                <w:bCs w:val="1"/>
                <w:color w:val="auto"/>
                <w:w w:val="94"/>
              </w:rPr>
              <w:t>DECEMBER 31, 2020</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1,001,032</w:t>
            </w: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303,759</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1,304,791</w:t>
            </w: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held in Trust Account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149,552,952</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commissions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5,621,007</w:t>
            </w:r>
          </w:p>
        </w:tc>
        <w:tc>
          <w:tcPr>
            <w:tcW w:w="0" w:type="dxa"/>
            <w:vAlign w:val="bottom"/>
          </w:tcPr>
          <w:p>
            <w:pPr>
              <w:spacing w:after="0"/>
              <w:rPr>
                <w:sz w:val="1"/>
                <w:szCs w:val="1"/>
                <w:color w:val="auto"/>
              </w:rPr>
            </w:pPr>
          </w:p>
        </w:tc>
      </w:tr>
      <w:tr>
        <w:trPr>
          <w:trHeight w:val="252"/>
        </w:trPr>
        <w:tc>
          <w:tcPr>
            <w:tcW w:w="9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5)</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ordinary shares, $0.0001 par value; 14,023,673 shares subject to possible redemption at $10.00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140,236,730</w:t>
            </w:r>
          </w:p>
        </w:tc>
        <w:tc>
          <w:tcPr>
            <w:tcW w:w="0" w:type="dxa"/>
            <w:vAlign w:val="bottom"/>
          </w:tcPr>
          <w:p>
            <w:pPr>
              <w:spacing w:after="0"/>
              <w:rPr>
                <w:sz w:val="1"/>
                <w:szCs w:val="1"/>
                <w:color w:val="auto"/>
              </w:rPr>
            </w:pPr>
          </w:p>
        </w:tc>
      </w:tr>
      <w:tr>
        <w:trPr>
          <w:trHeight w:val="252"/>
        </w:trPr>
        <w:tc>
          <w:tcPr>
            <w:tcW w:w="9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9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Class A ordinary shares, $0.0001 par value; 479,000,000 shares authorized; 1,425,327 shares issued and outstanding (excluding</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14,023,673 shares subject to possible redemption)</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Class B ordinary shares, $0.0001 par value; 20,000,000 shares authorized; 3,737,500 shares issued and outstanding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5,522,572</w:t>
            </w: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52,952</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Basic and diluted net income per share, Class A ordinary share subject to redemption</w:t>
            </w: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8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b w:val="1"/>
                <w:bCs w:val="1"/>
                <w:color w:val="auto"/>
              </w:rPr>
              <w:t>Basic and diluted weighted average shares outstanding of Class A ordinary shares not subject to redemption and Class B</w:t>
            </w:r>
          </w:p>
        </w:tc>
        <w:tc>
          <w:tcPr>
            <w:tcW w:w="4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3,764,852</w:t>
            </w:r>
          </w:p>
        </w:tc>
        <w:tc>
          <w:tcPr>
            <w:tcW w:w="0" w:type="dxa"/>
            <w:vAlign w:val="bottom"/>
          </w:tcPr>
          <w:p>
            <w:pPr>
              <w:spacing w:after="0"/>
              <w:rPr>
                <w:sz w:val="1"/>
                <w:szCs w:val="1"/>
                <w:color w:val="auto"/>
              </w:rPr>
            </w:pPr>
          </w:p>
        </w:tc>
      </w:tr>
      <w:tr>
        <w:trPr>
          <w:trHeight w:val="219"/>
        </w:trPr>
        <w:tc>
          <w:tcPr>
            <w:tcW w:w="968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rPr>
              <w:t>ordinary shares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9"/>
              </w:rPr>
              <w:t>Basic and diluted net loss per share, Class A ordinary shares subject to redemption and Class B ordinary shares</w:t>
            </w: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40"/>
              <w:spacing w:after="0"/>
              <w:rPr>
                <w:sz w:val="20"/>
                <w:szCs w:val="20"/>
                <w:color w:val="auto"/>
              </w:rPr>
            </w:pPr>
            <w:r>
              <w:rPr>
                <w:rFonts w:ascii="Arial" w:cs="Arial" w:eastAsia="Arial" w:hAnsi="Arial"/>
                <w:sz w:val="12"/>
                <w:szCs w:val="12"/>
                <w:b w:val="1"/>
                <w:bCs w:val="1"/>
                <w:color w:val="auto"/>
                <w:w w:val="94"/>
              </w:rPr>
              <w:t>Ordinary Shares</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5"/>
              </w:rPr>
              <w:t>Additional</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93"/>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02"/>
        </w:trPr>
        <w:tc>
          <w:tcPr>
            <w:tcW w:w="2040" w:type="dxa"/>
            <w:vAlign w:val="bottom"/>
          </w:tcPr>
          <w:p>
            <w:pPr>
              <w:spacing w:after="0"/>
              <w:rPr>
                <w:sz w:val="8"/>
                <w:szCs w:val="8"/>
                <w:color w:val="auto"/>
              </w:rPr>
            </w:pPr>
          </w:p>
        </w:tc>
        <w:tc>
          <w:tcPr>
            <w:tcW w:w="1560" w:type="dxa"/>
            <w:vAlign w:val="bottom"/>
            <w:gridSpan w:val="3"/>
          </w:tcPr>
          <w:p>
            <w:pPr>
              <w:jc w:val="right"/>
              <w:ind w:right="49"/>
              <w:spacing w:after="0" w:line="102" w:lineRule="exact"/>
              <w:rPr>
                <w:sz w:val="20"/>
                <w:szCs w:val="20"/>
                <w:color w:val="auto"/>
              </w:rPr>
            </w:pPr>
            <w:r>
              <w:rPr>
                <w:rFonts w:ascii="Arial" w:cs="Arial" w:eastAsia="Arial" w:hAnsi="Arial"/>
                <w:sz w:val="11"/>
                <w:szCs w:val="11"/>
                <w:b w:val="1"/>
                <w:bCs w:val="1"/>
                <w:color w:val="auto"/>
              </w:rPr>
              <w:t>Class A</w:t>
            </w: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gridSpan w:val="3"/>
          </w:tcPr>
          <w:p>
            <w:pPr>
              <w:jc w:val="right"/>
              <w:ind w:right="49"/>
              <w:spacing w:after="0" w:line="102" w:lineRule="exact"/>
              <w:rPr>
                <w:sz w:val="20"/>
                <w:szCs w:val="20"/>
                <w:color w:val="auto"/>
              </w:rPr>
            </w:pPr>
            <w:r>
              <w:rPr>
                <w:rFonts w:ascii="Arial" w:cs="Arial" w:eastAsia="Arial" w:hAnsi="Arial"/>
                <w:sz w:val="11"/>
                <w:szCs w:val="11"/>
                <w:b w:val="1"/>
                <w:bCs w:val="1"/>
                <w:color w:val="auto"/>
              </w:rPr>
              <w:t>Class B</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4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tcPr>
          <w:p>
            <w:pPr>
              <w:jc w:val="center"/>
              <w:ind w:right="340"/>
              <w:spacing w:after="0" w:line="84"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7"/>
                <w:szCs w:val="7"/>
                <w:color w:val="auto"/>
              </w:rPr>
            </w:pPr>
          </w:p>
        </w:tc>
        <w:tc>
          <w:tcPr>
            <w:tcW w:w="1200" w:type="dxa"/>
            <w:vAlign w:val="bottom"/>
            <w:gridSpan w:val="2"/>
          </w:tcPr>
          <w:p>
            <w:pPr>
              <w:ind w:left="100"/>
              <w:spacing w:after="0" w:line="84" w:lineRule="exact"/>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7"/>
                <w:szCs w:val="7"/>
                <w:color w:val="auto"/>
              </w:rPr>
            </w:pPr>
          </w:p>
        </w:tc>
        <w:tc>
          <w:tcPr>
            <w:tcW w:w="1100" w:type="dxa"/>
            <w:vAlign w:val="bottom"/>
          </w:tcPr>
          <w:p>
            <w:pPr>
              <w:jc w:val="center"/>
              <w:ind w:right="93"/>
              <w:spacing w:after="0" w:line="84" w:lineRule="exact"/>
              <w:rPr>
                <w:sz w:val="20"/>
                <w:szCs w:val="20"/>
                <w:color w:val="auto"/>
              </w:rPr>
            </w:pPr>
            <w:r>
              <w:rPr>
                <w:rFonts w:ascii="Arial" w:cs="Arial" w:eastAsia="Arial" w:hAnsi="Arial"/>
                <w:sz w:val="9"/>
                <w:szCs w:val="9"/>
                <w:b w:val="1"/>
                <w:bCs w:val="1"/>
                <w:color w:val="auto"/>
              </w:rPr>
              <w:t>Shareholders'</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19"/>
        </w:trPr>
        <w:tc>
          <w:tcPr>
            <w:tcW w:w="20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Balance -</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March 27, 2020 (inception)</w:t>
            </w:r>
          </w:p>
        </w:tc>
        <w:tc>
          <w:tcPr>
            <w:tcW w:w="130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Issuance of Class B ordinary</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44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3,737,500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24,626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to Sponsor</w:t>
            </w:r>
          </w:p>
        </w:tc>
        <w:tc>
          <w:tcPr>
            <w:tcW w:w="13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Sale of units in initial public</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14,950,000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149,498,505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149,500,000</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offering, gross</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6"/>
              </w:rPr>
              <w:t>Sale of private placement units to</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499,000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4,989,950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4,990,000</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Sponsor in private placement</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Shares subject to possible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(140,235,328)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(140,236,730)</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4"/>
                <w:szCs w:val="14"/>
                <w:color w:val="auto"/>
                <w:w w:val="93"/>
              </w:rPr>
              <w:t>(523,083)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(523,083)</w:t>
            </w:r>
          </w:p>
        </w:tc>
        <w:tc>
          <w:tcPr>
            <w:tcW w:w="0" w:type="dxa"/>
            <w:vAlign w:val="bottom"/>
          </w:tcPr>
          <w:p>
            <w:pPr>
              <w:spacing w:after="0"/>
              <w:rPr>
                <w:sz w:val="1"/>
                <w:szCs w:val="1"/>
                <w:color w:val="auto"/>
              </w:rPr>
            </w:pPr>
          </w:p>
        </w:tc>
      </w:tr>
      <w:tr>
        <w:trPr>
          <w:trHeight w:val="207"/>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1,425,327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3,737,500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5,522,572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w w:val="93"/>
              </w:rPr>
              <w:t>(523,083)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13"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STATEMENT OF CASH FLOWS</w:t>
      </w:r>
    </w:p>
    <w:p>
      <w:pPr>
        <w:spacing w:after="0" w:line="5" w:lineRule="exact"/>
        <w:rPr>
          <w:sz w:val="20"/>
          <w:szCs w:val="20"/>
          <w:color w:val="auto"/>
        </w:rPr>
      </w:pPr>
    </w:p>
    <w:p>
      <w:pPr>
        <w:jc w:val="center"/>
        <w:ind w:left="1920"/>
        <w:spacing w:after="0"/>
        <w:rPr>
          <w:sz w:val="20"/>
          <w:szCs w:val="20"/>
          <w:color w:val="auto"/>
        </w:rPr>
      </w:pPr>
      <w:r>
        <w:rPr>
          <w:rFonts w:ascii="Arial" w:cs="Arial" w:eastAsia="Arial" w:hAnsi="Arial"/>
          <w:sz w:val="17"/>
          <w:szCs w:val="17"/>
          <w:b w:val="1"/>
          <w:bCs w:val="1"/>
          <w:color w:val="auto"/>
        </w:rPr>
        <w:t>FOR THE PERIOD FROM MARCH 27, 2020 (INCEPTION) THROUGH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42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Net gain, dividends and interest on investments held in Trust Account</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General and administrative expenses paid by related party under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Accrued expenses</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42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42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Offering costs paid</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8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-127635</wp:posOffset>
            </wp:positionV>
            <wp:extent cx="7134860" cy="142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Deferred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Offering costs included in accrued expenses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Offering costs funded with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Deferred underwriting commissions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Initial value of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Change in value of Class A ordinary shares subject to possible redemption</w:t>
      </w:r>
    </w:p>
    <w:p>
      <w:pPr>
        <w:spacing w:after="0" w:line="257"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24" w:hanging="824"/>
        <w:spacing w:after="0"/>
        <w:tabs>
          <w:tab w:leader="none" w:pos="824" w:val="left"/>
        </w:tabs>
        <w:numPr>
          <w:ilvl w:val="0"/>
          <w:numId w:val="93"/>
        </w:numPr>
        <w:rPr>
          <w:rFonts w:ascii="Arial" w:cs="Arial" w:eastAsia="Arial" w:hAnsi="Arial"/>
          <w:sz w:val="15"/>
          <w:szCs w:val="15"/>
          <w:color w:val="auto"/>
        </w:rPr>
      </w:pPr>
      <w:r>
        <w:rPr>
          <w:rFonts w:ascii="Arial" w:cs="Arial" w:eastAsia="Arial" w:hAnsi="Arial"/>
          <w:sz w:val="15"/>
          <w:szCs w:val="15"/>
          <w:color w:val="auto"/>
        </w:rPr>
        <w:t>(523,083)</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(52,952)</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11,717</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(303,759)</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318,507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(549,570)</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(149,500,000)</w:t>
      </w:r>
    </w:p>
    <w:p>
      <w:pPr>
        <w:spacing w:after="0" w:line="200" w:lineRule="exact"/>
        <w:rPr>
          <w:sz w:val="20"/>
          <w:szCs w:val="20"/>
          <w:color w:val="auto"/>
        </w:rPr>
      </w:pPr>
    </w:p>
    <w:p>
      <w:pPr>
        <w:spacing w:after="0" w:line="29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136,590</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149,500,000</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4,990,000</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(3,375,988)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ind w:left="584"/>
        <w:spacing w:after="0"/>
        <w:rPr>
          <w:sz w:val="20"/>
          <w:szCs w:val="20"/>
          <w:color w:val="auto"/>
        </w:rPr>
      </w:pPr>
      <w:r>
        <w:rPr>
          <w:rFonts w:ascii="Arial" w:cs="Arial" w:eastAsia="Arial" w:hAnsi="Arial"/>
          <w:sz w:val="15"/>
          <w:szCs w:val="15"/>
          <w:color w:val="auto"/>
        </w:rPr>
        <w:t>151,050,602</w:t>
      </w:r>
    </w:p>
    <w:p>
      <w:pPr>
        <w:spacing w:after="0" w:line="305" w:lineRule="exact"/>
        <w:rPr>
          <w:sz w:val="20"/>
          <w:szCs w:val="20"/>
          <w:color w:val="auto"/>
        </w:rPr>
      </w:pPr>
    </w:p>
    <w:p>
      <w:pPr>
        <w:ind w:left="764"/>
        <w:spacing w:after="0"/>
        <w:rPr>
          <w:sz w:val="20"/>
          <w:szCs w:val="20"/>
          <w:color w:val="auto"/>
        </w:rPr>
      </w:pPr>
      <w:r>
        <w:rPr>
          <w:rFonts w:ascii="Arial" w:cs="Arial" w:eastAsia="Arial" w:hAnsi="Arial"/>
          <w:sz w:val="17"/>
          <w:szCs w:val="17"/>
          <w:color w:val="auto"/>
        </w:rPr>
        <w:t>1,001,032</w:t>
      </w:r>
    </w:p>
    <w:p>
      <w:pPr>
        <w:spacing w:after="0" w:line="282"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ind w:left="764" w:hanging="764"/>
        <w:spacing w:after="0"/>
        <w:tabs>
          <w:tab w:leader="none" w:pos="764"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1,001,032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9925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84" w:hanging="984"/>
        <w:spacing w:after="0"/>
        <w:tabs>
          <w:tab w:leader="none" w:pos="9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25,000</w:t>
      </w:r>
    </w:p>
    <w:p>
      <w:pPr>
        <w:spacing w:after="0" w:line="30" w:lineRule="exact"/>
        <w:rPr>
          <w:sz w:val="20"/>
          <w:szCs w:val="20"/>
          <w:color w:val="auto"/>
        </w:rPr>
      </w:pPr>
    </w:p>
    <w:p>
      <w:pPr>
        <w:ind w:left="984" w:hanging="984"/>
        <w:spacing w:after="0"/>
        <w:tabs>
          <w:tab w:leader="none" w:pos="984" w:val="left"/>
        </w:tabs>
        <w:numPr>
          <w:ilvl w:val="0"/>
          <w:numId w:val="96"/>
        </w:numPr>
        <w:rPr>
          <w:rFonts w:ascii="Arial" w:cs="Arial" w:eastAsia="Arial" w:hAnsi="Arial"/>
          <w:sz w:val="17"/>
          <w:szCs w:val="17"/>
          <w:color w:val="auto"/>
        </w:rPr>
      </w:pPr>
      <w:r>
        <w:rPr>
          <w:rFonts w:ascii="Arial" w:cs="Arial" w:eastAsia="Arial" w:hAnsi="Arial"/>
          <w:sz w:val="17"/>
          <w:szCs w:val="17"/>
          <w:color w:val="auto"/>
        </w:rPr>
        <w:t>70,000</w:t>
      </w:r>
    </w:p>
    <w:p>
      <w:pPr>
        <w:spacing w:after="0" w:line="30" w:lineRule="exact"/>
        <w:rPr>
          <w:sz w:val="20"/>
          <w:szCs w:val="20"/>
          <w:color w:val="auto"/>
        </w:rPr>
      </w:pPr>
    </w:p>
    <w:p>
      <w:pPr>
        <w:ind w:left="984" w:hanging="984"/>
        <w:spacing w:after="0"/>
        <w:tabs>
          <w:tab w:leader="none" w:pos="984" w:val="left"/>
        </w:tabs>
        <w:numPr>
          <w:ilvl w:val="0"/>
          <w:numId w:val="97"/>
        </w:numPr>
        <w:rPr>
          <w:rFonts w:ascii="Arial" w:cs="Arial" w:eastAsia="Arial" w:hAnsi="Arial"/>
          <w:sz w:val="17"/>
          <w:szCs w:val="17"/>
          <w:color w:val="auto"/>
        </w:rPr>
      </w:pPr>
      <w:r>
        <w:rPr>
          <w:rFonts w:ascii="Arial" w:cs="Arial" w:eastAsia="Arial" w:hAnsi="Arial"/>
          <w:sz w:val="17"/>
          <w:szCs w:val="17"/>
          <w:color w:val="auto"/>
        </w:rPr>
        <w:t>51,693</w:t>
      </w:r>
    </w:p>
    <w:p>
      <w:pPr>
        <w:spacing w:after="0" w:line="30" w:lineRule="exact"/>
        <w:rPr>
          <w:sz w:val="20"/>
          <w:szCs w:val="20"/>
          <w:color w:val="auto"/>
        </w:rPr>
      </w:pPr>
    </w:p>
    <w:p>
      <w:pPr>
        <w:ind w:left="764" w:hanging="764"/>
        <w:spacing w:after="0"/>
        <w:tabs>
          <w:tab w:leader="none" w:pos="764" w:val="left"/>
        </w:tabs>
        <w:numPr>
          <w:ilvl w:val="0"/>
          <w:numId w:val="98"/>
        </w:numPr>
        <w:rPr>
          <w:rFonts w:ascii="Arial" w:cs="Arial" w:eastAsia="Arial" w:hAnsi="Arial"/>
          <w:sz w:val="17"/>
          <w:szCs w:val="17"/>
          <w:color w:val="auto"/>
        </w:rPr>
      </w:pPr>
      <w:r>
        <w:rPr>
          <w:rFonts w:ascii="Arial" w:cs="Arial" w:eastAsia="Arial" w:hAnsi="Arial"/>
          <w:sz w:val="17"/>
          <w:szCs w:val="17"/>
          <w:color w:val="auto"/>
        </w:rPr>
        <w:t>5,232,500</w:t>
      </w:r>
    </w:p>
    <w:p>
      <w:pPr>
        <w:spacing w:after="0" w:line="30" w:lineRule="exact"/>
        <w:rPr>
          <w:sz w:val="20"/>
          <w:szCs w:val="20"/>
          <w:color w:val="auto"/>
        </w:rPr>
      </w:pPr>
    </w:p>
    <w:p>
      <w:pPr>
        <w:ind w:left="584" w:hanging="584"/>
        <w:spacing w:after="0"/>
        <w:tabs>
          <w:tab w:leader="none" w:pos="584" w:val="left"/>
        </w:tabs>
        <w:numPr>
          <w:ilvl w:val="0"/>
          <w:numId w:val="99"/>
        </w:numPr>
        <w:rPr>
          <w:rFonts w:ascii="Arial" w:cs="Arial" w:eastAsia="Arial" w:hAnsi="Arial"/>
          <w:sz w:val="15"/>
          <w:szCs w:val="15"/>
          <w:color w:val="auto"/>
        </w:rPr>
      </w:pPr>
      <w:r>
        <w:rPr>
          <w:rFonts w:ascii="Arial" w:cs="Arial" w:eastAsia="Arial" w:hAnsi="Arial"/>
          <w:sz w:val="15"/>
          <w:szCs w:val="15"/>
          <w:color w:val="auto"/>
        </w:rPr>
        <w:t>140,714,240</w:t>
      </w:r>
    </w:p>
    <w:p>
      <w:pPr>
        <w:spacing w:after="0" w:line="52" w:lineRule="exact"/>
        <w:rPr>
          <w:rFonts w:ascii="Arial" w:cs="Arial" w:eastAsia="Arial" w:hAnsi="Arial"/>
          <w:sz w:val="15"/>
          <w:szCs w:val="15"/>
          <w:color w:val="auto"/>
        </w:rPr>
      </w:pPr>
    </w:p>
    <w:p>
      <w:pPr>
        <w:ind w:left="824" w:hanging="824"/>
        <w:spacing w:after="0"/>
        <w:tabs>
          <w:tab w:leader="none" w:pos="824" w:val="left"/>
        </w:tabs>
        <w:numPr>
          <w:ilvl w:val="0"/>
          <w:numId w:val="99"/>
        </w:numPr>
        <w:rPr>
          <w:rFonts w:ascii="Arial" w:cs="Arial" w:eastAsia="Arial" w:hAnsi="Arial"/>
          <w:sz w:val="15"/>
          <w:szCs w:val="15"/>
          <w:color w:val="auto"/>
        </w:rPr>
      </w:pPr>
      <w:r>
        <w:rPr>
          <w:rFonts w:ascii="Arial" w:cs="Arial" w:eastAsia="Arial" w:hAnsi="Arial"/>
          <w:sz w:val="15"/>
          <w:szCs w:val="15"/>
          <w:color w:val="auto"/>
        </w:rPr>
        <w:t>(477,510)</w:t>
      </w:r>
    </w:p>
    <w:p>
      <w:pPr>
        <w:sectPr>
          <w:pgSz w:w="11900" w:h="16838" w:orient="portrait"/>
          <w:cols w:equalWidth="0" w:num="2">
            <w:col w:w="9280" w:space="396"/>
            <w:col w:w="1524"/>
          </w:cols>
          <w:pgMar w:left="340" w:top="1440" w:right="359" w:bottom="1440" w:gutter="0" w:footer="0" w:header="0"/>
        </w:sectPr>
      </w:pPr>
    </w:p>
    <w:bookmarkStart w:id="164" w:name="page165"/>
    <w:bookmarkEnd w:id="16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All activity for the period from March 27, 2020 (inception) through December 31,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and gains on investments from the proceeds derived from the Initial Public Offering. The Company has selected December 31 as its fiscal year end.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9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Trust Account</w:t>
      </w:r>
    </w:p>
    <w:p>
      <w:pPr>
        <w:spacing w:after="0" w:line="164"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were invested only in U.S. government securities, within the meaning set forth in Section 2(a)(16) of the Investment Company Act of 1940, as amended (the “Investment Company Act”), with a maturity of 185 days or less or in money market funds meeting the conditions of paragraphs (d)(1), (d)(2), (d)(3) and (d)(4) of Rule 2a-7 of the Investment Company Act, as determined by the Company, until the earlier of:(i) the completion of a Business Combination, and then only in connection with those Class A ordinary shares that the holders of public shares (the “Public Shareholders”) properly elected to redeem, subject to certain limitations described in the IPO Registration Statement, (ii) the redemption of any Public Shares properly tendered in connection with a shareholder vote to amend the Company’s amended and restated memorandum and articles of association (the “Amended and Restated Memorandum and Articles of Association”) (A) to modify the substance or timing of the Company’s obligation to provide holders of Class A ordinary shares the right to have their shares redeemed in connection with the Company’s initial Business Combination or to redeem 100% of the Company’s Public Shares if the Company does not complete its initial Business Combination within 24 months from the closing of the Initial Public Offering, or October 26, 2022 (the “Combination Period”) or (B) with respect to any other provision relating to the rights of holders of Class A ordinary shares, and (iii) the redemption of the Class A ordinary shares if the Company has not consummated its Business Combination within the Combination Period, subject to applicable law. The remaining net proceeds (not held in the Trust Account) may be used to pay for business, legal and accounting due diligence on prospective acquisitions and continuing general and administrative expenses. The Company may use the interest income generated by the assets in the Trust Account to pay for taxes that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5" w:name="page166"/>
    <w:bookmarkEnd w:id="165"/>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by the Company or are payable by the Company and, in case the Company does not complete its initial Business Combination within the Combination Period, $100,000 of the interest income may be used to pay dissolution expenses.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2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will provide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Goldman Sachs &amp; Co. LLC and Jefferies LLC, as underwriters of the Company’s Initial Public Offering (as discussed in Note 5).</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328"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19"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18"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26"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01"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assets in the Trust Account, in each case net of the interest that may be withdrawn to pay for the Company’s tax obligations.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13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The Company has not asked the Sponsor to reserve for such indemnification obligations, nor has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independently verified whether the Sponsor has sufficient funds to satisfy its indemnity obligations and the Company believes that the Sponsor’s only assets are securities of the Company. The Sponsor may not be able to satisfy those obligations. None of the Company’s officers or directors will indemnify the Company for claims by third parties including, without limitation, claims by vendors and prospective target businesses.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Proposed Nautilus Business Combination and related Proposed Transactions</w:t>
      </w:r>
    </w:p>
    <w:p>
      <w:pPr>
        <w:spacing w:after="0" w:line="164" w:lineRule="exact"/>
        <w:rPr>
          <w:sz w:val="20"/>
          <w:szCs w:val="20"/>
          <w:color w:val="auto"/>
        </w:rPr>
      </w:pPr>
    </w:p>
    <w:p>
      <w:pPr>
        <w:ind w:right="460" w:firstLine="318"/>
        <w:spacing w:after="0" w:line="365" w:lineRule="auto"/>
        <w:rPr>
          <w:sz w:val="20"/>
          <w:szCs w:val="20"/>
          <w:color w:val="auto"/>
        </w:rPr>
      </w:pPr>
      <w:r>
        <w:rPr>
          <w:rFonts w:ascii="Arial" w:cs="Arial" w:eastAsia="Arial" w:hAnsi="Arial"/>
          <w:sz w:val="15"/>
          <w:szCs w:val="15"/>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58"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104"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Nautilus Business Combination is expected to close in the second quarter of 2021, following the receipt of the required approval by our shareholders and the fulfillment of other customary closing conditions.</w:t>
      </w:r>
    </w:p>
    <w:p>
      <w:pPr>
        <w:spacing w:after="0" w:line="128"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Concurrently with the execution of the Business Combination Agreement, the Company, the Sponsor, and each other holder of Class B ordinary shares of ARYA (the “Other Class B Shareholders”) and Nautilus entered into the Sponsor Letter Agreement (the “Sponsor Letter Agreement”),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w:t>
      </w:r>
    </w:p>
    <w:p>
      <w:pPr>
        <w:spacing w:after="0" w:line="3" w:lineRule="exact"/>
        <w:rPr>
          <w:sz w:val="20"/>
          <w:szCs w:val="20"/>
          <w:color w:val="auto"/>
        </w:rPr>
      </w:pPr>
    </w:p>
    <w:p>
      <w:pPr>
        <w:ind w:right="40" w:firstLine="6"/>
        <w:spacing w:after="0" w:line="251" w:lineRule="auto"/>
        <w:tabs>
          <w:tab w:leader="none" w:pos="30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13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26"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1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agreements related to the Nautilus Business Combination, including a restriction on transfers with respect to his, her or its shares in Nautilus prior to the closing of the Nautilus Business Combination</w:t>
      </w:r>
    </w:p>
    <w:p>
      <w:pPr>
        <w:spacing w:after="0" w:line="128"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copy of each of the above referenced agreements is filed as exhibits with a Current Report on Form 8-K, filed with the SEC on February 8, 2021.</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2020, the Company had approximately $1.0 million in its operating bank account and working capital of approximately $916,000.</w:t>
      </w:r>
    </w:p>
    <w:p>
      <w:pPr>
        <w:spacing w:after="0" w:line="199"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w:t>
      </w:r>
    </w:p>
    <w:p>
      <w:pPr>
        <w:spacing w:after="0" w:line="143"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Basis of Presentation</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Use of Estimates</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35"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Emerging Growth Company</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6"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and Cash Equivalents</w:t>
      </w:r>
    </w:p>
    <w:p>
      <w:pPr>
        <w:spacing w:after="0" w:line="16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$1,926 in cash equivalents as of December 31, 2020 held in the Trust Account.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Concentration of Credit Risk</w:t>
      </w:r>
    </w:p>
    <w:p>
      <w:pPr>
        <w:spacing w:after="0" w:line="16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1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$250,000, and investments held in Trust Account. At December 31, 2020, the Company has not experienced losses on these accounts and management believes the Company is not exposed to significant risks on such accounts.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Investment Securities Held in Trust Account</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Measurements</w:t>
      </w:r>
    </w:p>
    <w:p>
      <w:pPr>
        <w:spacing w:after="0" w:line="164"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5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640" w:hanging="31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64" w:lineRule="exact"/>
        <w:rPr>
          <w:rFonts w:ascii="Arial" w:cs="Arial" w:eastAsia="Arial" w:hAnsi="Arial"/>
          <w:sz w:val="18"/>
          <w:szCs w:val="18"/>
          <w:color w:val="auto"/>
        </w:rPr>
      </w:pPr>
    </w:p>
    <w:p>
      <w:pPr>
        <w:ind w:left="640" w:right="120" w:hanging="316"/>
        <w:spacing w:after="0" w:line="294" w:lineRule="auto"/>
        <w:tabs>
          <w:tab w:leader="none" w:pos="63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4" w:lineRule="exact"/>
        <w:rPr>
          <w:rFonts w:ascii="Arial" w:cs="Arial" w:eastAsia="Arial" w:hAnsi="Arial"/>
          <w:sz w:val="17"/>
          <w:szCs w:val="17"/>
          <w:color w:val="auto"/>
        </w:rPr>
      </w:pPr>
    </w:p>
    <w:p>
      <w:pPr>
        <w:ind w:left="640" w:right="80" w:hanging="316"/>
        <w:spacing w:after="0" w:line="294" w:lineRule="auto"/>
        <w:tabs>
          <w:tab w:leader="none" w:pos="63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Offering costs consisted of underwriters' commissions, legal, accounting, and other costs incurred that were directly related to the Initial Public Offering and that were charged to shareholders’ equity upon the completion of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Net income (loss) per share is computed by dividing net income by the weighted-average number of ordinary shares outstanding during the period. The Company’s statement of operations includes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164"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The Company follows the asset and liability method of accounting for income taxes under FASB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period from March 27, 2020 (inception) through December 31, 2020. The Company is currently not aware of any issues under review that could result in significant payments, accruals or material deviation from its position.</w:t>
      </w:r>
    </w:p>
    <w:p>
      <w:pPr>
        <w:spacing w:after="0" w:line="10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w:t>
      </w:r>
    </w:p>
    <w:p>
      <w:pPr>
        <w:spacing w:after="0" w:line="164"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170"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Founder Shares</w:t>
      </w:r>
    </w:p>
    <w:p>
      <w:pPr>
        <w:spacing w:after="0" w:line="164"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color w:val="auto"/>
        </w:rPr>
        <w:t>On April 2, 2020, the Sponsor paid $25,000 to cover certain offering costs of the Company in consideration of 3,593,750 Class B ordinary shares, par value $0.0001 per share (the “Founder Shares”). In July 2020, the Sponsor transferred an aggregate of 90,000 Founder Shares to the Company’s independent directors.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04"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Private Placement Shares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1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Related Party Loans</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spacing w:after="0" w:line="135"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19"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As of December 31, 2020, the Company had no outstanding borrowings under the Working Capital Loans.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Administrative Support Agreement</w:t>
      </w:r>
    </w:p>
    <w:p>
      <w:pPr>
        <w:spacing w:after="0" w:line="164" w:lineRule="exact"/>
        <w:rPr>
          <w:sz w:val="20"/>
          <w:szCs w:val="20"/>
          <w:color w:val="auto"/>
        </w:rPr>
      </w:pPr>
    </w:p>
    <w:p>
      <w:pPr>
        <w:ind w:right="300" w:firstLine="318"/>
        <w:spacing w:after="0" w:line="318" w:lineRule="auto"/>
        <w:rPr>
          <w:sz w:val="20"/>
          <w:szCs w:val="20"/>
          <w:color w:val="auto"/>
        </w:rPr>
      </w:pPr>
      <w:r>
        <w:rPr>
          <w:rFonts w:ascii="Arial" w:cs="Arial" w:eastAsia="Arial" w:hAnsi="Arial"/>
          <w:sz w:val="15"/>
          <w:szCs w:val="15"/>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$48,000 for these services and are in general and administrative expenses in the accompanying statement of operations for the period from March 27, 2020 (inception) through December 31,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&amp;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Registration Rights</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Underwriting Agreement</w:t>
      </w:r>
    </w:p>
    <w:p>
      <w:pPr>
        <w:spacing w:after="0" w:line="16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35"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0" w:lineRule="exact"/>
        <w:rPr>
          <w:sz w:val="20"/>
          <w:szCs w:val="20"/>
          <w:color w:val="auto"/>
        </w:rPr>
      </w:pPr>
    </w:p>
    <w:p>
      <w:pPr>
        <w:jc w:val="both"/>
        <w:ind w:right="420" w:firstLine="318"/>
        <w:spacing w:after="0" w:line="277" w:lineRule="auto"/>
        <w:rPr>
          <w:sz w:val="20"/>
          <w:szCs w:val="20"/>
          <w:color w:val="auto"/>
        </w:rPr>
      </w:pPr>
      <w:r>
        <w:rPr>
          <w:rFonts w:ascii="Arial" w:cs="Arial" w:eastAsia="Arial" w:hAnsi="Arial"/>
          <w:sz w:val="17"/>
          <w:szCs w:val="17"/>
          <w:b w:val="1"/>
          <w:bCs w:val="1"/>
          <w:i w:val="1"/>
          <w:iCs w:val="1"/>
          <w:color w:val="auto"/>
        </w:rPr>
        <w:t xml:space="preserve">Class A Ordinary Shares — </w:t>
      </w:r>
      <w:r>
        <w:rPr>
          <w:rFonts w:ascii="Arial" w:cs="Arial" w:eastAsia="Arial" w:hAnsi="Arial"/>
          <w:sz w:val="17"/>
          <w:szCs w:val="17"/>
          <w:color w:val="auto"/>
        </w:rPr>
        <w:t>The Company is authorized to issue 479,000,000 Class A ordinary shares with a par value of $0.0001 per share.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there were 15,449,000 Class A common shares outstanding, including 14,023,673 Class A ordinary shares common stock subject to possible redemption that were classified as temporary equity in the accompanying balance sheet.</w:t>
      </w:r>
    </w:p>
    <w:p>
      <w:pPr>
        <w:spacing w:after="0" w:line="11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 xml:space="preserve">Class B Ordinary Shares — </w:t>
      </w:r>
      <w:r>
        <w:rPr>
          <w:rFonts w:ascii="Arial" w:cs="Arial" w:eastAsia="Arial" w:hAnsi="Arial"/>
          <w:sz w:val="18"/>
          <w:szCs w:val="18"/>
          <w:color w:val="auto"/>
        </w:rPr>
        <w:t>The Company is authorized to issue 20,000,000 Class B ordinary shares with a par value of $0.0001 per share. On April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the Company issued 3,593,750 Class B ordinary shares. On August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19"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9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8" w:lineRule="exact"/>
        <w:rPr>
          <w:sz w:val="20"/>
          <w:szCs w:val="20"/>
          <w:color w:val="auto"/>
        </w:rPr>
      </w:pPr>
    </w:p>
    <w:p>
      <w:pPr>
        <w:ind w:right="80" w:firstLine="318"/>
        <w:spacing w:after="0" w:line="304" w:lineRule="auto"/>
        <w:rPr>
          <w:sz w:val="20"/>
          <w:szCs w:val="20"/>
          <w:color w:val="auto"/>
        </w:rPr>
      </w:pPr>
      <w:r>
        <w:rPr>
          <w:rFonts w:ascii="Arial" w:cs="Arial" w:eastAsia="Arial" w:hAnsi="Arial"/>
          <w:sz w:val="15"/>
          <w:szCs w:val="15"/>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319"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Preference Shares — </w:t>
      </w:r>
      <w:r>
        <w:rPr>
          <w:rFonts w:ascii="Arial" w:cs="Arial" w:eastAsia="Arial" w:hAnsi="Arial"/>
          <w:sz w:val="18"/>
          <w:szCs w:val="18"/>
          <w:color w:val="auto"/>
        </w:rPr>
        <w:t>The Company is authorized to issue 1,000,000 preference shares with a par value of $0.0001 per share and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As of December 31, 2020, there were no preference shares issued or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w:t>
      </w:r>
    </w:p>
    <w:p>
      <w:pPr>
        <w:spacing w:after="0" w:line="170"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56"/>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3"/>
                <w:szCs w:val="13"/>
                <w:color w:val="auto"/>
              </w:rPr>
            </w:pPr>
          </w:p>
        </w:tc>
        <w:tc>
          <w:tcPr>
            <w:tcW w:w="1440" w:type="dxa"/>
            <w:vAlign w:val="bottom"/>
          </w:tcPr>
          <w:p>
            <w:pPr>
              <w:jc w:val="center"/>
              <w:ind w:right="41"/>
              <w:spacing w:after="0" w:line="156" w:lineRule="exact"/>
              <w:rPr>
                <w:sz w:val="20"/>
                <w:szCs w:val="20"/>
                <w:color w:val="auto"/>
              </w:rPr>
            </w:pPr>
            <w:r>
              <w:rPr>
                <w:rFonts w:ascii="Arial" w:cs="Arial" w:eastAsia="Arial" w:hAnsi="Arial"/>
                <w:sz w:val="14"/>
                <w:szCs w:val="14"/>
                <w:b w:val="1"/>
                <w:bCs w:val="1"/>
                <w:color w:val="auto"/>
                <w:w w:val="92"/>
              </w:rPr>
              <w:t>Significant Other</w:t>
            </w:r>
          </w:p>
        </w:tc>
        <w:tc>
          <w:tcPr>
            <w:tcW w:w="0" w:type="dxa"/>
            <w:vAlign w:val="bottom"/>
          </w:tcPr>
          <w:p>
            <w:pPr>
              <w:spacing w:after="0"/>
              <w:rPr>
                <w:sz w:val="1"/>
                <w:szCs w:val="1"/>
                <w:color w:val="auto"/>
              </w:rPr>
            </w:pPr>
          </w:p>
        </w:tc>
      </w:tr>
      <w:tr>
        <w:trPr>
          <w:trHeight w:val="133"/>
        </w:trPr>
        <w:tc>
          <w:tcPr>
            <w:tcW w:w="6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Observable Inputs</w:t>
            </w:r>
          </w:p>
        </w:tc>
        <w:tc>
          <w:tcPr>
            <w:tcW w:w="120" w:type="dxa"/>
            <w:vAlign w:val="bottom"/>
          </w:tcPr>
          <w:p>
            <w:pPr>
              <w:spacing w:after="0"/>
              <w:rPr>
                <w:sz w:val="11"/>
                <w:szCs w:val="11"/>
                <w:color w:val="auto"/>
              </w:rPr>
            </w:pPr>
          </w:p>
        </w:tc>
        <w:tc>
          <w:tcPr>
            <w:tcW w:w="14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85"/>
        </w:trPr>
        <w:tc>
          <w:tcPr>
            <w:tcW w:w="63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8"/>
        </w:trPr>
        <w:tc>
          <w:tcPr>
            <w:tcW w:w="632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149,551,026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3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149,552,952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March 27, 2020 (inception) through December 31, 2020.</w:t>
      </w:r>
    </w:p>
    <w:p>
      <w:pPr>
        <w:spacing w:after="0" w:line="128" w:lineRule="exact"/>
        <w:rPr>
          <w:sz w:val="20"/>
          <w:szCs w:val="20"/>
          <w:color w:val="auto"/>
        </w:rPr>
      </w:pPr>
    </w:p>
    <w:p>
      <w:pPr>
        <w:ind w:right="620" w:firstLine="318"/>
        <w:spacing w:after="0" w:line="365" w:lineRule="auto"/>
        <w:rPr>
          <w:sz w:val="20"/>
          <w:szCs w:val="20"/>
          <w:color w:val="auto"/>
        </w:rPr>
      </w:pPr>
      <w:r>
        <w:rPr>
          <w:rFonts w:ascii="Arial" w:cs="Arial" w:eastAsia="Arial" w:hAnsi="Arial"/>
          <w:sz w:val="15"/>
          <w:szCs w:val="15"/>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As discussed in Note 1, on February 7, 2021, the Company entered into the Business Combination Agreement and a series of other agreements related to the Business Combination.</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76" w:name="page177"/>
    <w:bookmarkEnd w:id="176"/>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ind w:left="3900"/>
              <w:spacing w:after="0"/>
              <w:rPr>
                <w:sz w:val="20"/>
                <w:szCs w:val="20"/>
                <w:color w:val="auto"/>
              </w:rPr>
            </w:pPr>
            <w:r>
              <w:rPr>
                <w:rFonts w:ascii="Arial" w:cs="Arial" w:eastAsia="Arial" w:hAnsi="Arial"/>
                <w:sz w:val="18"/>
                <w:szCs w:val="18"/>
                <w:b w:val="1"/>
                <w:bCs w:val="1"/>
                <w:color w:val="auto"/>
              </w:rPr>
              <w:t>ARYA SCIENCES ACQUISITION CORP III</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1"/>
        </w:trPr>
        <w:tc>
          <w:tcPr>
            <w:tcW w:w="8000" w:type="dxa"/>
            <w:vAlign w:val="bottom"/>
          </w:tcPr>
          <w:p>
            <w:pPr>
              <w:ind w:left="4260"/>
              <w:spacing w:after="0"/>
              <w:rPr>
                <w:sz w:val="20"/>
                <w:szCs w:val="20"/>
                <w:color w:val="auto"/>
              </w:rPr>
            </w:pPr>
            <w:r>
              <w:rPr>
                <w:rFonts w:ascii="Arial" w:cs="Arial" w:eastAsia="Arial" w:hAnsi="Arial"/>
                <w:sz w:val="18"/>
                <w:szCs w:val="18"/>
                <w:b w:val="1"/>
                <w:bCs w:val="1"/>
                <w:color w:val="auto"/>
              </w:rPr>
              <w:t>CONDENSED BALANCE SHEETS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March 31, 2021</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r>
      <w:tr>
        <w:trPr>
          <w:trHeight w:val="28"/>
        </w:trPr>
        <w:tc>
          <w:tcPr>
            <w:tcW w:w="8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(unaudited)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5"/>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5"/>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1,001,032</w:t>
            </w:r>
          </w:p>
        </w:tc>
      </w:tr>
      <w:tr>
        <w:trPr>
          <w:trHeight w:val="237"/>
        </w:trPr>
        <w:tc>
          <w:tcPr>
            <w:tcW w:w="80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253,630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303,759</w:t>
            </w:r>
          </w:p>
        </w:tc>
      </w:tr>
      <w:tr>
        <w:trPr>
          <w:trHeight w:val="28"/>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935,640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1,304,791</w:t>
            </w: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149,563,934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149,552,952</w:t>
            </w:r>
          </w:p>
        </w:tc>
      </w:tr>
      <w:tr>
        <w:trPr>
          <w:trHeight w:val="28"/>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150,499,574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80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1,652,522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388,507</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Due to related party</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1,799,349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388,507</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r>
      <w:tr>
        <w:trPr>
          <w:trHeight w:val="231"/>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7,031,849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5,621,007</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2"/>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5)</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6"/>
        </w:trPr>
        <w:tc>
          <w:tcPr>
            <w:tcW w:w="8000" w:type="dxa"/>
            <w:vAlign w:val="bottom"/>
          </w:tcPr>
          <w:p>
            <w:pPr>
              <w:ind w:left="20"/>
              <w:spacing w:after="0"/>
              <w:rPr>
                <w:sz w:val="20"/>
                <w:szCs w:val="20"/>
                <w:color w:val="auto"/>
              </w:rPr>
            </w:pPr>
            <w:r>
              <w:rPr>
                <w:rFonts w:ascii="Arial" w:cs="Arial" w:eastAsia="Arial" w:hAnsi="Arial"/>
                <w:sz w:val="18"/>
                <w:szCs w:val="18"/>
                <w:color w:val="auto"/>
                <w:w w:val="88"/>
              </w:rPr>
              <w:t>Class A ordinary shares, $0.0001 par value; 13,846,772 and 14,023,673 shares subject to possible redemption at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$10.00 per share at March 31, 2021 and December 31, 2020, respectively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138,467,720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140,236,730</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2"/>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00" w:type="dxa"/>
            <w:vAlign w:val="bottom"/>
          </w:tcPr>
          <w:p>
            <w:pPr>
              <w:ind w:left="20"/>
              <w:spacing w:after="0"/>
              <w:rPr>
                <w:sz w:val="20"/>
                <w:szCs w:val="20"/>
                <w:color w:val="auto"/>
              </w:rPr>
            </w:pPr>
            <w:r>
              <w:rPr>
                <w:rFonts w:ascii="Arial" w:cs="Arial" w:eastAsia="Arial" w:hAnsi="Arial"/>
                <w:sz w:val="18"/>
                <w:szCs w:val="18"/>
                <w:color w:val="auto"/>
                <w:w w:val="91"/>
              </w:rPr>
              <w:t>Class A ordinary shares, $0.0001 par value; 479,000,000 shares authorized; 1,602,228 and 1,425,327 shares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2"/>
        </w:trPr>
        <w:tc>
          <w:tcPr>
            <w:tcW w:w="8000" w:type="dxa"/>
            <w:vAlign w:val="bottom"/>
          </w:tcPr>
          <w:p>
            <w:pPr>
              <w:ind w:left="180"/>
              <w:spacing w:after="0"/>
              <w:rPr>
                <w:sz w:val="20"/>
                <w:szCs w:val="20"/>
                <w:color w:val="auto"/>
              </w:rPr>
            </w:pPr>
            <w:r>
              <w:rPr>
                <w:rFonts w:ascii="Arial" w:cs="Arial" w:eastAsia="Arial" w:hAnsi="Arial"/>
                <w:sz w:val="18"/>
                <w:szCs w:val="18"/>
                <w:color w:val="auto"/>
                <w:w w:val="93"/>
              </w:rPr>
              <w:t>issued and outstanding (excluding 13,846,772 and 14,023,673 shares subject to possible redemption)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Class B ordinary shares, $0.0001 par value; 20,000,000 shares authorized; 3,737,500 shares issued and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1"/>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March 31, 2021 and December 31, 2020</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7,291,565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5,522,572</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(2,292,094)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(523,083)</w:t>
            </w:r>
          </w:p>
        </w:tc>
      </w:tr>
      <w:tr>
        <w:trPr>
          <w:trHeight w:val="231"/>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r>
      <w:tr>
        <w:trPr>
          <w:trHeight w:val="28"/>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150,499,574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7" w:name="page178"/>
    <w:bookmarkEnd w:id="177"/>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9"/>
              </w:rPr>
              <w:t>ARYA SCIENCES ACQUISITION CORP III</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9680" w:type="dxa"/>
            <w:vAlign w:val="bottom"/>
          </w:tcPr>
          <w:p>
            <w:pPr>
              <w:jc w:val="center"/>
              <w:ind w:left="1472"/>
              <w:spacing w:after="0"/>
              <w:rPr>
                <w:sz w:val="20"/>
                <w:szCs w:val="20"/>
                <w:color w:val="auto"/>
              </w:rPr>
            </w:pPr>
            <w:r>
              <w:rPr>
                <w:rFonts w:ascii="Arial" w:cs="Arial" w:eastAsia="Arial" w:hAnsi="Arial"/>
                <w:sz w:val="18"/>
                <w:szCs w:val="18"/>
                <w:b w:val="1"/>
                <w:bCs w:val="1"/>
                <w:color w:val="auto"/>
                <w:w w:val="97"/>
              </w:rPr>
              <w:t>UNAUDITED CONDENSED STATEMENT OF OPERATIONS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7"/>
              </w:rPr>
              <w:t>FOR THE THREE MONTHS ENDED MARCH 31, 2021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1,779,993</w:t>
            </w:r>
          </w:p>
        </w:tc>
        <w:tc>
          <w:tcPr>
            <w:tcW w:w="0" w:type="dxa"/>
            <w:vAlign w:val="bottom"/>
          </w:tcPr>
          <w:p>
            <w:pPr>
              <w:spacing w:after="0"/>
              <w:rPr>
                <w:sz w:val="1"/>
                <w:szCs w:val="1"/>
                <w:color w:val="auto"/>
              </w:rPr>
            </w:pPr>
          </w:p>
        </w:tc>
      </w:tr>
      <w:tr>
        <w:trPr>
          <w:trHeight w:val="231"/>
        </w:trPr>
        <w:tc>
          <w:tcPr>
            <w:tcW w:w="9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(1,779,993)</w:t>
            </w:r>
          </w:p>
        </w:tc>
        <w:tc>
          <w:tcPr>
            <w:tcW w:w="0" w:type="dxa"/>
            <w:vAlign w:val="bottom"/>
          </w:tcPr>
          <w:p>
            <w:pPr>
              <w:spacing w:after="0"/>
              <w:rPr>
                <w:sz w:val="1"/>
                <w:szCs w:val="1"/>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680" w:type="dxa"/>
            <w:vAlign w:val="bottom"/>
          </w:tcPr>
          <w:p>
            <w:pPr>
              <w:ind w:left="14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8"/>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(1,769,011)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w:t>
            </w:r>
          </w:p>
        </w:tc>
        <w:tc>
          <w:tcPr>
            <w:tcW w:w="4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and diluted net income per share, Class A ordinary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80" w:type="dxa"/>
            <w:vAlign w:val="bottom"/>
            <w:vMerge w:val="continue"/>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8"/>
        </w:trPr>
        <w:tc>
          <w:tcPr>
            <w:tcW w:w="9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B ordinary shares</w:t>
            </w: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4,236,500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and diluted net loss per share, Class B ordinary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8"/>
        </w:trPr>
        <w:tc>
          <w:tcPr>
            <w:tcW w:w="9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ARYA SCIENCES ACQUISITION CORP III</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STATEMENT OF CHANGES IN SHAREHOLDERS’ EQUITY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ind w:left="300"/>
              <w:spacing w:after="0"/>
              <w:rPr>
                <w:sz w:val="20"/>
                <w:szCs w:val="20"/>
                <w:color w:val="auto"/>
              </w:rPr>
            </w:pPr>
            <w:r>
              <w:rPr>
                <w:rFonts w:ascii="Arial" w:cs="Arial" w:eastAsia="Arial" w:hAnsi="Arial"/>
                <w:sz w:val="18"/>
                <w:szCs w:val="18"/>
                <w:b w:val="1"/>
                <w:bCs w:val="1"/>
                <w:color w:val="auto"/>
              </w:rPr>
              <w:t>Ordinary Shares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Class A</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vMerge w:val="restart"/>
          </w:tcPr>
          <w:p>
            <w:pPr>
              <w:jc w:val="right"/>
              <w:ind w:right="16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1160" w:type="dxa"/>
            <w:vAlign w:val="bottom"/>
            <w:gridSpan w:val="2"/>
            <w:vMerge w:val="restart"/>
          </w:tcPr>
          <w:p>
            <w:pPr>
              <w:ind w:left="60"/>
              <w:spacing w:after="0" w:line="191"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8"/>
        </w:trPr>
        <w:tc>
          <w:tcPr>
            <w:tcW w:w="2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1,425,327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3,737,500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5,522,572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(523,083)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5,000,006</w:t>
            </w:r>
          </w:p>
        </w:tc>
        <w:tc>
          <w:tcPr>
            <w:tcW w:w="0" w:type="dxa"/>
            <w:vAlign w:val="bottom"/>
          </w:tcPr>
          <w:p>
            <w:pPr>
              <w:spacing w:after="0"/>
              <w:rPr>
                <w:sz w:val="1"/>
                <w:szCs w:val="1"/>
                <w:color w:val="auto"/>
              </w:rPr>
            </w:pPr>
          </w:p>
        </w:tc>
      </w:tr>
      <w:tr>
        <w:trPr>
          <w:trHeight w:val="226"/>
        </w:trPr>
        <w:tc>
          <w:tcPr>
            <w:tcW w:w="2660" w:type="dxa"/>
            <w:vAlign w:val="bottom"/>
          </w:tcPr>
          <w:p>
            <w:pPr>
              <w:ind w:left="20"/>
              <w:spacing w:after="0"/>
              <w:rPr>
                <w:sz w:val="20"/>
                <w:szCs w:val="20"/>
                <w:color w:val="auto"/>
              </w:rPr>
            </w:pPr>
            <w:r>
              <w:rPr>
                <w:rFonts w:ascii="Arial" w:cs="Arial" w:eastAsia="Arial" w:hAnsi="Arial"/>
                <w:sz w:val="18"/>
                <w:szCs w:val="18"/>
                <w:color w:val="auto"/>
              </w:rPr>
              <w:t>Shares subject to possible</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176,901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1,768,993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1,769,010</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(1,769,011)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9"/>
              </w:rPr>
              <w:t>(1,769,011)</w:t>
            </w:r>
          </w:p>
        </w:tc>
        <w:tc>
          <w:tcPr>
            <w:tcW w:w="0" w:type="dxa"/>
            <w:vAlign w:val="bottom"/>
          </w:tcPr>
          <w:p>
            <w:pPr>
              <w:spacing w:after="0"/>
              <w:rPr>
                <w:sz w:val="1"/>
                <w:szCs w:val="1"/>
                <w:color w:val="auto"/>
              </w:rPr>
            </w:pPr>
          </w:p>
        </w:tc>
      </w:tr>
      <w:tr>
        <w:trPr>
          <w:trHeight w:val="200"/>
        </w:trPr>
        <w:tc>
          <w:tcPr>
            <w:tcW w:w="266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Balance - March 31, 2021</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1,602,228</w:t>
            </w: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160</w:t>
            </w:r>
          </w:p>
        </w:tc>
        <w:tc>
          <w:tcPr>
            <w:tcW w:w="80" w:type="dxa"/>
            <w:vAlign w:val="bottom"/>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3,737,500</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7,291,565</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(2,292,094)</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w w:val="94"/>
              </w:rPr>
              <w:t>5,000,005</w:t>
            </w:r>
          </w:p>
        </w:tc>
        <w:tc>
          <w:tcPr>
            <w:tcW w:w="0" w:type="dxa"/>
            <w:vAlign w:val="bottom"/>
          </w:tcPr>
          <w:p>
            <w:pPr>
              <w:spacing w:after="0"/>
              <w:rPr>
                <w:sz w:val="1"/>
                <w:szCs w:val="1"/>
                <w:color w:val="auto"/>
              </w:rPr>
            </w:pPr>
          </w:p>
        </w:tc>
      </w:tr>
      <w:tr>
        <w:trPr>
          <w:trHeight w:val="235"/>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(unaudited)</w:t>
            </w: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9" w:name="page180"/>
    <w:bookmarkEnd w:id="179"/>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9"/>
              </w:rPr>
              <w:t>ARYA SCIENCES ACQUISITION CORP III</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1"/>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7"/>
              </w:rPr>
              <w:t>UNAUDITED CONDENSED STATEMENT OF CASH FLOWS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7"/>
              </w:rPr>
              <w:t>FOR THE THREE MONTHS ENDED MARCH 31, 2021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(1,769,011)</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(10,982)</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50,129</w:t>
            </w:r>
          </w:p>
        </w:tc>
      </w:tr>
      <w:tr>
        <w:trPr>
          <w:trHeight w:val="237"/>
        </w:trPr>
        <w:tc>
          <w:tcPr>
            <w:tcW w:w="96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116,827</w:t>
            </w: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1,264,015</w:t>
            </w:r>
          </w:p>
        </w:tc>
      </w:tr>
      <w:tr>
        <w:trPr>
          <w:trHeight w:val="237"/>
        </w:trPr>
        <w:tc>
          <w:tcPr>
            <w:tcW w:w="9680" w:type="dxa"/>
            <w:vAlign w:val="bottom"/>
          </w:tcPr>
          <w:p>
            <w:pPr>
              <w:ind w:left="140"/>
              <w:spacing w:after="0"/>
              <w:rPr>
                <w:sz w:val="20"/>
                <w:szCs w:val="20"/>
                <w:color w:val="auto"/>
              </w:rPr>
            </w:pPr>
            <w:r>
              <w:rPr>
                <w:rFonts w:ascii="Arial" w:cs="Arial" w:eastAsia="Arial" w:hAnsi="Arial"/>
                <w:sz w:val="18"/>
                <w:szCs w:val="18"/>
                <w:color w:val="auto"/>
              </w:rPr>
              <w:t>Due to related party</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8"/>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(319,022)</w:t>
            </w:r>
          </w:p>
        </w:tc>
      </w:tr>
      <w:tr>
        <w:trPr>
          <w:trHeight w:val="245"/>
        </w:trPr>
        <w:tc>
          <w:tcPr>
            <w:tcW w:w="96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(319,022)</w:t>
            </w:r>
          </w:p>
        </w:tc>
      </w:tr>
      <w:tr>
        <w:trPr>
          <w:trHeight w:val="265"/>
        </w:trPr>
        <w:tc>
          <w:tcPr>
            <w:tcW w:w="9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beginning of the period</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1,001,032</w:t>
            </w:r>
          </w:p>
        </w:tc>
      </w:tr>
      <w:tr>
        <w:trPr>
          <w:trHeight w:val="231"/>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 end of the period</w:t>
            </w:r>
          </w:p>
        </w:tc>
        <w:tc>
          <w:tcPr>
            <w:tcW w:w="4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682,010</w:t>
            </w:r>
          </w:p>
        </w:tc>
      </w:tr>
      <w:tr>
        <w:trPr>
          <w:trHeight w:val="28"/>
        </w:trPr>
        <w:tc>
          <w:tcPr>
            <w:tcW w:w="9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1"/>
        </w:trPr>
        <w:tc>
          <w:tcPr>
            <w:tcW w:w="9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9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(1,769,010)</w:t>
            </w:r>
          </w:p>
        </w:tc>
      </w:tr>
      <w:tr>
        <w:trPr>
          <w:trHeight w:val="28"/>
        </w:trPr>
        <w:tc>
          <w:tcPr>
            <w:tcW w:w="9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310" w:lineRule="exact"/>
        <w:rPr>
          <w:sz w:val="20"/>
          <w:szCs w:val="20"/>
          <w:color w:val="auto"/>
        </w:rPr>
      </w:pPr>
    </w:p>
    <w:p>
      <w:pPr>
        <w:ind w:left="320" w:right="4520"/>
        <w:spacing w:after="0" w:line="433" w:lineRule="auto"/>
        <w:rPr>
          <w:sz w:val="20"/>
          <w:szCs w:val="20"/>
          <w:color w:val="auto"/>
        </w:rPr>
      </w:pPr>
      <w:r>
        <w:rPr>
          <w:rFonts w:ascii="Arial" w:cs="Arial" w:eastAsia="Arial" w:hAnsi="Arial"/>
          <w:sz w:val="18"/>
          <w:szCs w:val="18"/>
          <w:b w:val="1"/>
          <w:bCs w:val="1"/>
          <w:color w:val="auto"/>
        </w:rPr>
        <w:t xml:space="preserve">Note 1—Description of Organization, Business Operations and Basis of Presentation </w:t>
      </w:r>
      <w:r>
        <w:rPr>
          <w:rFonts w:ascii="Arial" w:cs="Arial" w:eastAsia="Arial" w:hAnsi="Arial"/>
          <w:sz w:val="18"/>
          <w:szCs w:val="18"/>
          <w:i w:val="1"/>
          <w:iCs w:val="1"/>
          <w:color w:val="auto"/>
        </w:rPr>
        <w:t>Organization and General</w:t>
      </w:r>
    </w:p>
    <w:p>
      <w:pPr>
        <w:spacing w:after="0" w:line="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8"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As of March 31, 2021, the Company had not commenced any operations. All activity for the period from March 27, 2020 (inception) through August 11, 2020 relates to the Company’s formation and its initial public offering (“Initial Public Offering”) and had minimal activity,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Initial Public Offering</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9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Trust Account</w:t>
      </w:r>
    </w:p>
    <w:p>
      <w:pPr>
        <w:spacing w:after="0" w:line="16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Upon the closing of the Initial Public Offering and the Private Placement, $149.5 million ($10.00 per share) of the net proceeds of the Initial Public Offering and certain of the proceeds of the Private Placement were placed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of 1940, as amended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Initial Business Combination</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1" w:name="page182"/>
    <w:bookmarkEnd w:id="181"/>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35"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04" w:lineRule="exact"/>
        <w:rPr>
          <w:sz w:val="20"/>
          <w:szCs w:val="20"/>
          <w:color w:val="auto"/>
        </w:rPr>
      </w:pPr>
    </w:p>
    <w:p>
      <w:pPr>
        <w:ind w:right="20" w:firstLine="318"/>
        <w:spacing w:after="0" w:line="296" w:lineRule="auto"/>
        <w:rPr>
          <w:sz w:val="20"/>
          <w:szCs w:val="20"/>
          <w:color w:val="auto"/>
        </w:rPr>
      </w:pPr>
      <w:r>
        <w:rPr>
          <w:rFonts w:ascii="Arial" w:cs="Arial" w:eastAsia="Arial" w:hAnsi="Arial"/>
          <w:sz w:val="15"/>
          <w:szCs w:val="15"/>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will adopt an insider trading policy which will require insiders to:</w:t>
      </w:r>
    </w:p>
    <w:p>
      <w:pPr>
        <w:spacing w:after="0" w:line="1" w:lineRule="exact"/>
        <w:rPr>
          <w:sz w:val="20"/>
          <w:szCs w:val="20"/>
          <w:color w:val="auto"/>
        </w:rPr>
      </w:pPr>
    </w:p>
    <w:p>
      <w:pPr>
        <w:ind w:right="140" w:firstLine="6"/>
        <w:spacing w:after="0" w:line="322" w:lineRule="auto"/>
        <w:tabs>
          <w:tab w:leader="none" w:pos="211"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89"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9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(b) with respect to any other provision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19"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rights of Public Shareholders, unless the Company provides the Public Shareholders with the opportunity to redeem their Class A ordinary shares in conjunction with any such amendment.</w:t>
      </w:r>
    </w:p>
    <w:p>
      <w:pPr>
        <w:spacing w:after="0" w:line="128"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01"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32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Proposed Nautilus Business Combination and related Proposed Transactions</w:t>
      </w:r>
    </w:p>
    <w:p>
      <w:pPr>
        <w:spacing w:after="0" w:line="164" w:lineRule="exact"/>
        <w:rPr>
          <w:sz w:val="20"/>
          <w:szCs w:val="20"/>
          <w:color w:val="auto"/>
        </w:rPr>
      </w:pPr>
    </w:p>
    <w:p>
      <w:pPr>
        <w:ind w:right="480" w:firstLine="318"/>
        <w:spacing w:after="0" w:line="365" w:lineRule="auto"/>
        <w:rPr>
          <w:sz w:val="20"/>
          <w:szCs w:val="20"/>
          <w:color w:val="auto"/>
        </w:rPr>
      </w:pPr>
      <w:r>
        <w:rPr>
          <w:rFonts w:ascii="Arial" w:cs="Arial" w:eastAsia="Arial" w:hAnsi="Arial"/>
          <w:sz w:val="15"/>
          <w:szCs w:val="15"/>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58"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19"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135"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Nautilus Business Combination is expected to close in the second quarter of 2021, following the receipt of the required approval by our shareholders and the fulfillment of other customary closing conditions.</w:t>
      </w:r>
    </w:p>
    <w:p>
      <w:pPr>
        <w:spacing w:after="0" w:line="128"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Concurrently with the execution of the Business Combination Agreement, the Company, the Sponsor, and each other holder of Class B ordinary shares of ARYA (the “</w:t>
      </w:r>
      <w:r>
        <w:rPr>
          <w:rFonts w:ascii="Arial" w:cs="Arial" w:eastAsia="Arial" w:hAnsi="Arial"/>
          <w:sz w:val="15"/>
          <w:szCs w:val="15"/>
          <w:i w:val="1"/>
          <w:iCs w:val="1"/>
          <w:color w:val="auto"/>
        </w:rPr>
        <w:t>Other Class B Shareholders</w:t>
      </w:r>
      <w:r>
        <w:rPr>
          <w:rFonts w:ascii="Arial" w:cs="Arial" w:eastAsia="Arial" w:hAnsi="Arial"/>
          <w:sz w:val="15"/>
          <w:szCs w:val="15"/>
          <w:color w:val="auto"/>
        </w:rPr>
        <w:t>”) and Nautilus entered into the Sponsor Letter Agreement (the “</w:t>
      </w:r>
      <w:r>
        <w:rPr>
          <w:rFonts w:ascii="Arial" w:cs="Arial" w:eastAsia="Arial" w:hAnsi="Arial"/>
          <w:sz w:val="15"/>
          <w:szCs w:val="15"/>
          <w:i w:val="1"/>
          <w:iCs w:val="1"/>
          <w:color w:val="auto"/>
        </w:rPr>
        <w:t>Sponsor Letter Agreement</w:t>
      </w:r>
      <w:r>
        <w:rPr>
          <w:rFonts w:ascii="Arial" w:cs="Arial" w:eastAsia="Arial" w:hAnsi="Arial"/>
          <w:sz w:val="15"/>
          <w:szCs w:val="15"/>
          <w:color w:val="auto"/>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w:t>
      </w:r>
    </w:p>
    <w:p>
      <w:pPr>
        <w:spacing w:after="0" w:line="3" w:lineRule="exact"/>
        <w:rPr>
          <w:sz w:val="20"/>
          <w:szCs w:val="20"/>
          <w:color w:val="auto"/>
        </w:rPr>
      </w:pPr>
    </w:p>
    <w:p>
      <w:pPr>
        <w:ind w:right="40" w:firstLine="6"/>
        <w:spacing w:after="0" w:line="251" w:lineRule="auto"/>
        <w:tabs>
          <w:tab w:leader="none" w:pos="30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13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26"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 agreements related to the Nautilus Business Combination, including a restriction on transfers with respect to his, her or its shares in Nautilus prior to the closing of the Nautilus Business Combination.</w:t>
      </w:r>
    </w:p>
    <w:p>
      <w:pPr>
        <w:spacing w:after="0" w:line="141"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copy of each of the above referenced agreements is filed as exhibits with a Current Report on Form 8-K, filed with the SEC on February 8, 2021.</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March 31, 2021, the Company had approximately $682,010 in its operating bank account and a working capital deficit of approximately $864,000.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19"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promissory note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March 31, 2021, there were no amounts outstanding under any Working Capital Loan.</w:t>
      </w:r>
    </w:p>
    <w:p>
      <w:pPr>
        <w:spacing w:after="0" w:line="126"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Updated (“ASU”) 2014-15, “Disclosures of Uncertainties about an Entity’s Ability to Continue as a Going Concern”, management has determined that the working capital deficit raises substantial doubt about the Company’s ability to continue as a going concern. The financial statements do not include any adjustment that might be necessary if the Company is unable to continue as a going concern.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 and Uncertainties</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Basis of Presentation</w:t>
      </w:r>
    </w:p>
    <w:p>
      <w:pPr>
        <w:spacing w:after="0" w:line="164"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three months ended March 31, 2021 are not necessarily indicative of the results that may be expected for the period ending December 31, 2021 or for any future interim periods.</w:t>
      </w:r>
    </w:p>
    <w:p>
      <w:pPr>
        <w:spacing w:after="0" w:line="141"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included in the Form 10-K filed by the Company with the SEC on March 30,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Use of Estimates</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preparation of the unaudited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11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Emerging Growth Company</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43"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and Cash Equivalents</w:t>
      </w:r>
    </w:p>
    <w:p>
      <w:pPr>
        <w:spacing w:after="0" w:line="16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March 31,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Concentration of Credit Risk</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March 31, 2021, the Company has not experienced losses on these accounts and management believes the Company is not exposed to significant risks on such accounts.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Investment Securities Held in Trust Account</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condensed balance sheets at fair value at the end of each reporting period. Gains and losses resulting from the change in fair value of trading securities is included in investment income on Trust Account in the accompanying unaudited condensed statements of operations.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64"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5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640" w:hanging="31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64"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7" w:lineRule="exact"/>
        <w:rPr>
          <w:rFonts w:ascii="Arial" w:cs="Arial" w:eastAsia="Arial" w:hAnsi="Arial"/>
          <w:sz w:val="18"/>
          <w:szCs w:val="18"/>
          <w:color w:val="auto"/>
        </w:rPr>
      </w:pPr>
    </w:p>
    <w:p>
      <w:pPr>
        <w:ind w:right="100" w:firstLine="324"/>
        <w:spacing w:after="0" w:line="294" w:lineRule="auto"/>
        <w:tabs>
          <w:tab w:leader="none" w:pos="63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As of March 31, 2021, the carrying values of cash, accounts payable and accrued expenses approximate their fair values due to the short-term nature of the instruments. The Company’s portfolio of investments held in the Trust Account is comprised of investments in U.S. Treasury securities with an original maturity of 185 days or less or investments in money market funds that invest in U.S. government securities, or a combination thereof. The fair value for trading securities is determined using quoted market prices in active markets.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64"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Offering costs consisted of legal, accounting, and other costs incurred that were directly related to the Initial Public Offering and that were charged to shareholders’ equity upon the completion of the Initial Public Offering.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2021, 13,846,772 Class A ordinary shares subject to possible redemption are presented as temporary equity, outside of the shareholders’ equity section of the Company’s unaudited condensed balance sheet.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1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recognized, a tax position must be more likely than not to be sustained upon examination by taxing authorities. There were no unrecognized tax benefits as of March 31, 2021.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March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9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There is currently no taxation imposed on income by the Government of the Cayman Islands. In accordance with Cayman income tax regulations, income taxes are not levied on the Company. Consequently, income taxes are not reflected in the Company’s unaudited condensed financial statements. The Company’s management does not expect that the total amount of unrecognized tax benefits will materially change over the next twelve months.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64"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Net income (loss) per share is computed by dividing net income by the weighted-average number of ordinary shares outstanding during the periods. The Company’s unaudited condensed statements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a net gain of approximately $11,000 for the three months ended March 31, 2021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 if currently adopted would have a material effect on the Company’s financial statements.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3—Initial Public Offering</w:t>
      </w:r>
    </w:p>
    <w:p>
      <w:pPr>
        <w:spacing w:after="0" w:line="170"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4—Related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Founder Shares</w:t>
      </w:r>
    </w:p>
    <w:p>
      <w:pPr>
        <w:spacing w:after="0" w:line="164"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04"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11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Private Placement Share</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1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Related Party Loans</w:t>
      </w:r>
    </w:p>
    <w:p>
      <w:pPr>
        <w:spacing w:after="0" w:line="164"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On April 2, 2020, the Sponsor agreed to loan the Company an aggregate of up to $300,000 to cover for expenses related to the Initial Public Offering pursuant to a Note. This loan was non-interest bearing and payable upon the completion of the Initial Public Offering. The Company borrowed $200,000 under the Note and fully repaid this Note on August 11, 2020.</w:t>
      </w:r>
    </w:p>
    <w:p>
      <w:pPr>
        <w:spacing w:after="0" w:line="135"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Administrative Support Agreement</w:t>
      </w:r>
    </w:p>
    <w:p>
      <w:pPr>
        <w:spacing w:after="0" w:line="164" w:lineRule="exact"/>
        <w:rPr>
          <w:sz w:val="20"/>
          <w:szCs w:val="20"/>
          <w:color w:val="auto"/>
        </w:rPr>
      </w:pPr>
    </w:p>
    <w:p>
      <w:pPr>
        <w:ind w:right="300" w:firstLine="318"/>
        <w:spacing w:after="0" w:line="271" w:lineRule="auto"/>
        <w:rPr>
          <w:sz w:val="20"/>
          <w:szCs w:val="20"/>
          <w:color w:val="auto"/>
        </w:rPr>
      </w:pPr>
      <w:r>
        <w:rPr>
          <w:rFonts w:ascii="Arial" w:cs="Arial" w:eastAsia="Arial" w:hAnsi="Arial"/>
          <w:sz w:val="17"/>
          <w:szCs w:val="17"/>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$30,000 in general and administrative expenses in the accompanying unaudited condensed consolidated statements of operations for the three months ended March 31, 2021.</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5—Commitments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Registration Rights</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The holders of Founder Shares, Private Placement Shares and Private Placement Shares that may be issued upon conversion of Working Capital Loans, will be entitled to registration rights pursuant to a registration and shareholder rights agreement signed upon the consummation of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Underwriting Agreement</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35"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6—Shareholders’ Equity</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 xml:space="preserve">Class A Ordinary Shares — </w:t>
      </w:r>
      <w:r>
        <w:rPr>
          <w:rFonts w:ascii="Arial" w:cs="Arial" w:eastAsia="Arial" w:hAnsi="Arial"/>
          <w:sz w:val="18"/>
          <w:szCs w:val="18"/>
          <w:color w:val="auto"/>
        </w:rPr>
        <w:t>The Company is authorized to issue 479,000,000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there were 15,449,000 Class A common shares outstanding, including 13,846,772 Class A common stock subject to possible redemption that were classified as temporary equity in the accompanying unaudited condensed balance sheet.</w:t>
      </w:r>
    </w:p>
    <w:p>
      <w:pPr>
        <w:spacing w:after="0" w:line="135"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b w:val="1"/>
          <w:bCs w:val="1"/>
          <w:i w:val="1"/>
          <w:iCs w:val="1"/>
          <w:color w:val="auto"/>
        </w:rPr>
        <w:t xml:space="preserve">Class B Ordinary Shares — </w:t>
      </w:r>
      <w:r>
        <w:rPr>
          <w:rFonts w:ascii="Arial" w:cs="Arial" w:eastAsia="Arial" w:hAnsi="Arial"/>
          <w:sz w:val="17"/>
          <w:szCs w:val="17"/>
          <w:color w:val="auto"/>
        </w:rPr>
        <w:t>The Company is authorized to issue 20,000,000 Class B ordinary shares with a par value of $0.0001 per share. On April 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the Company issued 3,593,750 Class B ordinary shares. On August 6, 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132"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8" w:lineRule="exact"/>
        <w:rPr>
          <w:sz w:val="20"/>
          <w:szCs w:val="20"/>
          <w:color w:val="auto"/>
        </w:rPr>
      </w:pPr>
    </w:p>
    <w:p>
      <w:pPr>
        <w:ind w:right="80" w:firstLine="318"/>
        <w:spacing w:after="0" w:line="304" w:lineRule="auto"/>
        <w:rPr>
          <w:sz w:val="20"/>
          <w:szCs w:val="20"/>
          <w:color w:val="auto"/>
        </w:rPr>
      </w:pPr>
      <w:r>
        <w:rPr>
          <w:rFonts w:ascii="Arial" w:cs="Arial" w:eastAsia="Arial" w:hAnsi="Arial"/>
          <w:sz w:val="15"/>
          <w:szCs w:val="15"/>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1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Preference Shares — </w:t>
      </w:r>
      <w:r>
        <w:rPr>
          <w:rFonts w:ascii="Arial" w:cs="Arial" w:eastAsia="Arial" w:hAnsi="Arial"/>
          <w:sz w:val="18"/>
          <w:szCs w:val="18"/>
          <w:color w:val="auto"/>
        </w:rPr>
        <w:t>The Company is authorized to issue 1,000,000 preference shares with a par value of $0.0001 per share and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As of March 31, 2021, there were no preference shares issued or outstanding.</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7—Fair Value Measurements</w:t>
      </w:r>
    </w:p>
    <w:p>
      <w:pPr>
        <w:spacing w:after="0" w:line="170"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The following table presents information about the Company’s assets that are measured at fair value on a recurring basis as of March 31, 2021 and December 31, 2020, respectively, and indicates the fair value hierarchy of the valuation techniques that the Company utilized to determine such fair value.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2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Quoted Prices in</w:t>
            </w:r>
          </w:p>
        </w:tc>
        <w:tc>
          <w:tcPr>
            <w:tcW w:w="120" w:type="dxa"/>
            <w:vAlign w:val="bottom"/>
          </w:tcPr>
          <w:p>
            <w:pPr>
              <w:spacing w:after="0"/>
              <w:rPr>
                <w:sz w:val="24"/>
                <w:szCs w:val="2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24"/>
                <w:szCs w:val="24"/>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Significant Other</w:t>
            </w: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2"/>
              <w:spacing w:after="0" w:line="172" w:lineRule="exact"/>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172"/>
        </w:trPr>
        <w:tc>
          <w:tcPr>
            <w:tcW w:w="6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1"/>
              </w:rPr>
              <w:t>Active Markets</w:t>
            </w:r>
          </w:p>
        </w:tc>
        <w:tc>
          <w:tcPr>
            <w:tcW w:w="1680" w:type="dxa"/>
            <w:vAlign w:val="bottom"/>
            <w:gridSpan w:val="3"/>
          </w:tcPr>
          <w:p>
            <w:pPr>
              <w:jc w:val="center"/>
              <w:ind w:right="120"/>
              <w:spacing w:after="0" w:line="172" w:lineRule="exact"/>
              <w:rPr>
                <w:sz w:val="20"/>
                <w:szCs w:val="20"/>
                <w:color w:val="auto"/>
              </w:rPr>
            </w:pPr>
            <w:r>
              <w:rPr>
                <w:rFonts w:ascii="Arial" w:cs="Arial" w:eastAsia="Arial" w:hAnsi="Arial"/>
                <w:sz w:val="18"/>
                <w:szCs w:val="18"/>
                <w:b w:val="1"/>
                <w:bCs w:val="1"/>
                <w:color w:val="auto"/>
                <w:w w:val="89"/>
              </w:rPr>
              <w:t>Observable Inputs</w:t>
            </w:r>
          </w:p>
        </w:tc>
        <w:tc>
          <w:tcPr>
            <w:tcW w:w="120" w:type="dxa"/>
            <w:vAlign w:val="bottom"/>
          </w:tcPr>
          <w:p>
            <w:pPr>
              <w:spacing w:after="0"/>
              <w:rPr>
                <w:sz w:val="14"/>
                <w:szCs w:val="14"/>
                <w:color w:val="auto"/>
              </w:rPr>
            </w:pPr>
          </w:p>
        </w:tc>
        <w:tc>
          <w:tcPr>
            <w:tcW w:w="1440" w:type="dxa"/>
            <w:vAlign w:val="bottom"/>
          </w:tcPr>
          <w:p>
            <w:pPr>
              <w:jc w:val="center"/>
              <w:ind w:right="32"/>
              <w:spacing w:after="0" w:line="172" w:lineRule="exact"/>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 held in Trust Account: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149,563,934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149,563,934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Significant Other</w:t>
            </w: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Quoted Prices in</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Active Markets</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Observable Inputs</w:t>
            </w:r>
          </w:p>
        </w:tc>
        <w:tc>
          <w:tcPr>
            <w:tcW w:w="120" w:type="dxa"/>
            <w:vAlign w:val="bottom"/>
          </w:tcPr>
          <w:p>
            <w:pPr>
              <w:spacing w:after="0"/>
              <w:rPr>
                <w:sz w:val="18"/>
                <w:szCs w:val="18"/>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8"/>
        </w:trPr>
        <w:tc>
          <w:tcPr>
            <w:tcW w:w="6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 held in Trust Account:</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149,551,026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Cash equivalents – money market funds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149,552,952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March 31, 2021 and December 31, 2020, respectively.</w:t>
      </w:r>
    </w:p>
    <w:p>
      <w:pPr>
        <w:spacing w:after="0" w:line="128" w:lineRule="exact"/>
        <w:rPr>
          <w:sz w:val="20"/>
          <w:szCs w:val="20"/>
          <w:color w:val="auto"/>
        </w:rPr>
      </w:pPr>
    </w:p>
    <w:p>
      <w:pPr>
        <w:ind w:right="620" w:firstLine="318"/>
        <w:spacing w:after="0" w:line="365" w:lineRule="auto"/>
        <w:rPr>
          <w:sz w:val="20"/>
          <w:szCs w:val="20"/>
          <w:color w:val="auto"/>
        </w:rPr>
      </w:pPr>
      <w:r>
        <w:rPr>
          <w:rFonts w:ascii="Arial" w:cs="Arial" w:eastAsia="Arial" w:hAnsi="Arial"/>
          <w:sz w:val="15"/>
          <w:szCs w:val="15"/>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8—Subsequent Events</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date the unaudited condensed financial statements were available for issuance, require potential adjustment to or disclosure in the unaudited condensed financial statements and has concluded that all such events that would require recognition or disclosure have been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Nautilus Biotechnology, Inc.</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and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2" w:name="page193"/>
    <w:bookmarkEnd w:id="192"/>
    <w:p>
      <w:pPr>
        <w:spacing w:after="0" w:line="113" w:lineRule="exact"/>
        <w:rPr>
          <w:sz w:val="20"/>
          <w:szCs w:val="20"/>
          <w:color w:val="auto"/>
        </w:rPr>
      </w:pPr>
    </w:p>
    <w:p>
      <w:pPr>
        <w:ind w:right="336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have audited the accompanying balance sheets of Nautilus Biotechnology, Inc. (the “Company”) as of December 31, 2020 and 2019, and the related statements of operations, of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discussed in Note 2 to the financial statements, the Company changed the manner in which it accounts for leases in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w:t>
      </w:r>
    </w:p>
    <w:p>
      <w:pPr>
        <w:spacing w:after="0" w:line="135"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3" w:name="page194"/>
    <w:bookmarkEnd w:id="19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7"/>
              </w:rPr>
              <w:t>Series Seed redeemable convertible preferred stock - par value $0.0001, 3,631,354 shares authorized, issued and</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outstanding as of December 31, 2020 and 2019 (liquidation preference of $7,263 as of December 31, 2020</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2019)</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8"/>
              </w:rPr>
              <w:t>Series A redeemable convertible preferred stock - par value $0.0001, 4,640,604 and 4,640,608 shares authorized</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88"/>
              </w:rPr>
              <w:t>as of December 31, 2020 and 2019, respectively, 4,640,604 shares issued and outstanding as of December 31,</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2020 and 2019 (liquidation preference of $27,200 as of December 31, 2020 and 2019)</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Series B redeemable convertible preferred stock - par value $0.0001, 6,209,233 and 0 shares authorized as of</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87"/>
              </w:rPr>
              <w:t>December 31, 2020 and 2019, respectively, 6,109,232 and 0 shares issued and outstanding as of December 31,</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2020 and 2019, respectively (liquidation preference of $76,060 and $0 as of December 31, 2020 and 2019,</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9"/>
              </w:rPr>
              <w:t>Common stock, $0.0001 par value, 27,196,999 and 19,189,462 shares authorized as of December 31, 2020 and</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2"/>
              </w:rPr>
              <w:t>2019, respectively; 9,114,904 and 9,077,062 shares issued and outstanding as of December 31, 2020 and</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2019, respectively</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deficit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94" w:name="page195"/>
    <w:bookmarkEnd w:id="19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198"/>
        </w:trPr>
        <w:tc>
          <w:tcPr>
            <w:tcW w:w="8020" w:type="dxa"/>
            <w:vAlign w:val="bottom"/>
          </w:tcPr>
          <w:p>
            <w:pPr>
              <w:ind w:left="180"/>
              <w:spacing w:after="0" w:line="198"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5" w:name="page196"/>
    <w:bookmarkEnd w:id="19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96" w:name="page197"/>
    <w:bookmarkEnd w:id="19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Redeemable Convertible Preferred Stock and Stockholders’ Deficit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rPr>
              <w:t>Redeemable Convertible Preferred Stock</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20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75"/>
        </w:trPr>
        <w:tc>
          <w:tcPr>
            <w:tcW w:w="2020" w:type="dxa"/>
            <w:vAlign w:val="bottom"/>
          </w:tcPr>
          <w:p>
            <w:pPr>
              <w:spacing w:after="0"/>
              <w:rPr>
                <w:sz w:val="6"/>
                <w:szCs w:val="6"/>
                <w:color w:val="auto"/>
              </w:rPr>
            </w:pPr>
          </w:p>
        </w:tc>
        <w:tc>
          <w:tcPr>
            <w:tcW w:w="1340" w:type="dxa"/>
            <w:vAlign w:val="bottom"/>
            <w:gridSpan w:val="4"/>
            <w:vMerge w:val="restart"/>
          </w:tcPr>
          <w:p>
            <w:pPr>
              <w:jc w:val="right"/>
              <w:ind w:right="310"/>
              <w:spacing w:after="0"/>
              <w:rPr>
                <w:sz w:val="20"/>
                <w:szCs w:val="20"/>
                <w:color w:val="auto"/>
              </w:rPr>
            </w:pPr>
            <w:r>
              <w:rPr>
                <w:rFonts w:ascii="Arial" w:cs="Arial" w:eastAsia="Arial" w:hAnsi="Arial"/>
                <w:sz w:val="12"/>
                <w:szCs w:val="12"/>
                <w:b w:val="1"/>
                <w:bCs w:val="1"/>
                <w:color w:val="auto"/>
              </w:rPr>
              <w:t>Series Seed</w:t>
            </w:r>
          </w:p>
        </w:tc>
        <w:tc>
          <w:tcPr>
            <w:tcW w:w="80" w:type="dxa"/>
            <w:vAlign w:val="bottom"/>
            <w:vMerge w:val="restart"/>
          </w:tcPr>
          <w:p>
            <w:pPr>
              <w:spacing w:after="0"/>
              <w:rPr>
                <w:sz w:val="6"/>
                <w:szCs w:val="6"/>
                <w:color w:val="auto"/>
              </w:rPr>
            </w:pPr>
          </w:p>
        </w:tc>
        <w:tc>
          <w:tcPr>
            <w:tcW w:w="1340" w:type="dxa"/>
            <w:vAlign w:val="bottom"/>
            <w:gridSpan w:val="3"/>
            <w:vMerge w:val="restart"/>
          </w:tcPr>
          <w:p>
            <w:pPr>
              <w:jc w:val="right"/>
              <w:ind w:right="370"/>
              <w:spacing w:after="0"/>
              <w:rPr>
                <w:sz w:val="20"/>
                <w:szCs w:val="20"/>
                <w:color w:val="auto"/>
              </w:rPr>
            </w:pPr>
            <w:r>
              <w:rPr>
                <w:rFonts w:ascii="Arial" w:cs="Arial" w:eastAsia="Arial" w:hAnsi="Arial"/>
                <w:sz w:val="12"/>
                <w:szCs w:val="12"/>
                <w:b w:val="1"/>
                <w:bCs w:val="1"/>
                <w:color w:val="auto"/>
              </w:rPr>
              <w:t>Series A</w:t>
            </w:r>
          </w:p>
        </w:tc>
        <w:tc>
          <w:tcPr>
            <w:tcW w:w="80" w:type="dxa"/>
            <w:vAlign w:val="bottom"/>
            <w:vMerge w:val="restart"/>
          </w:tcPr>
          <w:p>
            <w:pPr>
              <w:spacing w:after="0"/>
              <w:rPr>
                <w:sz w:val="6"/>
                <w:szCs w:val="6"/>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80"/>
              <w:spacing w:after="0" w:line="120" w:lineRule="exact"/>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6"/>
                <w:szCs w:val="6"/>
                <w:color w:val="auto"/>
              </w:rPr>
            </w:pPr>
          </w:p>
        </w:tc>
        <w:tc>
          <w:tcPr>
            <w:tcW w:w="920" w:type="dxa"/>
            <w:vAlign w:val="bottom"/>
            <w:gridSpan w:val="2"/>
            <w:vMerge w:val="restart"/>
          </w:tcPr>
          <w:p>
            <w:pPr>
              <w:jc w:val="center"/>
              <w:ind w:right="160"/>
              <w:spacing w:after="0" w:line="120" w:lineRule="exact"/>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2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3"/>
        </w:trPr>
        <w:tc>
          <w:tcPr>
            <w:tcW w:w="202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w w:val="98"/>
              </w:rPr>
              <w:t>(in thousands, except share amounts)</w:t>
            </w: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11"/>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Balances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9,000,000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33"/>
        </w:trPr>
        <w:tc>
          <w:tcPr>
            <w:tcW w:w="2020" w:type="dxa"/>
            <w:vAlign w:val="bottom"/>
          </w:tcPr>
          <w:p>
            <w:pPr>
              <w:ind w:left="20"/>
              <w:spacing w:after="0" w:line="133" w:lineRule="exact"/>
              <w:rPr>
                <w:sz w:val="20"/>
                <w:szCs w:val="20"/>
                <w:color w:val="auto"/>
              </w:rPr>
            </w:pPr>
            <w:r>
              <w:rPr>
                <w:rFonts w:ascii="Arial" w:cs="Arial" w:eastAsia="Arial" w:hAnsi="Arial"/>
                <w:sz w:val="14"/>
                <w:szCs w:val="14"/>
                <w:color w:val="auto"/>
                <w:w w:val="98"/>
              </w:rPr>
              <w:t>Issuance of common stock upon</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77,062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w w:val="91"/>
              </w:rPr>
              <w:t>exercise of vested stock options</w:t>
            </w: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Arial" w:cs="Arial" w:eastAsia="Arial" w:hAnsi="Arial"/>
                <w:sz w:val="14"/>
                <w:szCs w:val="14"/>
                <w:color w:val="auto"/>
                <w:w w:val="98"/>
              </w:rPr>
              <w:t>Balances at December 31, 2019</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9,077,062</w:t>
            </w:r>
          </w:p>
        </w:tc>
        <w:tc>
          <w:tcPr>
            <w:tcW w:w="80" w:type="dxa"/>
            <w:vAlign w:val="bottom"/>
          </w:tcPr>
          <w:p>
            <w:pPr>
              <w:spacing w:after="0"/>
              <w:rPr>
                <w:sz w:val="17"/>
                <w:szCs w:val="17"/>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(14,706)</w:t>
            </w:r>
          </w:p>
        </w:tc>
        <w:tc>
          <w:tcPr>
            <w:tcW w:w="8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8"/>
              </w:rPr>
              <w:t>Issuance of common stock upon</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37,842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1"/>
              </w:rPr>
              <w:t>exercise of vested stock options</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20"/>
              <w:spacing w:after="0" w:line="133" w:lineRule="exact"/>
              <w:rPr>
                <w:sz w:val="20"/>
                <w:szCs w:val="20"/>
                <w:color w:val="auto"/>
              </w:rPr>
            </w:pPr>
            <w:r>
              <w:rPr>
                <w:rFonts w:ascii="Arial" w:cs="Arial" w:eastAsia="Arial" w:hAnsi="Arial"/>
                <w:sz w:val="14"/>
                <w:szCs w:val="14"/>
                <w:color w:val="auto"/>
                <w:w w:val="95"/>
              </w:rPr>
              <w:t>Issuance of Series B redeemable</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8"/>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5"/>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251"/>
        </w:trPr>
        <w:tc>
          <w:tcPr>
            <w:tcW w:w="2020" w:type="dxa"/>
            <w:vAlign w:val="bottom"/>
          </w:tcPr>
          <w:p>
            <w:pPr>
              <w:ind w:left="20"/>
              <w:spacing w:after="0"/>
              <w:rPr>
                <w:sz w:val="20"/>
                <w:szCs w:val="20"/>
                <w:color w:val="auto"/>
              </w:rPr>
            </w:pPr>
            <w:r>
              <w:rPr>
                <w:rFonts w:ascii="Arial" w:cs="Arial" w:eastAsia="Arial" w:hAnsi="Arial"/>
                <w:sz w:val="14"/>
                <w:szCs w:val="14"/>
                <w:color w:val="auto"/>
                <w:w w:val="98"/>
              </w:rPr>
              <w:t>Balances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75,857</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7" w:name="page198"/>
    <w:bookmarkEnd w:id="19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4"/>
        </w:trPr>
        <w:tc>
          <w:tcPr>
            <w:tcW w:w="80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premiums and gain on investments,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30,350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other cash flow information: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98" w:name="page199"/>
    <w:bookmarkEnd w:id="19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hanging="634"/>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financial statements and accompanying notes were prepared in accordance with accounting principles generally accepted in the United States of America (“U.S. GAAP”). The Company’s reporting currency is the U.S. dollar.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Company’s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2020, the Company had an accumulated deficit of $30.3 million.</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Company has funded its operations primarily with proceeds from the issuance of redeemable convertible preferred stock and common stock. The Company had cash, cash equivalents, and short-term investments of $76.7 million as of December 31, 2020. As of the date on which these financial statements were available to be issued, the Company believes that its cash, cash equivalents, and short-term investments will be sufficient to fund its operations for the next twelve months following the issuance of the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9" w:name="page200"/>
    <w:bookmarkEnd w:id="19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98" w:lineRule="exact"/>
        <w:rPr>
          <w:sz w:val="20"/>
          <w:szCs w:val="20"/>
          <w:color w:val="auto"/>
        </w:rPr>
      </w:pPr>
    </w:p>
    <w:p>
      <w:pPr>
        <w:jc w:val="both"/>
        <w:ind w:right="8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78" w:lineRule="exact"/>
        <w:rPr>
          <w:sz w:val="20"/>
          <w:szCs w:val="20"/>
          <w:color w:val="auto"/>
        </w:rPr>
      </w:pPr>
    </w:p>
    <w:p>
      <w:pPr>
        <w:ind w:left="640" w:hanging="634"/>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preparation of the financial statements in conformity with U.S. GAAP requires management to make estimates and assumptions that affect the reported amounts of assets and liabilities and disclosures of contingent assets and liabilities as of the date of the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199"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and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Company’s short-term investments consist of debt securities and are classified as available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statement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statement of operations and statement of comprehensive loss. No such adjustments were necessary during the periods presented.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planned offering of securities does not occur or is significantly delayed, all of the costs are expensed. Offering costs capitalized as of December 31, 2020 was $0.2 million and is included within Other long term assets on the Company's balance sheet. No offering costs were capitalized as of December 31, 2019.</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lives of three to five years. Leasehold improvements are amortized over the shorter of the remaining term of the applicable lease or the useful life of the asset.</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1" w:name="page202"/>
    <w:bookmarkEnd w:id="201"/>
    <w:p>
      <w:pPr>
        <w:spacing w:after="0" w:line="119"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during the years ended December 31, 2020 and 2019.</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balance sheet.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1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64"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28"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Company has not declared nor paid any dividends during the years ended December 31, 2020 and 2019 and does not currently expect to do so in the future. The risk-free interest rate used in the model is based on the implied yield currently available in the U.S. Treasury securities at maturity with an equivalent term.</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Company holds financial instruments that are measured at fair value which is determined according to a fair value hierarchy that prioritizes the inputs and assumptions used, and the valuation techniques used to measure fair value. The three levels of the fair value hierarchy are described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unadjusted quoted prices in active markets for identical assets or liabilities.</w:t>
      </w:r>
    </w:p>
    <w:p>
      <w:pPr>
        <w:spacing w:after="0" w:line="164" w:lineRule="exact"/>
        <w:rPr>
          <w:sz w:val="20"/>
          <w:szCs w:val="20"/>
          <w:color w:val="auto"/>
        </w:rPr>
      </w:pPr>
    </w:p>
    <w:p>
      <w:pPr>
        <w:ind w:left="640" w:right="100" w:hanging="635"/>
        <w:spacing w:after="0" w:line="294" w:lineRule="auto"/>
        <w:rPr>
          <w:sz w:val="20"/>
          <w:szCs w:val="20"/>
          <w:color w:val="auto"/>
        </w:rPr>
      </w:pPr>
      <w:r>
        <w:rPr>
          <w:rFonts w:ascii="Arial" w:cs="Arial" w:eastAsia="Arial" w:hAnsi="Arial"/>
          <w:sz w:val="17"/>
          <w:szCs w:val="17"/>
          <w:color w:val="auto"/>
        </w:rPr>
        <w:t>Level 2 Inputs are quoted prices for similar assets and liabilities in active markets or quoted prices for identical or similar instruments in markets that are not active and model- derived valuations in which all significant inputs and significant value drivers are observable in active markets.</w:t>
      </w:r>
    </w:p>
    <w:p>
      <w:pPr>
        <w:spacing w:after="0" w:line="104" w:lineRule="exact"/>
        <w:rPr>
          <w:sz w:val="20"/>
          <w:szCs w:val="20"/>
          <w:color w:val="auto"/>
        </w:rPr>
      </w:pPr>
    </w:p>
    <w:p>
      <w:pPr>
        <w:ind w:left="640" w:right="40" w:hanging="635"/>
        <w:spacing w:after="0" w:line="264" w:lineRule="auto"/>
        <w:rPr>
          <w:sz w:val="20"/>
          <w:szCs w:val="20"/>
          <w:color w:val="auto"/>
        </w:rPr>
      </w:pPr>
      <w:r>
        <w:rPr>
          <w:rFonts w:ascii="Arial" w:cs="Arial" w:eastAsia="Arial" w:hAnsi="Arial"/>
          <w:sz w:val="18"/>
          <w:szCs w:val="18"/>
          <w:color w:val="auto"/>
        </w:rPr>
        <w:t>Level 3 Inputs are unobservable inputs based on the Company’s assumptions and valuation techniques used to measure assets and liabilities at fair value. The inputs require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119"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fair value assets and liabilities and their placement within the fair value hierarchy levels.</w:t>
      </w:r>
    </w:p>
    <w:p>
      <w:pPr>
        <w:spacing w:after="0" w:line="128" w:lineRule="exact"/>
        <w:rPr>
          <w:sz w:val="20"/>
          <w:szCs w:val="20"/>
          <w:color w:val="auto"/>
        </w:rPr>
      </w:pPr>
    </w:p>
    <w:p>
      <w:pPr>
        <w:jc w:val="both"/>
        <w:ind w:right="60" w:firstLine="318"/>
        <w:spacing w:after="0" w:line="365" w:lineRule="auto"/>
        <w:rPr>
          <w:sz w:val="20"/>
          <w:szCs w:val="20"/>
          <w:color w:val="auto"/>
        </w:rPr>
      </w:pPr>
      <w:r>
        <w:rPr>
          <w:rFonts w:ascii="Arial" w:cs="Arial" w:eastAsia="Arial" w:hAnsi="Arial"/>
          <w:sz w:val="15"/>
          <w:szCs w:val="15"/>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5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recorded amounts of certain financial instruments, including cash and cash equivalents, prepaid expenses and other assets accounts, accounts payable, and accrued expenses and other liabilities approximate fair value due to their relatively short maturities.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Comprehensive loss consists of net loss and other gains or losses affecting stockholders’ deficit that, under U.S. GAAP are excluded from net loss. For the years ended December 31, 2020 and 2019, unrealized gains and losses on debt securities were included as components of comprehensive loss.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64"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The Company adopted ASU 2016-02, Leases (Topic 842), and the related amendments ("ASC 842") on January 1, 2020. ASU 2016-02 supersedes ASC Topic 840, Leases, and is intended to increase transparency and comparability among entities by requiring the recognition of right-of-use ("ROU") assets and lease liabilities by lessees for those leases classified as operating leases. The Company adopted the new standard using a modified retrospective transition approach by applying the new standard to all leases existing as of the date of initial application of January 1, 2020. The Company elected the package of practical expedients including (1) to not reassess whether any expired or existing contract are or contain leases; (2) to maintain existing lease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expired or existing leases; and (3) to not reassess whether previously capitalized initial direct costs qualify for capitalization under Topic ASC 842. Upon adoption, the Company recognized a right-of-use asset and lease liability on the Company's balance sheet of $6.5 million and $6.4 million, respectively. There was no material impact on the Company's statements of operations.</w:t>
      </w:r>
    </w:p>
    <w:p>
      <w:pPr>
        <w:spacing w:after="0" w:line="135" w:lineRule="exact"/>
        <w:rPr>
          <w:sz w:val="20"/>
          <w:szCs w:val="20"/>
          <w:color w:val="auto"/>
        </w:rPr>
      </w:pPr>
    </w:p>
    <w:p>
      <w:pPr>
        <w:jc w:val="both"/>
        <w:ind w:right="120" w:firstLine="318"/>
        <w:spacing w:after="0" w:line="312"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Changes to the Disclosure Requirements</w:t>
      </w:r>
      <w:r>
        <w:rPr>
          <w:rFonts w:ascii="Arial" w:cs="Arial" w:eastAsia="Arial" w:hAnsi="Arial"/>
          <w:sz w:val="15"/>
          <w:szCs w:val="15"/>
          <w:color w:val="auto"/>
        </w:rPr>
        <w:t xml:space="preserve"> </w:t>
      </w:r>
      <w:r>
        <w:rPr>
          <w:rFonts w:ascii="Arial" w:cs="Arial" w:eastAsia="Arial" w:hAnsi="Arial"/>
          <w:sz w:val="15"/>
          <w:szCs w:val="15"/>
          <w:i w:val="1"/>
          <w:iCs w:val="1"/>
          <w:color w:val="auto"/>
        </w:rPr>
        <w:t>for Fair Value Measurement</w:t>
      </w:r>
      <w:r>
        <w:rPr>
          <w:rFonts w:ascii="Arial" w:cs="Arial" w:eastAsia="Arial" w:hAnsi="Arial"/>
          <w:sz w:val="15"/>
          <w:szCs w:val="15"/>
          <w:color w:val="auto"/>
        </w:rPr>
        <w:t>. This ASU amends the disclosure requirement in ASC 820, Fair Value Measurement, by adding, changing, or removing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disclosures. It applies to all entities that are required under this guidance to provide disclosure about recurring or nonrecurring fair value measurements. This ASU is effective for all entities for fiscal years beginning after December 15, 2019, and interim periods within those fiscal years. Early adoption is permitted. The adoption of ASU 2018-13 did not have a material impact on the Company’s financial statements.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 June 2016, the FASB issued ASU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01"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is in the process of evaluating the impact of the adoption of this ASU on its financial statements and related disclosures and does not anticipate adoption to have a material impact on its financial statements.</w:t>
      </w:r>
    </w:p>
    <w:p>
      <w:pPr>
        <w:spacing w:after="0" w:line="128"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3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related disclosures and does not anticipate adoption to have a material impact on its financial statements.</w:t>
      </w:r>
    </w:p>
    <w:p>
      <w:pPr>
        <w:spacing w:after="0" w:line="158" w:lineRule="exact"/>
        <w:rPr>
          <w:sz w:val="20"/>
          <w:szCs w:val="20"/>
          <w:color w:val="auto"/>
        </w:rPr>
      </w:pPr>
    </w:p>
    <w:p>
      <w:pPr>
        <w:ind w:left="640" w:hanging="634"/>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48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rPr>
              <w:t>Reported as:</w:t>
            </w: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4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Borders>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Reported as:</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16,278</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16,285</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contractual maturities at the date of purchase are due in one year or less.</w:t>
      </w:r>
    </w:p>
    <w:p>
      <w:pPr>
        <w:spacing w:after="0" w:line="158" w:lineRule="exact"/>
        <w:rPr>
          <w:sz w:val="20"/>
          <w:szCs w:val="20"/>
          <w:color w:val="auto"/>
        </w:rPr>
      </w:pPr>
    </w:p>
    <w:p>
      <w:pPr>
        <w:ind w:right="6400" w:firstLine="6"/>
        <w:spacing w:after="0" w:line="433" w:lineRule="auto"/>
        <w:tabs>
          <w:tab w:leader="none" w:pos="636"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December 31, 2019</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9"/>
        </w:trPr>
        <w:tc>
          <w:tcPr>
            <w:tcW w:w="8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Company recorded $0.7 million and $0.5 million of depreciation expense for the year ended December 31, 2020 and 2019,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Arial" w:cs="Arial" w:eastAsia="Arial" w:hAnsi="Arial"/>
                <w:sz w:val="18"/>
                <w:szCs w:val="18"/>
                <w:color w:val="auto"/>
                <w:w w:val="85"/>
              </w:rPr>
              <w:t>Deposits</w:t>
            </w:r>
          </w:p>
        </w:tc>
        <w:tc>
          <w:tcPr>
            <w:tcW w:w="3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40" w:type="dxa"/>
            <w:vAlign w:val="bottom"/>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3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940" w:type="dxa"/>
            <w:vAlign w:val="bottom"/>
            <w:gridSpan w:val="5"/>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Use tax</w:t>
            </w:r>
          </w:p>
        </w:tc>
        <w:tc>
          <w:tcPr>
            <w:tcW w:w="3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Deferred rent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640" w:type="dxa"/>
            <w:vAlign w:val="bottom"/>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3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940" w:type="dxa"/>
            <w:vAlign w:val="bottom"/>
            <w:gridSpan w:val="5"/>
          </w:tcPr>
          <w:p>
            <w:pPr>
              <w:ind w:left="32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3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40" w:type="dxa"/>
            <w:vAlign w:val="bottom"/>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Original Issue Price</w:t>
            </w:r>
          </w:p>
        </w:tc>
        <w:tc>
          <w:tcPr>
            <w:tcW w:w="20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69"/>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8"/>
              </w:rPr>
              <w:t>Preference</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Arial" w:cs="Arial" w:eastAsia="Arial" w:hAnsi="Arial"/>
                <w:sz w:val="18"/>
                <w:szCs w:val="18"/>
                <w:color w:val="auto"/>
                <w:w w:val="88"/>
              </w:rPr>
              <w:t>Series A</w:t>
            </w: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4,640,604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4,640,604</w:t>
            </w:r>
          </w:p>
        </w:tc>
        <w:tc>
          <w:tcPr>
            <w:tcW w:w="34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5"/>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Series B</w:t>
            </w:r>
          </w:p>
        </w:tc>
        <w:tc>
          <w:tcPr>
            <w:tcW w:w="36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6,109,232</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14,481,191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110,523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5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45"/>
        </w:trPr>
        <w:tc>
          <w:tcPr>
            <w:tcW w:w="4320" w:type="dxa"/>
            <w:vAlign w:val="bottom"/>
          </w:tcPr>
          <w:p>
            <w:pPr>
              <w:spacing w:after="0"/>
              <w:rPr>
                <w:sz w:val="21"/>
                <w:szCs w:val="21"/>
                <w:color w:val="auto"/>
              </w:rPr>
            </w:pPr>
          </w:p>
        </w:tc>
        <w:tc>
          <w:tcPr>
            <w:tcW w:w="16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Original Issue Price</w:t>
            </w:r>
          </w:p>
        </w:tc>
        <w:tc>
          <w:tcPr>
            <w:tcW w:w="20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97"/>
        </w:trPr>
        <w:tc>
          <w:tcPr>
            <w:tcW w:w="4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Carrying Value</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r>
      <w:tr>
        <w:trPr>
          <w:trHeight w:val="22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A</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4,640,604</w:t>
            </w:r>
          </w:p>
        </w:tc>
        <w:tc>
          <w:tcPr>
            <w:tcW w:w="34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27,067</w:t>
            </w: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Seed Redeemable Convertible Preferred Stock</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64"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135"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 convertible preferred stock, Series A redeemable convertible preferred stock and Series B redeemable convertible preferred stock. As of December 31, 2020 and 2019, no dividends have been declared or paid by the Company.</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Conversion</w:t>
      </w:r>
    </w:p>
    <w:p>
      <w:pPr>
        <w:spacing w:after="0" w:line="16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December 31, 2020, each series of the Company’s redeemable convertible preferred stock was convertible into the Company’s shares of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19"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 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Liquidation Event</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 (i) 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26"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138" w:lineRule="exact"/>
        <w:rPr>
          <w:sz w:val="20"/>
          <w:szCs w:val="20"/>
          <w:color w:val="auto"/>
        </w:rPr>
      </w:pPr>
    </w:p>
    <w:p>
      <w:pPr>
        <w:jc w:val="both"/>
        <w:ind w:right="240" w:firstLine="318"/>
        <w:spacing w:after="0" w:line="330" w:lineRule="auto"/>
        <w:rPr>
          <w:sz w:val="20"/>
          <w:szCs w:val="20"/>
          <w:color w:val="auto"/>
        </w:rPr>
      </w:pPr>
      <w:r>
        <w:rPr>
          <w:rFonts w:ascii="Arial" w:cs="Arial" w:eastAsia="Arial" w:hAnsi="Arial"/>
          <w:sz w:val="15"/>
          <w:szCs w:val="15"/>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balance sheet.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129" w:lineRule="exact"/>
        <w:rPr>
          <w:sz w:val="20"/>
          <w:szCs w:val="20"/>
          <w:color w:val="auto"/>
        </w:rPr>
      </w:pPr>
    </w:p>
    <w:p>
      <w:pPr>
        <w:ind w:left="640" w:hanging="634"/>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December 31, 2020.</w:t>
      </w:r>
    </w:p>
    <w:p>
      <w:pPr>
        <w:spacing w:after="0" w:line="12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1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jc w:val="both"/>
        <w:ind w:right="400" w:firstLine="318"/>
        <w:spacing w:after="0" w:line="255" w:lineRule="auto"/>
        <w:rPr>
          <w:sz w:val="20"/>
          <w:szCs w:val="20"/>
          <w:color w:val="auto"/>
        </w:rPr>
      </w:pPr>
      <w:r>
        <w:rPr>
          <w:rFonts w:ascii="Arial" w:cs="Arial" w:eastAsia="Arial" w:hAnsi="Arial"/>
          <w:sz w:val="18"/>
          <w:szCs w:val="18"/>
          <w:color w:val="auto"/>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in fiscal years 2020 and 2019.</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warrants as of December 31, 2020 and 2019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2020 and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920" w:type="dxa"/>
            <w:vAlign w:val="bottom"/>
            <w:gridSpan w:val="2"/>
          </w:tcPr>
          <w:p>
            <w:pPr>
              <w:ind w:left="32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560" w:type="dxa"/>
            <w:vAlign w:val="bottom"/>
          </w:tcPr>
          <w:p>
            <w:pPr>
              <w:jc w:val="right"/>
              <w:ind w:right="11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stock</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465,788</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9,212,396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Company is liable for income taxes in the United States. For the year ended December 31, 2020 and 2019, the Company did not have any income for income tax purposes and therefore, no tax liability or expense has been recorded in these financial statements. The difference between the tax at the statutory federal tax rate and no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provision recorded by the Company is primarily due to the Company’s full valuation allowance against its deferred tax assets.</w:t>
      </w:r>
    </w:p>
    <w:p>
      <w:pPr>
        <w:spacing w:after="0" w:line="164"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A reconciliation between the expected income tax provision at the federal statutory rate and the reported income tax provision is approximately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As of December 31, 2020, the Company had federal net operating loss carryforwards of $0.5 million that begin to expire in 2037 and federal net operating loss carryforwards of $13.1 million that arose after the 2017 tax year that will carryforward indefinitely. The Company has state net operating loss carryforwards of $7.7 million that will begin to expire in 2037.</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of December 31, 2020, the Company had research and development tax credit carryover of $0.8 million and $0.9 million for federal and state tax purposes, respectively. If not utilized, the federal carryforward will expire in various amounts beginning in 2039. The California credits can be carried forward indefinitely.</w:t>
      </w:r>
    </w:p>
    <w:p>
      <w:pPr>
        <w:spacing w:after="0" w:line="13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$4.5 million during the year ended December 31, 2020. Management reevaluates the positive and negative evidence at each reporting period.</w:t>
      </w:r>
    </w:p>
    <w:p>
      <w:pPr>
        <w:spacing w:after="0" w:line="141" w:lineRule="exact"/>
        <w:rPr>
          <w:sz w:val="20"/>
          <w:szCs w:val="20"/>
          <w:color w:val="auto"/>
        </w:rPr>
      </w:pPr>
    </w:p>
    <w:p>
      <w:pPr>
        <w:jc w:val="both"/>
        <w:ind w:right="240" w:firstLine="318"/>
        <w:spacing w:after="0" w:line="365" w:lineRule="auto"/>
        <w:rPr>
          <w:sz w:val="20"/>
          <w:szCs w:val="20"/>
          <w:color w:val="auto"/>
        </w:rPr>
      </w:pPr>
      <w:r>
        <w:rPr>
          <w:rFonts w:ascii="Arial" w:cs="Arial" w:eastAsia="Arial" w:hAnsi="Arial"/>
          <w:sz w:val="15"/>
          <w:szCs w:val="15"/>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As of December 31, 2020, the Company had an unrecognized tax benefit balance of $0.4 million related to research and development credits and California net operating loss carryforward. No amount of unrecognized tax benefits as of December 31, 2020, if recognized, would reduce the Company’s effective tax rate because the benefits would be in the form of tax credit carryforwards, which would attract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and actually used, the statutes are still open on calendars years ending 2017 forward for federal and state purposes.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the beginning and ending amount of the liability for uncertain tax positions, excluding potential interest and penalties,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December 31, 2020</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for prior year tax positions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9"/>
        </w:trPr>
        <w:tc>
          <w:tcPr>
            <w:tcW w:w="9680" w:type="dxa"/>
            <w:vAlign w:val="bottom"/>
          </w:tcPr>
          <w:p>
            <w:pPr>
              <w:ind w:left="240"/>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93"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December 31, 2020, 647,637 options were available for grant under the 2017 Equity Incentive Plan.</w:t>
      </w:r>
    </w:p>
    <w:p>
      <w:pPr>
        <w:spacing w:after="0" w:line="10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19"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tcPr>
          <w:p>
            <w:pPr>
              <w:jc w:val="right"/>
              <w:ind w:right="517"/>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73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December 31, 2019</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5.7 - 6.1</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spacing w:after="0"/>
              <w:rPr>
                <w:sz w:val="20"/>
                <w:szCs w:val="20"/>
                <w:color w:val="auto"/>
              </w:rPr>
            </w:pPr>
            <w:r>
              <w:rPr>
                <w:rFonts w:ascii="Arial" w:cs="Arial" w:eastAsia="Arial" w:hAnsi="Arial"/>
                <w:sz w:val="18"/>
                <w:szCs w:val="18"/>
                <w:color w:val="auto"/>
              </w:rPr>
              <w:t>91.0% - 96.5%</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86.7% - 101.1%</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00" w:type="dxa"/>
            <w:vAlign w:val="bottom"/>
          </w:tcPr>
          <w:p>
            <w:pPr>
              <w:jc w:val="right"/>
              <w:spacing w:after="0"/>
              <w:rPr>
                <w:sz w:val="20"/>
                <w:szCs w:val="20"/>
                <w:color w:val="auto"/>
              </w:rPr>
            </w:pPr>
            <w:r>
              <w:rPr>
                <w:rFonts w:ascii="Arial" w:cs="Arial" w:eastAsia="Arial" w:hAnsi="Arial"/>
                <w:sz w:val="18"/>
                <w:szCs w:val="18"/>
                <w:color w:val="auto"/>
              </w:rPr>
              <w:t>0.3% - 1.4%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 - 2.6%</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 $16.21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 $1.66</w:t>
            </w:r>
          </w:p>
        </w:tc>
      </w:tr>
    </w:tbl>
    <w:p>
      <w:pPr>
        <w:spacing w:after="0" w:line="20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8"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5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200" w:firstLine="318"/>
        <w:spacing w:after="0" w:line="265"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for the year ended December 31, 2020 and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354,212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295,500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457,150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1,018,950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1,418,267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34,562,932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Arial" w:cs="Arial" w:eastAsia="Arial" w:hAnsi="Arial"/>
                <w:sz w:val="18"/>
                <w:szCs w:val="18"/>
                <w:color w:val="auto"/>
                <w:w w:val="93"/>
              </w:rPr>
              <w:t>Options vested and expected to vest as of December 31, 2020</w:t>
            </w:r>
          </w:p>
        </w:tc>
        <w:tc>
          <w:tcPr>
            <w:tcW w:w="1580" w:type="dxa"/>
            <w:vAlign w:val="bottom"/>
            <w:tcBorders>
              <w:bottom w:val="single" w:sz="8" w:color="auto"/>
            </w:tcBorders>
          </w:tcPr>
          <w:p>
            <w:pPr>
              <w:jc w:val="right"/>
              <w:ind w:right="54"/>
              <w:spacing w:after="0" w:line="198" w:lineRule="exact"/>
              <w:rPr>
                <w:sz w:val="20"/>
                <w:szCs w:val="20"/>
                <w:color w:val="auto"/>
              </w:rPr>
            </w:pPr>
            <w:r>
              <w:rPr>
                <w:rFonts w:ascii="Arial" w:cs="Arial" w:eastAsia="Arial" w:hAnsi="Arial"/>
                <w:sz w:val="18"/>
                <w:szCs w:val="18"/>
                <w:color w:val="auto"/>
              </w:rPr>
              <w:t>1,418,267</w:t>
            </w:r>
          </w:p>
        </w:tc>
        <w:tc>
          <w:tcPr>
            <w:tcW w:w="26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8" w:lineRule="exact"/>
              <w:rPr>
                <w:sz w:val="20"/>
                <w:szCs w:val="20"/>
                <w:color w:val="auto"/>
              </w:rPr>
            </w:pPr>
            <w:r>
              <w:rPr>
                <w:rFonts w:ascii="Arial" w:cs="Arial" w:eastAsia="Arial" w:hAnsi="Arial"/>
                <w:sz w:val="18"/>
                <w:szCs w:val="18"/>
                <w:color w:val="auto"/>
              </w:rPr>
              <w:t>3.05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2020</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227,126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The total intrinsic value of options exercised during the year ended December 31, 2020 and 2019 was $0.1 million. Aggregate intrinsic value represents the difference between the fair market value of the common stock and the exercise price of outstanding, in-the-money options.</w:t>
      </w:r>
    </w:p>
    <w:p>
      <w:pPr>
        <w:spacing w:after="0" w:line="10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weighted-average grant-date fair value of options granted during the years ended December 31, 2020 and December 31, 2019 was $8.30 and $1.23 per share, respectively.</w:t>
      </w:r>
    </w:p>
    <w:p>
      <w:pPr>
        <w:spacing w:after="0" w:line="128"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December 31, 2020, there was $8.4 million of total unrecognized compensation expense expected to be recognized over a weighted average-period of 3.9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January 2017, the Company granted 9.0 million shares of restricted common stock to founders for future services that vest over 4 years from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with respect to restricted stock for the year ended December 31, 2020 and 2019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Underlying 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sets forth the total stock-based compensation expense for the Company’s stock options included in the Company’s statement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balance sheet as of December 31, 2020 as the Company had not yet received the related goods or services. As of December 31, 2020, the Company had open purchase commitments for goods and services of $0.5 million, all of which are expected to be received by December 31, 2021.</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Company is obligated under certain non-cancelable operating leases for office space and laboratory space. This space includes three operating leases in Seattle, Washington, Menlo Park, California and San Carlos, California. The operating leases in Seattle, Washington and San Carlos, California will expire in April 2021 and September 2023, respectively. The operating lease in Menlo Park, California expired in February 2020.</w:t>
      </w:r>
    </w:p>
    <w:p>
      <w:pPr>
        <w:spacing w:after="0" w:line="84" w:lineRule="exact"/>
        <w:rPr>
          <w:sz w:val="20"/>
          <w:szCs w:val="20"/>
          <w:color w:val="auto"/>
        </w:rPr>
      </w:pPr>
    </w:p>
    <w:p>
      <w:pPr>
        <w:ind w:right="500" w:firstLine="318"/>
        <w:spacing w:after="0" w:line="330" w:lineRule="auto"/>
        <w:rPr>
          <w:sz w:val="20"/>
          <w:szCs w:val="20"/>
          <w:color w:val="auto"/>
        </w:rPr>
      </w:pPr>
      <w:r>
        <w:rPr>
          <w:rFonts w:ascii="Arial" w:cs="Arial" w:eastAsia="Arial" w:hAnsi="Arial"/>
          <w:sz w:val="15"/>
          <w:szCs w:val="15"/>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w:t>
      </w:r>
    </w:p>
    <w:p>
      <w:pPr>
        <w:spacing w:after="0" w:line="84"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For the year ended December 31, 2020, the Company incurred $2.1 million in fixed operating lease expense, $0.1 million in variable operating lease expense, and earned $0.1 million in sublease income offset against fixed and variable operating lease expenses, which are included in operating expenses in the statement of operations.</w:t>
      </w:r>
    </w:p>
    <w:p>
      <w:pPr>
        <w:spacing w:after="0" w:line="135"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For the year ended December 31, 2020, cash paid for amounts included in the measurement of lease liabilities included in cash flows used in operating activities was $2.0 million.</w:t>
      </w:r>
    </w:p>
    <w:p>
      <w:pPr>
        <w:spacing w:after="0" w:line="128"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As of December 31, 2020, the weighted-average remaining lease term and weighted-average discount rate for operating leases is 2.7 years and 8.0%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Company's future principal contractual obligations for operating lease commitments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As of December 31, 2019, prior to the adoption of the new lease accounting guidance, the Company’s future principal contractual obligations for operating lease commitments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conjunction with the San Carlos lease agreement, the Company issued a cash-collateralized letter of credit in lieu of security deposit of $0.6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cash amount is recorded as restricted cash under Other long-term assets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13" w:lineRule="exact"/>
        <w:rPr>
          <w:sz w:val="20"/>
          <w:szCs w:val="20"/>
          <w:color w:val="auto"/>
        </w:rPr>
      </w:pPr>
    </w:p>
    <w:p>
      <w:pPr>
        <w:ind w:left="640" w:hanging="634"/>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Year Ended December</w:t>
            </w: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31, 2019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8,271,958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15,973,988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10,788,014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hanging="614"/>
        <w:spacing w:after="0"/>
        <w:tabs>
          <w:tab w:leader="none" w:pos="6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evaluated subsequent events through March 26, 2021, the date on which the financial statements were available to be issued.</w:t>
      </w:r>
    </w:p>
    <w:p>
      <w:pPr>
        <w:spacing w:after="0" w:line="176" w:lineRule="exact"/>
        <w:rPr>
          <w:sz w:val="20"/>
          <w:szCs w:val="20"/>
          <w:color w:val="auto"/>
        </w:rPr>
      </w:pPr>
    </w:p>
    <w:p>
      <w:pPr>
        <w:jc w:val="both"/>
        <w:ind w:right="440" w:firstLine="318"/>
        <w:spacing w:after="0" w:line="330" w:lineRule="auto"/>
        <w:rPr>
          <w:sz w:val="20"/>
          <w:szCs w:val="20"/>
          <w:color w:val="auto"/>
        </w:rPr>
      </w:pPr>
      <w:r>
        <w:rPr>
          <w:rFonts w:ascii="Arial" w:cs="Arial" w:eastAsia="Arial" w:hAnsi="Arial"/>
          <w:sz w:val="15"/>
          <w:szCs w:val="15"/>
          <w:color w:val="auto"/>
        </w:rPr>
        <w:t>In January and February 2021, the Company granted a total of $0.6 million stock option awards to employees under the 2017 Equity Incentive Plan. Generally, the stock option awards will vest over four years from the date of grant 25% of the award vesting after the first year with subsequent monthly vesting over the remaining period. These stock options for the fiscal year 2021 have a weighted average exercise price of $35.62 per share.</w:t>
      </w:r>
    </w:p>
    <w:p>
      <w:pPr>
        <w:spacing w:after="0" w:line="8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awards issued under a new equity incentive plan to be adopted by New Nautilus. In addition, immediately after the completion of the Business Combination, certain investors have agreed to subscribe for the purchase an aggregate of $200 million of common stock of New Nautilus. The board of directors of both ARYA and the Company have approved the proposed transaction. Completion of the transaction, which is expected by the second quarter of 2021, is subject to approval of ARYA’s shareholders and the satisfaction or waiver of certain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Nautilus Biotechnology, Inc.</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 Condensed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March 31, 2021 and December 31, 2020 and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18" w:name="page219"/>
    <w:bookmarkEnd w:id="21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As of March 31, 2021 and December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0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51,803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43"/>
        </w:trPr>
        <w:tc>
          <w:tcPr>
            <w:tcW w:w="8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7"/>
              </w:rPr>
              <w:t>Series Seed redeemable convertible preferred stock - par value $0.0001, 3,631,354 shares authorized, issued and</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outstanding as of March 31, 2021 and December 31, 2020 (liquidation preference of $7,263 as of March 31,</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Series A redeemable convertible preferred stock - par value $0.0001, 4,640,604 shares authorized, issued and</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0"/>
              </w:rPr>
              <w:t>outstanding as of March 31, 2021 and December 31, 2020 (liquidation preference of $27,200 as of March 31,</w:t>
            </w:r>
          </w:p>
        </w:tc>
        <w:tc>
          <w:tcPr>
            <w:tcW w:w="3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2021 and December 31, 2020)</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Series B redeemable convertible preferred stock - par value $0.0001, 6,209,233 shares authorized as of March</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5"/>
              </w:rPr>
              <w:t>31, 2021 and December 31, 2020, 6,109,232 shares issued and outstanding as of March 31, 2021 and</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December 31, 2020, (liquidation preference of $76,070 as of March 31, 2021 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8"/>
              </w:rPr>
              <w:t>Common stock, $0.0001 par value, 27,196,999 shares authorized as of March 31, 2021 and December 31, 2020;</w:t>
            </w: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9,114,904 shares issued and outstanding as of March 31, 2021 and December 31, 2020</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stockholders’ deficit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9" w:name="page220"/>
    <w:bookmarkEnd w:id="21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line="204" w:lineRule="exact"/>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9,095,711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7,292,773</w:t>
            </w:r>
          </w:p>
        </w:tc>
        <w:tc>
          <w:tcPr>
            <w:tcW w:w="0" w:type="dxa"/>
            <w:vAlign w:val="bottom"/>
          </w:tcPr>
          <w:p>
            <w:pPr>
              <w:spacing w:after="0"/>
              <w:rPr>
                <w:sz w:val="1"/>
                <w:szCs w:val="1"/>
                <w:color w:val="auto"/>
              </w:rPr>
            </w:pPr>
          </w:p>
        </w:tc>
      </w:tr>
      <w:tr>
        <w:trPr>
          <w:trHeight w:val="198"/>
        </w:trPr>
        <w:tc>
          <w:tcPr>
            <w:tcW w:w="8020" w:type="dxa"/>
            <w:vAlign w:val="bottom"/>
          </w:tcPr>
          <w:p>
            <w:pPr>
              <w:ind w:left="180"/>
              <w:spacing w:after="0" w:line="198"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20" w:name="page221"/>
    <w:bookmarkEnd w:id="22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securities available-for-sale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8"/>
        </w:trPr>
        <w:tc>
          <w:tcPr>
            <w:tcW w:w="80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other comprehensive (loss) income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1" w:name="page222"/>
    <w:bookmarkEnd w:id="22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Redeemable Convertible Preferred Stock and Stockholders’ Deficit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w w:val="91"/>
              </w:rPr>
              <w:t>Three Months Ended March 31, 2021</w:t>
            </w:r>
          </w:p>
        </w:tc>
        <w:tc>
          <w:tcPr>
            <w:tcW w:w="8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8"/>
            <w:vMerge w:val="restart"/>
          </w:tcPr>
          <w:p>
            <w:pPr>
              <w:ind w:left="120"/>
              <w:spacing w:after="0"/>
              <w:rPr>
                <w:sz w:val="20"/>
                <w:szCs w:val="20"/>
                <w:color w:val="auto"/>
              </w:rPr>
            </w:pPr>
            <w:r>
              <w:rPr>
                <w:rFonts w:ascii="Arial" w:cs="Arial" w:eastAsia="Arial" w:hAnsi="Arial"/>
                <w:sz w:val="12"/>
                <w:szCs w:val="12"/>
                <w:b w:val="1"/>
                <w:bCs w:val="1"/>
                <w:color w:val="auto"/>
              </w:rPr>
              <w:t>Redeemable Convertible Preferred Stock</w:t>
            </w: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jc w:val="center"/>
              <w:ind w:right="9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8"/>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4"/>
            <w:vMerge w:val="restart"/>
          </w:tcPr>
          <w:p>
            <w:pPr>
              <w:jc w:val="right"/>
              <w:ind w:right="311"/>
              <w:spacing w:after="0"/>
              <w:rPr>
                <w:sz w:val="20"/>
                <w:szCs w:val="20"/>
                <w:color w:val="auto"/>
              </w:rPr>
            </w:pPr>
            <w:r>
              <w:rPr>
                <w:rFonts w:ascii="Arial" w:cs="Arial" w:eastAsia="Arial" w:hAnsi="Arial"/>
                <w:sz w:val="12"/>
                <w:szCs w:val="12"/>
                <w:b w:val="1"/>
                <w:bCs w:val="1"/>
                <w:color w:val="auto"/>
              </w:rPr>
              <w:t>Series Seed</w:t>
            </w:r>
          </w:p>
        </w:tc>
        <w:tc>
          <w:tcPr>
            <w:tcW w:w="80" w:type="dxa"/>
            <w:vAlign w:val="bottom"/>
            <w:vMerge w:val="restart"/>
          </w:tcPr>
          <w:p>
            <w:pPr>
              <w:spacing w:after="0"/>
              <w:rPr>
                <w:sz w:val="3"/>
                <w:szCs w:val="3"/>
                <w:color w:val="auto"/>
              </w:rPr>
            </w:pPr>
          </w:p>
        </w:tc>
        <w:tc>
          <w:tcPr>
            <w:tcW w:w="1340" w:type="dxa"/>
            <w:vAlign w:val="bottom"/>
            <w:gridSpan w:val="3"/>
            <w:vMerge w:val="restart"/>
          </w:tcPr>
          <w:p>
            <w:pPr>
              <w:jc w:val="right"/>
              <w:ind w:right="371"/>
              <w:spacing w:after="0"/>
              <w:rPr>
                <w:sz w:val="20"/>
                <w:szCs w:val="20"/>
                <w:color w:val="auto"/>
              </w:rPr>
            </w:pPr>
            <w:r>
              <w:rPr>
                <w:rFonts w:ascii="Arial" w:cs="Arial" w:eastAsia="Arial" w:hAnsi="Arial"/>
                <w:sz w:val="12"/>
                <w:szCs w:val="12"/>
                <w:b w:val="1"/>
                <w:bCs w:val="1"/>
                <w:color w:val="auto"/>
              </w:rPr>
              <w:t>Series A</w:t>
            </w:r>
          </w:p>
        </w:tc>
        <w:tc>
          <w:tcPr>
            <w:tcW w:w="80" w:type="dxa"/>
            <w:vAlign w:val="bottom"/>
            <w:vMerge w:val="restart"/>
          </w:tcPr>
          <w:p>
            <w:pPr>
              <w:spacing w:after="0"/>
              <w:rPr>
                <w:sz w:val="3"/>
                <w:szCs w:val="3"/>
                <w:color w:val="auto"/>
              </w:rPr>
            </w:pPr>
          </w:p>
        </w:tc>
        <w:tc>
          <w:tcPr>
            <w:tcW w:w="1360" w:type="dxa"/>
            <w:vAlign w:val="bottom"/>
            <w:gridSpan w:val="3"/>
            <w:vMerge w:val="restart"/>
          </w:tcPr>
          <w:p>
            <w:pPr>
              <w:jc w:val="right"/>
              <w:ind w:right="391"/>
              <w:spacing w:after="0"/>
              <w:rPr>
                <w:sz w:val="20"/>
                <w:szCs w:val="20"/>
                <w:color w:val="auto"/>
              </w:rPr>
            </w:pPr>
            <w:r>
              <w:rPr>
                <w:rFonts w:ascii="Arial" w:cs="Arial" w:eastAsia="Arial" w:hAnsi="Arial"/>
                <w:sz w:val="12"/>
                <w:szCs w:val="12"/>
                <w:b w:val="1"/>
                <w:bCs w:val="1"/>
                <w:color w:val="auto"/>
              </w:rPr>
              <w:t>Series B</w:t>
            </w:r>
          </w:p>
        </w:tc>
        <w:tc>
          <w:tcPr>
            <w:tcW w:w="100" w:type="dxa"/>
            <w:vAlign w:val="bottom"/>
            <w:tcBorders>
              <w:right w:val="single" w:sz="8" w:color="auto"/>
            </w:tcBorders>
            <w:vMerge w:val="restart"/>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restart"/>
          </w:tcPr>
          <w:p>
            <w:pPr>
              <w:jc w:val="center"/>
              <w:ind w:right="80"/>
              <w:spacing w:after="0" w:line="86"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3"/>
                <w:szCs w:val="3"/>
                <w:color w:val="auto"/>
              </w:rPr>
            </w:pPr>
          </w:p>
        </w:tc>
        <w:tc>
          <w:tcPr>
            <w:tcW w:w="900" w:type="dxa"/>
            <w:vAlign w:val="bottom"/>
            <w:gridSpan w:val="2"/>
            <w:vMerge w:val="restart"/>
          </w:tcPr>
          <w:p>
            <w:pPr>
              <w:jc w:val="center"/>
              <w:ind w:right="180"/>
              <w:spacing w:after="0" w:line="86" w:lineRule="exact"/>
              <w:rPr>
                <w:sz w:val="20"/>
                <w:szCs w:val="20"/>
                <w:color w:val="auto"/>
              </w:rPr>
            </w:pPr>
            <w:r>
              <w:rPr>
                <w:rFonts w:ascii="Arial" w:cs="Arial" w:eastAsia="Arial" w:hAnsi="Arial"/>
                <w:sz w:val="9"/>
                <w:szCs w:val="9"/>
                <w:b w:val="1"/>
                <w:bCs w:val="1"/>
                <w:color w:val="auto"/>
              </w:rPr>
              <w:t>Other</w:t>
            </w: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0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Arial" w:cs="Arial" w:eastAsia="Arial" w:hAnsi="Arial"/>
                <w:sz w:val="12"/>
                <w:szCs w:val="12"/>
                <w:i w:val="1"/>
                <w:iCs w:val="1"/>
                <w:color w:val="auto"/>
                <w:w w:val="98"/>
              </w:rPr>
              <w:t>(in thousands, except share amounts)</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8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Income</w:t>
            </w:r>
          </w:p>
        </w:tc>
        <w:tc>
          <w:tcPr>
            <w:tcW w:w="1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5"/>
                <w:szCs w:val="15"/>
                <w:color w:val="auto"/>
              </w:rPr>
            </w:pPr>
          </w:p>
        </w:tc>
        <w:tc>
          <w:tcPr>
            <w:tcW w:w="660" w:type="dxa"/>
            <w:vAlign w:val="bottom"/>
          </w:tcPr>
          <w:p>
            <w:pPr>
              <w:jc w:val="center"/>
              <w:ind w:right="92"/>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5"/>
              </w:rPr>
              <w:t>Balances at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00" w:type="dxa"/>
            <w:vAlign w:val="bottom"/>
            <w:gridSpan w:val="2"/>
          </w:tcPr>
          <w:p>
            <w:pPr>
              <w:spacing w:after="0" w:line="133"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(8,409)</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Balances at March 31, 2021</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w w:val="91"/>
              </w:rPr>
              <w:t>Three Months Ended March 31, 2020</w:t>
            </w:r>
          </w:p>
        </w:tc>
        <w:tc>
          <w:tcPr>
            <w:tcW w:w="10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8"/>
            <w:vMerge w:val="restart"/>
          </w:tcPr>
          <w:p>
            <w:pPr>
              <w:ind w:left="80"/>
              <w:spacing w:after="0"/>
              <w:rPr>
                <w:sz w:val="20"/>
                <w:szCs w:val="20"/>
                <w:color w:val="auto"/>
              </w:rPr>
            </w:pPr>
            <w:r>
              <w:rPr>
                <w:rFonts w:ascii="Arial" w:cs="Arial" w:eastAsia="Arial" w:hAnsi="Arial"/>
                <w:sz w:val="12"/>
                <w:szCs w:val="12"/>
                <w:b w:val="1"/>
                <w:bCs w:val="1"/>
                <w:color w:val="auto"/>
              </w:rPr>
              <w:t>Redeemable Convertible Preferred Stock</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center"/>
              <w:ind w:right="9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8"/>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4"/>
            <w:vMerge w:val="restart"/>
          </w:tcPr>
          <w:p>
            <w:pPr>
              <w:jc w:val="right"/>
              <w:ind w:right="291"/>
              <w:spacing w:after="0"/>
              <w:rPr>
                <w:sz w:val="20"/>
                <w:szCs w:val="20"/>
                <w:color w:val="auto"/>
              </w:rPr>
            </w:pPr>
            <w:r>
              <w:rPr>
                <w:rFonts w:ascii="Arial" w:cs="Arial" w:eastAsia="Arial" w:hAnsi="Arial"/>
                <w:sz w:val="12"/>
                <w:szCs w:val="12"/>
                <w:b w:val="1"/>
                <w:bCs w:val="1"/>
                <w:color w:val="auto"/>
              </w:rPr>
              <w:t>Series Seed</w:t>
            </w:r>
          </w:p>
        </w:tc>
        <w:tc>
          <w:tcPr>
            <w:tcW w:w="80" w:type="dxa"/>
            <w:vAlign w:val="bottom"/>
            <w:vMerge w:val="restart"/>
          </w:tcPr>
          <w:p>
            <w:pPr>
              <w:spacing w:after="0"/>
              <w:rPr>
                <w:sz w:val="3"/>
                <w:szCs w:val="3"/>
                <w:color w:val="auto"/>
              </w:rPr>
            </w:pPr>
          </w:p>
        </w:tc>
        <w:tc>
          <w:tcPr>
            <w:tcW w:w="1360" w:type="dxa"/>
            <w:vAlign w:val="bottom"/>
            <w:gridSpan w:val="3"/>
            <w:vMerge w:val="restart"/>
          </w:tcPr>
          <w:p>
            <w:pPr>
              <w:jc w:val="right"/>
              <w:ind w:right="391"/>
              <w:spacing w:after="0"/>
              <w:rPr>
                <w:sz w:val="20"/>
                <w:szCs w:val="20"/>
                <w:color w:val="auto"/>
              </w:rPr>
            </w:pPr>
            <w:r>
              <w:rPr>
                <w:rFonts w:ascii="Arial" w:cs="Arial" w:eastAsia="Arial" w:hAnsi="Arial"/>
                <w:sz w:val="12"/>
                <w:szCs w:val="12"/>
                <w:b w:val="1"/>
                <w:bCs w:val="1"/>
                <w:color w:val="auto"/>
              </w:rPr>
              <w:t>Series A</w:t>
            </w:r>
          </w:p>
        </w:tc>
        <w:tc>
          <w:tcPr>
            <w:tcW w:w="80" w:type="dxa"/>
            <w:vAlign w:val="bottom"/>
            <w:vMerge w:val="restart"/>
          </w:tcPr>
          <w:p>
            <w:pPr>
              <w:spacing w:after="0"/>
              <w:rPr>
                <w:sz w:val="3"/>
                <w:szCs w:val="3"/>
                <w:color w:val="auto"/>
              </w:rPr>
            </w:pPr>
          </w:p>
        </w:tc>
        <w:tc>
          <w:tcPr>
            <w:tcW w:w="980" w:type="dxa"/>
            <w:vAlign w:val="bottom"/>
            <w:gridSpan w:val="3"/>
            <w:vMerge w:val="restart"/>
          </w:tcPr>
          <w:p>
            <w:pPr>
              <w:ind w:left="440"/>
              <w:spacing w:after="0"/>
              <w:rPr>
                <w:sz w:val="20"/>
                <w:szCs w:val="20"/>
                <w:color w:val="auto"/>
              </w:rPr>
            </w:pPr>
            <w:r>
              <w:rPr>
                <w:rFonts w:ascii="Arial" w:cs="Arial" w:eastAsia="Arial" w:hAnsi="Arial"/>
                <w:sz w:val="12"/>
                <w:szCs w:val="12"/>
                <w:b w:val="1"/>
                <w:bCs w:val="1"/>
                <w:color w:val="auto"/>
              </w:rPr>
              <w:t>Series B</w:t>
            </w:r>
          </w:p>
        </w:tc>
        <w:tc>
          <w:tcPr>
            <w:tcW w:w="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restart"/>
          </w:tcPr>
          <w:p>
            <w:pPr>
              <w:jc w:val="center"/>
              <w:ind w:right="80"/>
              <w:spacing w:after="0" w:line="86"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3"/>
                <w:szCs w:val="3"/>
                <w:color w:val="auto"/>
              </w:rPr>
            </w:pPr>
          </w:p>
        </w:tc>
        <w:tc>
          <w:tcPr>
            <w:tcW w:w="900" w:type="dxa"/>
            <w:vAlign w:val="bottom"/>
            <w:gridSpan w:val="2"/>
            <w:vMerge w:val="restart"/>
          </w:tcPr>
          <w:p>
            <w:pPr>
              <w:jc w:val="center"/>
              <w:ind w:right="180"/>
              <w:spacing w:after="0" w:line="86" w:lineRule="exact"/>
              <w:rPr>
                <w:sz w:val="20"/>
                <w:szCs w:val="20"/>
                <w:color w:val="auto"/>
              </w:rPr>
            </w:pPr>
            <w:r>
              <w:rPr>
                <w:rFonts w:ascii="Arial" w:cs="Arial" w:eastAsia="Arial" w:hAnsi="Arial"/>
                <w:sz w:val="9"/>
                <w:szCs w:val="9"/>
                <w:b w:val="1"/>
                <w:bCs w:val="1"/>
                <w:color w:val="auto"/>
              </w:rPr>
              <w:t>Other</w:t>
            </w: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ind w:left="60"/>
              <w:spacing w:after="0" w:line="93"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i w:val="1"/>
                <w:iCs w:val="1"/>
                <w:color w:val="auto"/>
                <w:w w:val="99"/>
              </w:rPr>
              <w:t>(in thousands, except share amounts)</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w w:val="95"/>
              </w:rPr>
              <w:t>Income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6"/>
              </w:rPr>
              <w:t>Balances at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3,631,354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5,494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4,640,604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9,077,062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4"/>
                <w:szCs w:val="14"/>
                <w:color w:val="auto"/>
                <w:w w:val="88"/>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42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20" w:type="dxa"/>
            <w:vAlign w:val="bottom"/>
            <w:tcBorders>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Balances at March 31, 2020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3,631,354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5,494</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4,640,604</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9,077,062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22" w:name="page223"/>
    <w:bookmarkEnd w:id="22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premiums and gain on sale of investments,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w:t>
            </w: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of deferred offering costs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5,265</w:t>
            </w:r>
          </w:p>
        </w:tc>
      </w:tr>
      <w:tr>
        <w:trPr>
          <w:trHeight w:val="252"/>
        </w:trPr>
        <w:tc>
          <w:tcPr>
            <w:tcW w:w="8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 on non-cash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3" w:name="page224"/>
    <w:bookmarkEnd w:id="22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40" w:hanging="634"/>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comparable options to purchase shares of common stock of New Nautilus. In addition, immediately after the completion of the Business Combination, certain investors have agreed to subscribe for the purchase of an aggregate of $200 million of common stock of New Nautilus (“PIPE Investors”).</w:t>
      </w:r>
    </w:p>
    <w:p>
      <w:pPr>
        <w:spacing w:after="0" w:line="146"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On June 9, 2021 (the “Closing Date”), the Company consummated the Business Combination with ARYA. ARYA was renamed to Nautilus Biotechnology, Inc. and the Company became a wholly owned subsidiary of New Nautilus. In addition, concurrently with the Closing Date and pursuant to the subscription agreement, PIPE Investors purchased an aggregate of 20,000,000 shares of New Nautilus Common Stock at a price of $10.00 per share, for aggregate gross proceeds of $200 million and the Company received gross proceeds of approximately $145 million from the Business Combination.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The condensed financial statements and accompanying notes are unaudited and have been prepared in accordance with accounting principles generally accepted in the United States of America (“U.S. GAAP”) and regulations of the U.S. Securities and Exchange Commission for interim financial reporting. Certain information and footnote disclosures normally included in financial statements prepared in accordance with U.S. GAAP have been condensed or omitted pursuant to such rules and regulations. Accordingly, these condensed financial statements should be read in conjunction with the audited financial statements for the year ended December 31, 2020 and the related notes which provide a more complete discussion of the Company’s accounting policies and certain other information. The information as of December 31, 2020 included on the condensed balance sheets was derived from the Company’s audited financial statements. The condensed financial statements were prepared on the same basis as the audited financial statements and, in the opinion of management, reflect all adjustments, which include only normal recurring adjustments necessary for a fair statement of the Company’s financial position as of March 31, 2021 and the results of operations and cash flows for the three months ended March 31, 2021 and 2020. The results of operations for the three months ended March 31, 2021 are not necessarily indicative of the results that may be expected for the year ending December 31, 2021. The Company’s reporting currency is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24" w:name="page225"/>
    <w:bookmarkEnd w:id="22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Revision to previously issued financial statements</w:t>
      </w:r>
    </w:p>
    <w:p>
      <w:pPr>
        <w:spacing w:after="0" w:line="164" w:lineRule="exact"/>
        <w:rPr>
          <w:sz w:val="20"/>
          <w:szCs w:val="20"/>
          <w:color w:val="auto"/>
        </w:rPr>
      </w:pPr>
    </w:p>
    <w:p>
      <w:pPr>
        <w:ind w:right="100" w:firstLine="318"/>
        <w:spacing w:after="0" w:line="263" w:lineRule="auto"/>
        <w:rPr>
          <w:sz w:val="20"/>
          <w:szCs w:val="20"/>
          <w:color w:val="auto"/>
        </w:rPr>
      </w:pPr>
      <w:r>
        <w:rPr>
          <w:rFonts w:ascii="Arial" w:cs="Arial" w:eastAsia="Arial" w:hAnsi="Arial"/>
          <w:sz w:val="17"/>
          <w:szCs w:val="17"/>
          <w:color w:val="auto"/>
        </w:rPr>
        <w:t>Subsequent to the issuance of the Company’s unaudited condensed financial statements as of March 31, 2021 and for the three months ended March 31, 2021 and 2020, the Company determined that an amendment of its San Carlos facility lease contract which was executed in February 2021 to shorten the remaining term of the lease and reduce monthly lease payments should have been accounted for as a modification. The impact of this modification reduces the operating lease right-of-use asset and lease liability balance as a $3.3 million non-cash adjustment during the quarter ended March 31, 2021. Additionally as a result of the remaining lease term being less than a year, a $0.3 million deposit balance was reclassified from long term to short term and the total remaining operating lease liability balance was classified as current. The Company assessed the materiality of the error on the previously issued financial statements during the quarter ended March 31, 2021 in accordance with SEC Staff Accounting Bulletin (“SAB”) No. 99, Materiality, codified in Accounting Standards Codification (“ASC”) 250, Presentation of Financial Statements, and concluded that the misstatement was not material to the previously issued financial statements. Accordingly, in accordance with ASC 250 (SAB No. 108, Considering the Effects of Prior Year Misstatements when Quantifying Misstatements in Current Year Financial Statements), the amounts have been revised in the applicable Condensed Balance Sheet, Condensed Statement of Cash Flows and related footnote disclosures only as all other impacts to the Condensed Statement of Operations and Condensed Statement of Comprehensive Loss were negligible. The following tables summarize the effect of the correction to selected line items in previously issued financial statements for the quarter ended March 31, 2021 (in thousands):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Revised Condensed Balance Sheet Line Items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2"/>
              </w:rPr>
              <w:t>As of March 31, 2021</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80" w:type="dxa"/>
            <w:vAlign w:val="bottom"/>
          </w:tcPr>
          <w:p>
            <w:pPr>
              <w:spacing w:after="0"/>
              <w:rPr>
                <w:sz w:val="15"/>
                <w:szCs w:val="15"/>
                <w:color w:val="auto"/>
              </w:rPr>
            </w:pPr>
          </w:p>
        </w:tc>
        <w:tc>
          <w:tcPr>
            <w:tcW w:w="1880" w:type="dxa"/>
            <w:vAlign w:val="bottom"/>
            <w:gridSpan w:val="3"/>
          </w:tcPr>
          <w:p>
            <w:pPr>
              <w:ind w:left="340"/>
              <w:spacing w:after="0"/>
              <w:rPr>
                <w:sz w:val="20"/>
                <w:szCs w:val="20"/>
                <w:color w:val="auto"/>
              </w:rPr>
            </w:pPr>
            <w:r>
              <w:rPr>
                <w:rFonts w:ascii="Arial" w:cs="Arial" w:eastAsia="Arial" w:hAnsi="Arial"/>
                <w:sz w:val="14"/>
                <w:szCs w:val="14"/>
                <w:b w:val="1"/>
                <w:bCs w:val="1"/>
                <w:color w:val="auto"/>
                <w:w w:val="96"/>
              </w:rPr>
              <w:t>As Previously Reported</w:t>
            </w:r>
          </w:p>
        </w:tc>
        <w:tc>
          <w:tcPr>
            <w:tcW w:w="5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580" w:type="dxa"/>
            <w:vAlign w:val="bottom"/>
          </w:tcPr>
          <w:p>
            <w:pPr>
              <w:spacing w:after="0"/>
              <w:rPr>
                <w:sz w:val="15"/>
                <w:szCs w:val="15"/>
                <w:color w:val="auto"/>
              </w:rPr>
            </w:pPr>
          </w:p>
        </w:tc>
        <w:tc>
          <w:tcPr>
            <w:tcW w:w="1000" w:type="dxa"/>
            <w:vAlign w:val="bottom"/>
          </w:tcPr>
          <w:p>
            <w:pPr>
              <w:jc w:val="right"/>
              <w:ind w:right="113"/>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06"/>
        </w:trPr>
        <w:tc>
          <w:tcPr>
            <w:tcW w:w="5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5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 term assets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56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Liabilities, Redeemable Convertible Preferred Stock and Stockholders’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3"/>
        </w:trPr>
        <w:tc>
          <w:tcPr>
            <w:tcW w:w="5680" w:type="dxa"/>
            <w:vAlign w:val="bottom"/>
          </w:tcPr>
          <w:p>
            <w:pPr>
              <w:ind w:left="180"/>
              <w:spacing w:after="0" w:line="173" w:lineRule="exact"/>
              <w:rPr>
                <w:sz w:val="20"/>
                <w:szCs w:val="20"/>
                <w:color w:val="auto"/>
              </w:rPr>
            </w:pPr>
            <w:r>
              <w:rPr>
                <w:rFonts w:ascii="Arial" w:cs="Arial" w:eastAsia="Arial" w:hAnsi="Arial"/>
                <w:sz w:val="18"/>
                <w:szCs w:val="18"/>
                <w:color w:val="auto"/>
                <w:w w:val="94"/>
              </w:rPr>
              <w:t>Total liabilities, redeemable convertible preferred stock and stockholders'</w:t>
            </w:r>
          </w:p>
        </w:tc>
        <w:tc>
          <w:tcPr>
            <w:tcW w:w="8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79,402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deficit</w:t>
            </w:r>
          </w:p>
        </w:tc>
        <w:tc>
          <w:tcPr>
            <w:tcW w:w="8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225" w:name="page226"/>
    <w:bookmarkEnd w:id="22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Revised Condensed Statement of Cash Flows Line Item</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March 31, 2021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As Previously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5"/>
            <w:vMerge w:val="restart"/>
          </w:tcPr>
          <w:p>
            <w:pPr>
              <w:jc w:val="center"/>
              <w:ind w:right="680"/>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1"/>
                <w:szCs w:val="11"/>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Supplemental cash flow information on non-cash activities</w:t>
            </w: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80" w:type="dxa"/>
            <w:vAlign w:val="bottom"/>
            <w:gridSpan w:val="2"/>
          </w:tcPr>
          <w:p>
            <w:pPr>
              <w:ind w:left="340"/>
              <w:spacing w:after="0"/>
              <w:rPr>
                <w:sz w:val="20"/>
                <w:szCs w:val="20"/>
                <w:color w:val="auto"/>
              </w:rPr>
            </w:pPr>
            <w:r>
              <w:rPr>
                <w:rFonts w:ascii="Arial" w:cs="Arial" w:eastAsia="Arial" w:hAnsi="Arial"/>
                <w:sz w:val="18"/>
                <w:szCs w:val="18"/>
                <w:color w:val="auto"/>
              </w:rPr>
              <w:t>Modification to reduce right-of-use assets and lease liability</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6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Revised Footnote Disclosure Line Items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Long Term Assets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As of March 31, 2021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As Previously Reported</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Borders>
              <w:bottom w:val="single" w:sz="8" w:color="CCEEFF"/>
            </w:tcBorders>
            <w:gridSpan w:val="2"/>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500" w:type="dxa"/>
            <w:vAlign w:val="bottom"/>
            <w:gridSpan w:val="6"/>
          </w:tcPr>
          <w:p>
            <w:pPr>
              <w:spacing w:after="0"/>
              <w:rPr>
                <w:sz w:val="20"/>
                <w:szCs w:val="20"/>
                <w:color w:val="auto"/>
              </w:rPr>
            </w:pPr>
            <w:r>
              <w:rPr>
                <w:rFonts w:ascii="Arial" w:cs="Arial" w:eastAsia="Arial" w:hAnsi="Arial"/>
                <w:sz w:val="18"/>
                <w:szCs w:val="18"/>
                <w:color w:val="auto"/>
                <w:w w:val="99"/>
              </w:rPr>
              <w:t>Future principal contractual obligations for operating lease commitments as of March 31, 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2"/>
              </w:rPr>
              <w:t>As of March 31, 2021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As Previously 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06"/>
        </w:trPr>
        <w:tc>
          <w:tcPr>
            <w:tcW w:w="5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640" w:type="dxa"/>
            <w:vAlign w:val="bottom"/>
          </w:tcPr>
          <w:p>
            <w:pPr>
              <w:ind w:left="34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0"/>
                <w:szCs w:val="20"/>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2,413</w:t>
            </w:r>
          </w:p>
        </w:tc>
        <w:tc>
          <w:tcPr>
            <w:tcW w:w="40" w:type="dxa"/>
            <w:vAlign w:val="bottom"/>
          </w:tcPr>
          <w:p>
            <w:pPr>
              <w:spacing w:after="0"/>
              <w:rPr>
                <w:sz w:val="20"/>
                <w:szCs w:val="20"/>
                <w:color w:val="auto"/>
              </w:rPr>
            </w:pPr>
          </w:p>
        </w:tc>
        <w:tc>
          <w:tcPr>
            <w:tcW w:w="62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9"/>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lease payments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lease liabilities</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The Company’s condensed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2021, the Company had an accumulated deficit of $38.7 million.</w:t>
      </w:r>
    </w:p>
    <w:p>
      <w:pPr>
        <w:spacing w:after="0" w:line="128"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The Company has funded its operations primarily with proceeds from the issuance of redeemable convertible preferred stock and common stock. The Company had cash, cash equivalents, and short-term investments of $67.8 million as of March 31, 2021. In June 2021, the Company received gross proceeds of approximately $345 million from PIPE Investors and the Business Combination, offset by approximately $18 million of transaction costs and underwriters’ fees relating to the closing of the Business Combination. As of the date on which these condensed financial statements were available to be issued, the Company believes that its cash, cash equivalents, and short-term investments will be sufficient to fund its operations for the next twelve months following the issuance of the condensed financial statements. The Company’s assessment of the period of time through which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78" w:right="239" w:bottom="1440" w:gutter="0" w:footer="0" w:header="0"/>
        </w:sectPr>
      </w:pPr>
    </w:p>
    <w:bookmarkStart w:id="226" w:name="page227"/>
    <w:bookmarkEnd w:id="22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98" w:lineRule="exact"/>
        <w:rPr>
          <w:sz w:val="20"/>
          <w:szCs w:val="20"/>
          <w:color w:val="auto"/>
        </w:rPr>
      </w:pPr>
    </w:p>
    <w:p>
      <w:pPr>
        <w:jc w:val="both"/>
        <w:ind w:right="8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78" w:lineRule="exact"/>
        <w:rPr>
          <w:sz w:val="20"/>
          <w:szCs w:val="20"/>
          <w:color w:val="auto"/>
        </w:rPr>
      </w:pPr>
    </w:p>
    <w:p>
      <w:pPr>
        <w:ind w:left="640" w:hanging="634"/>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preparation of the condensed financial statements in conformity with U.S. GAAP requires management to make estimates and assumptions that affect the reported amounts of assets and liabilities and disclosures of contingent assets and liabilities as of the date of the condensed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7" w:name="page228"/>
    <w:bookmarkEnd w:id="22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Company’s short-term investments consist of debt securities and are classified as available for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condensed statement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statement of operations and condensed statement of comprehensive loss. No such adjustments were necessary during the periods presented.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March 31, 2021 and December 31, 2020 were $3.2 million and $0.2 million, respectively, and is included within Other long term assets on the Company’s condensed balance sheets.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balance sheets. ROU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28" w:name="page229"/>
    <w:bookmarkEnd w:id="22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condensed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Comprehensive loss consists of net loss and other gains or losses affecting stockholders’ deficit that, under U.S. GAAP are excluded from net loss. For the three months ended March 31, 2021 and December 31, 2020, unrealized gains and losses on debt securities were included as components of comprehensive loss.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prospective method, which did not have a material impact on the Company’s condensed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w:t>
      </w:r>
      <w:r>
        <w:rPr>
          <w:rFonts w:ascii="Arial" w:cs="Arial" w:eastAsia="Arial" w:hAnsi="Arial"/>
          <w:sz w:val="15"/>
          <w:szCs w:val="15"/>
          <w:color w:val="auto"/>
        </w:rPr>
        <w:t>”, which amends existing guidance on the impairment of financial assets and adds an impairment model that is based on expected losses rather</w:t>
      </w:r>
      <w:r>
        <w:rPr>
          <w:rFonts w:ascii="Arial" w:cs="Arial" w:eastAsia="Arial" w:hAnsi="Arial"/>
          <w:sz w:val="15"/>
          <w:szCs w:val="15"/>
          <w:i w:val="1"/>
          <w:iCs w:val="1"/>
          <w:color w:val="auto"/>
        </w:rPr>
        <w:t xml:space="preserve"> </w:t>
      </w:r>
      <w:r>
        <w:rPr>
          <w:rFonts w:ascii="Arial" w:cs="Arial" w:eastAsia="Arial" w:hAnsi="Arial"/>
          <w:sz w:val="15"/>
          <w:szCs w:val="15"/>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9" w:name="page230"/>
    <w:bookmarkEnd w:id="22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132"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95" w:lineRule="exact"/>
        <w:rPr>
          <w:sz w:val="20"/>
          <w:szCs w:val="20"/>
          <w:color w:val="auto"/>
        </w:rPr>
      </w:pPr>
    </w:p>
    <w:p>
      <w:pPr>
        <w:ind w:left="640" w:hanging="634"/>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details the assets carried at fair value and measured on a recurring basis within the three levels of fair value as of March 31,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48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rPr>
              <w:t>Reported as:</w:t>
            </w:r>
          </w:p>
        </w:tc>
        <w:tc>
          <w:tcPr>
            <w:tcW w:w="0" w:type="dxa"/>
            <w:vAlign w:val="bottom"/>
          </w:tcPr>
          <w:p>
            <w:pPr>
              <w:spacing w:after="0"/>
              <w:rPr>
                <w:sz w:val="1"/>
                <w:szCs w:val="1"/>
                <w:color w:val="auto"/>
              </w:rPr>
            </w:pPr>
          </w:p>
        </w:tc>
      </w:tr>
      <w:tr>
        <w:trPr>
          <w:trHeight w:val="131"/>
        </w:trPr>
        <w:tc>
          <w:tcPr>
            <w:tcW w:w="2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4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67,835</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67,837</w:t>
            </w:r>
          </w:p>
        </w:tc>
        <w:tc>
          <w:tcPr>
            <w:tcW w:w="40" w:type="dxa"/>
            <w:vAlign w:val="bottom"/>
            <w:tcBorders>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Reported as:</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contractual maturities at the date of purchase are due in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0" w:name="page231"/>
    <w:bookmarkEnd w:id="23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5540" w:firstLine="6"/>
        <w:spacing w:after="0" w:line="433" w:lineRule="auto"/>
        <w:tabs>
          <w:tab w:leader="none" w:pos="63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Company recorded $0.2 million of depreciation expense for the three months ended March 31, 2021 and 2020, which was primarily allocated to research and development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center"/>
              <w:ind w:left="401"/>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3,814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center"/>
              <w:ind w:left="401"/>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 tax</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1" w:name="page232"/>
    <w:bookmarkEnd w:id="23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920" w:type="dxa"/>
            <w:vAlign w:val="bottom"/>
          </w:tcPr>
          <w:p>
            <w:pPr>
              <w:jc w:val="center"/>
              <w:ind w:left="3309"/>
              <w:spacing w:after="0"/>
              <w:rPr>
                <w:sz w:val="20"/>
                <w:szCs w:val="20"/>
                <w:color w:val="auto"/>
              </w:rPr>
            </w:pPr>
            <w:r>
              <w:rPr>
                <w:rFonts w:ascii="Arial" w:cs="Arial" w:eastAsia="Arial" w:hAnsi="Arial"/>
                <w:sz w:val="14"/>
                <w:szCs w:val="14"/>
                <w:b w:val="1"/>
                <w:bCs w:val="1"/>
                <w:color w:val="auto"/>
                <w:w w:val="95"/>
              </w:rPr>
              <w:t>March 31,</w:t>
            </w:r>
          </w:p>
        </w:tc>
        <w:tc>
          <w:tcPr>
            <w:tcW w:w="1300" w:type="dxa"/>
            <w:vAlign w:val="bottom"/>
          </w:tcPr>
          <w:p>
            <w:pPr>
              <w:jc w:val="center"/>
              <w:ind w:left="38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4"/>
        </w:trPr>
        <w:tc>
          <w:tcPr>
            <w:tcW w:w="4640" w:type="dxa"/>
            <w:vAlign w:val="bottom"/>
            <w:vMerge w:val="continue"/>
          </w:tcPr>
          <w:p>
            <w:pPr>
              <w:spacing w:after="0"/>
              <w:rPr>
                <w:sz w:val="15"/>
                <w:szCs w:val="15"/>
                <w:color w:val="auto"/>
              </w:rPr>
            </w:pPr>
          </w:p>
        </w:tc>
        <w:tc>
          <w:tcPr>
            <w:tcW w:w="4920" w:type="dxa"/>
            <w:vAlign w:val="bottom"/>
          </w:tcPr>
          <w:p>
            <w:pPr>
              <w:jc w:val="right"/>
              <w:ind w:right="569"/>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jc w:val="right"/>
              <w:ind w:right="2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9"/>
        </w:trPr>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3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40" w:type="dxa"/>
            <w:vAlign w:val="bottom"/>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b w:val="1"/>
                <w:bCs w:val="1"/>
                <w:color w:val="auto"/>
                <w:w w:val="91"/>
              </w:rPr>
              <w:t>March 31, 2021 and December 31, 2020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Original Issue Price</w:t>
            </w:r>
          </w:p>
        </w:tc>
        <w:tc>
          <w:tcPr>
            <w:tcW w:w="20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52"/>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8"/>
              </w:rPr>
              <w:t>Preference</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Arial" w:cs="Arial" w:eastAsia="Arial" w:hAnsi="Arial"/>
                <w:sz w:val="18"/>
                <w:szCs w:val="18"/>
                <w:color w:val="auto"/>
                <w:w w:val="88"/>
              </w:rPr>
              <w:t>Series A</w:t>
            </w: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4,640,604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4,640,604</w:t>
            </w:r>
          </w:p>
        </w:tc>
        <w:tc>
          <w:tcPr>
            <w:tcW w:w="34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5"/>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Series B</w:t>
            </w:r>
          </w:p>
        </w:tc>
        <w:tc>
          <w:tcPr>
            <w:tcW w:w="36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6,109,232</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14,481,191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110,533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Seed Redeemable Convertible Preferred Stock</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64"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135"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2" w:name="page233"/>
    <w:bookmarkEnd w:id="23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convertible preferred stock, Series A redeemable convertible preferred stock and Series B redeemable convertible preferred stock. As of March 31, 2021, no dividends have been declared or paid by the Company.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Conversion</w:t>
      </w:r>
    </w:p>
    <w:p>
      <w:pPr>
        <w:spacing w:after="0" w:line="16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March 31, 2021, each series of the Company’s redeemable convertible preferred stock was convertible into the Company’s shares of common stock on a one-for-one basis.</w:t>
      </w:r>
    </w:p>
    <w:p>
      <w:pPr>
        <w:spacing w:after="0" w:line="10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 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Liquidation Event</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 (i) 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26"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13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3" w:name="page234"/>
    <w:bookmarkEnd w:id="23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129" w:lineRule="exact"/>
        <w:rPr>
          <w:sz w:val="20"/>
          <w:szCs w:val="20"/>
          <w:color w:val="auto"/>
        </w:rPr>
      </w:pPr>
    </w:p>
    <w:p>
      <w:pPr>
        <w:ind w:left="640" w:hanging="634"/>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March 31, 2021.</w:t>
      </w:r>
    </w:p>
    <w:p>
      <w:pPr>
        <w:spacing w:after="0" w:line="12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jc w:val="both"/>
        <w:ind w:right="400" w:firstLine="318"/>
        <w:spacing w:after="0" w:line="277" w:lineRule="auto"/>
        <w:rPr>
          <w:sz w:val="20"/>
          <w:szCs w:val="20"/>
          <w:color w:val="auto"/>
        </w:rPr>
      </w:pPr>
      <w:r>
        <w:rPr>
          <w:rFonts w:ascii="Arial" w:cs="Arial" w:eastAsia="Arial" w:hAnsi="Arial"/>
          <w:sz w:val="17"/>
          <w:szCs w:val="17"/>
          <w:color w:val="auto"/>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during the three months ended March 31, 2021 and 2020.</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warrants as of March 31, 2021 and December 31,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4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March 31, 2021 and December 31, 2020</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Expiration Date</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920" w:type="dxa"/>
            <w:vAlign w:val="bottom"/>
            <w:gridSpan w:val="2"/>
          </w:tcPr>
          <w:p>
            <w:pPr>
              <w:ind w:left="32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1,982,839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1,418,267</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647,637</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4" w:name="page235"/>
    <w:bookmarkEnd w:id="23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hanging="634"/>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2021 and 2020, no income tax expense or benefit was recognized, primarily due to a full valuation allowance recorded against its deferred tax asset.</w:t>
      </w:r>
    </w:p>
    <w:p>
      <w:pPr>
        <w:spacing w:after="0" w:line="141"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The Company assesses all material positions taken in any income tax return, including all significant uncertain positions, in all tax years that are still subject to assessment or challenge by the relevant taxing authorities. Assessing an uncertain tax position begins with the initial determination of the position’s sustainability and is measured at the largest amount of benefit that is greater than fifty percent likely of being realized upon ultimate settlement. At each balance sheet date, unresolved uncertain tax positions must be reassessed, and the Company determines whether (i) the factors underlying the sustainability assertion have changed and (ii) the amount of the recognized benefit is still appropriate. The recognition and measurement of tax benefits requires significant judgment. Judgments concerning the recognition and measurement of a tax benefit might change as new information becomes available.</w:t>
      </w:r>
    </w:p>
    <w:p>
      <w:pPr>
        <w:spacing w:after="0" w:line="93" w:lineRule="exact"/>
        <w:rPr>
          <w:sz w:val="20"/>
          <w:szCs w:val="20"/>
          <w:color w:val="auto"/>
        </w:rPr>
      </w:pPr>
    </w:p>
    <w:p>
      <w:pPr>
        <w:ind w:left="640" w:hanging="634"/>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March 31, 2021, 83,065 options were available for grant under the 2017 Equity Incentive Plan.</w:t>
      </w:r>
    </w:p>
    <w:p>
      <w:pPr>
        <w:spacing w:after="0" w:line="10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8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7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92.0% - 94.2%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96.4% - 96.5%</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0.53% - 0.73%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$27.42 - $36.28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bl>
    <w:p>
      <w:pPr>
        <w:spacing w:after="0" w:line="20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5" w:name="page236"/>
    <w:bookmarkEnd w:id="23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5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104"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The Company’s board of directors made a determination of the fair market value of our common stock which contemplated the implied equity value of the Company per the Business Combination agreement that was executed on February 7, 2021. For the period following execution of the Business Combination agreement through March 31, 2021, no additional equity awards were granted.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during the three months ended March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578,572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1,982,839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69,289,358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tcPr>
          <w:p>
            <w:pPr>
              <w:ind w:left="20"/>
              <w:spacing w:after="0" w:line="199" w:lineRule="exact"/>
              <w:rPr>
                <w:sz w:val="20"/>
                <w:szCs w:val="20"/>
                <w:color w:val="auto"/>
              </w:rPr>
            </w:pPr>
            <w:r>
              <w:rPr>
                <w:rFonts w:ascii="Arial" w:cs="Arial" w:eastAsia="Arial" w:hAnsi="Arial"/>
                <w:sz w:val="18"/>
                <w:szCs w:val="18"/>
                <w:color w:val="auto"/>
              </w:rPr>
              <w:t>Options vested and expected to vest as of March 31, 2021</w:t>
            </w:r>
          </w:p>
        </w:tc>
        <w:tc>
          <w:tcPr>
            <w:tcW w:w="1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1,982,839</w:t>
            </w:r>
          </w:p>
        </w:tc>
        <w:tc>
          <w:tcPr>
            <w:tcW w:w="2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9" w:lineRule="exact"/>
              <w:rPr>
                <w:sz w:val="20"/>
                <w:szCs w:val="20"/>
                <w:color w:val="auto"/>
              </w:rPr>
            </w:pPr>
            <w:r>
              <w:rPr>
                <w:rFonts w:ascii="Arial" w:cs="Arial" w:eastAsia="Arial" w:hAnsi="Arial"/>
                <w:sz w:val="18"/>
                <w:szCs w:val="18"/>
                <w:color w:val="auto"/>
              </w:rPr>
              <w:t>12.55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March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13,803,431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As of March 31, 2021, there was $22.5 million of total unrecognized compensation expense expected to be recognized over a weighted average-period of 3.63 years. Aggregate intrinsic value represents the difference between the fair market value of the common stock and the exercise price of outstanding, in-the-money options.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In January 2017, the Company granted 9.0 million shares of restricted common stock to founders for future services that vest over four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6" w:name="page237"/>
    <w:bookmarkEnd w:id="23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with respect to restricted stock during the three months ended March 31, 2021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Underlying 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balance sheet as of March 31, 2021 as the Company had not yet received the related goods or services. As of March 31, 2021, the Company had open purchase commitments for goods and services of $1.3 million, which are expected to be received through the next 12 months.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The Company is obligated under certain non-cancelable operating leases for office space and laboratory space. This space includes operating leases in Seattle, Washington, Menlo Park, California and San Carlos, California. The operating lease in Seattle, Washington will expire in April 2021 and will be renewed month to month while the Company negotiates on a new lease. The operating lease in San Carlos, California will expire in December 2021. The operating lease in Menlo Park, California expired in February 2020.</w:t>
      </w:r>
    </w:p>
    <w:p>
      <w:pPr>
        <w:spacing w:after="0" w:line="138" w:lineRule="exact"/>
        <w:rPr>
          <w:sz w:val="20"/>
          <w:szCs w:val="20"/>
          <w:color w:val="auto"/>
        </w:rPr>
      </w:pPr>
    </w:p>
    <w:p>
      <w:pPr>
        <w:ind w:right="340" w:firstLine="318"/>
        <w:spacing w:after="0" w:line="250" w:lineRule="auto"/>
        <w:rPr>
          <w:sz w:val="20"/>
          <w:szCs w:val="20"/>
          <w:color w:val="auto"/>
        </w:rPr>
      </w:pPr>
      <w:r>
        <w:rPr>
          <w:rFonts w:ascii="Arial" w:cs="Arial" w:eastAsia="Arial" w:hAnsi="Arial"/>
          <w:sz w:val="18"/>
          <w:szCs w:val="18"/>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 The temporary office space lease agreement was recognized as a short-term lease due to the election of the short-term lease measurement and recognition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7" w:name="page238"/>
    <w:bookmarkEnd w:id="23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costs, which were included in operating expenses in condensed statements of operations,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For the three months ended March 31, 2021 and 2020, cash paid for amounts included in the measurement of lease liabilities included in cash flows used in operating activities was $0.3 million and $0.6 million, respectively.</w:t>
      </w:r>
    </w:p>
    <w:p>
      <w:pPr>
        <w:spacing w:after="0" w:line="128"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As of March 31, 2021, the weighted-average remaining lease term and weighted-average discount rate for operating leases is 0.8 years and 10.0%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March 31,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2,272</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Total future principal contractual obligations for operating lease commitments exceeded the undiscounted lease liability by $1.0 million as of March 31, 2021 because the lease liability in the condensed balance sheet excluded short-term lease payments.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conjunction with the San Carlos lease agreement, the Company issued a cash-collateralized letter of credit in lieu of security deposit of $0.6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cash amount is recorded as restricted cash under Other long-term assets on the Company’s condensed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8" w:name="page239"/>
    <w:bookmarkEnd w:id="23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hanging="634"/>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months ended March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9,095,711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7,292,773</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8,271,958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1,982,839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598,181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1,570,313</w:t>
            </w: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16,381,529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10,457,952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hanging="614"/>
        <w:spacing w:after="0"/>
        <w:tabs>
          <w:tab w:leader="none" w:pos="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left="320" w:right="220"/>
        <w:spacing w:after="0" w:line="413" w:lineRule="auto"/>
        <w:rPr>
          <w:sz w:val="20"/>
          <w:szCs w:val="20"/>
          <w:color w:val="auto"/>
        </w:rPr>
      </w:pPr>
      <w:r>
        <w:rPr>
          <w:rFonts w:ascii="Arial" w:cs="Arial" w:eastAsia="Arial" w:hAnsi="Arial"/>
          <w:sz w:val="15"/>
          <w:szCs w:val="15"/>
          <w:color w:val="auto"/>
        </w:rPr>
        <w:t>The Company has evaluated subsequent events through June 9, 2021, the date on which the condensed financial statements were available to be issued. On June 9, 2021, the Company consummated the Business Combination with ARYA. ARYA was renamed to Nautilus Biotechnology, Inc. and the</w:t>
      </w:r>
    </w:p>
    <w:p>
      <w:pPr>
        <w:spacing w:after="0" w:line="1" w:lineRule="exact"/>
        <w:rPr>
          <w:sz w:val="20"/>
          <w:szCs w:val="20"/>
          <w:color w:val="auto"/>
        </w:rPr>
      </w:pPr>
    </w:p>
    <w:p>
      <w:pPr>
        <w:jc w:val="both"/>
        <w:ind w:right="160"/>
        <w:spacing w:after="0" w:line="267" w:lineRule="auto"/>
        <w:rPr>
          <w:sz w:val="20"/>
          <w:szCs w:val="20"/>
          <w:color w:val="auto"/>
        </w:rPr>
      </w:pPr>
      <w:r>
        <w:rPr>
          <w:rFonts w:ascii="Arial" w:cs="Arial" w:eastAsia="Arial" w:hAnsi="Arial"/>
          <w:sz w:val="17"/>
          <w:szCs w:val="17"/>
          <w:color w:val="auto"/>
        </w:rPr>
        <w:t>Company became a wholly owned subsidiary of New Nautilus. In addition, concurrently with the Closing Date and pursuant to the subscription agreement, PIPE Investors purchased an aggregate of 20,000,000 shares of New Nautilus Common Stock at a price of $10.00 per share, for aggregate gross proceeds of $200 million and the Company received gross proceeds of approximately $145 million from ARYA, offset by approximately $18 million of transaction costs and underwriters’ fees relating to the closing of the Business Combination.</w:t>
      </w:r>
    </w:p>
    <w:p>
      <w:pPr>
        <w:spacing w:after="0" w:line="12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connection with the reissuance of the condensed financial statements, the Company has evaluated subsequent events through July 22, 2021, the date the financial statements were available to be reissued.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9" w:name="page240"/>
    <w:bookmarkEnd w:id="239"/>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Capitalized terms used but not defined below have the same meaning as terms defined and included elsewhere in this prospectus.</w:t>
      </w:r>
    </w:p>
    <w:p>
      <w:pPr>
        <w:spacing w:after="0" w:line="164"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following unaudited pro forma condensed combined balance sheet of New Nautilus as of March 31, 2021 and the unaudited pro forma condensed combined statements of operations of New Nautilus for the three months ended March 31, 2021 and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unaudited pro forma condensed combined balance sheet as of March 31, 2021 combines the historical unaudited condensed balance sheet of ARYA and the historical unaudited condensed balance sheet of Nautilus as of March 31, 2021 on a pro forma basis as if the Business Combination and the PIPE Financing had been consummated on March 31, 2021.</w:t>
      </w:r>
    </w:p>
    <w:p>
      <w:pPr>
        <w:spacing w:after="0" w:line="13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unaudited pro forma condensed combined statement of operations for the three months ended March 31, 2021 combines the historical unaudited condensed statement of operations of ARYA for the three months ended March 31, 2021 and the historical unaudited condensed statement of operations of Nautilus for the three months ended March 31, 2021, giving effect to the transaction as if the Business Combination and the PIPE Financing had been consummated on January 1, 2020. The unaudited pro forma combined statement of operations for the year ended December 31, 2020 combines the historical audited statements of operations of ARYA for the period from March 27, 2020 (inception) through December 31, 2020 and the historical audited statement of operations of Nautilus for the year ended December 31, 2020, giving effect to the transaction as if the Business Combination and the PIPE Financing had been consummated on January 1, 2020.</w:t>
      </w:r>
    </w:p>
    <w:p>
      <w:pPr>
        <w:spacing w:after="0" w:line="132" w:lineRule="exact"/>
        <w:rPr>
          <w:sz w:val="20"/>
          <w:szCs w:val="20"/>
          <w:color w:val="auto"/>
        </w:rPr>
      </w:pPr>
    </w:p>
    <w:p>
      <w:pPr>
        <w:jc w:val="both"/>
        <w:ind w:right="80" w:firstLine="318"/>
        <w:spacing w:after="0" w:line="365" w:lineRule="auto"/>
        <w:rPr>
          <w:sz w:val="20"/>
          <w:szCs w:val="20"/>
          <w:color w:val="auto"/>
        </w:rPr>
      </w:pPr>
      <w:r>
        <w:rPr>
          <w:rFonts w:ascii="Arial" w:cs="Arial" w:eastAsia="Arial" w:hAnsi="Arial"/>
          <w:sz w:val="15"/>
          <w:szCs w:val="15"/>
          <w:color w:val="auto"/>
        </w:rPr>
        <w:t>The unaudited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spacing w:after="0" w:line="5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99"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On June 9, 2021, New Nautilus consummated the previously announced Business Combination pursuant to Business Combination Agreement dated February 7, 2021 between ARYA and Nautilus, under the terms of which, ARYA acquired Nautilus, upon domestication of ARYA, through which a wholly-owned subsidiary of ARYA merged with and into Nautilus, with Nautilus becoming a wholly-owned subsidiary of ARYA, referred to herein as New Nautilus, which became a publicly-listed entity. As a result of the Business Combination, New Nautilus owns, directly or indirectly, all of the issued and outstanding equity interests of Nautilus and the Nautilus equity holders hold a portion of the New Nautilus Common Stock.</w:t>
      </w:r>
    </w:p>
    <w:p>
      <w:pPr>
        <w:spacing w:after="0" w:line="128"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following unaudited pro forma condensed combined financial statements presented herein reflect the redemption of 465,363 shares of Class A Common Stock by ARYA’s shareholders in conjunction with the shareholder vote on the Business Combination contemplated by the Business Combination Agreement at a meeting held on June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1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unaudited pro forma combined financial information is based on and should be read in conjunction with the historical audited financial statements as of and for the period ending December 31, 2020 and, also, historical unaudited condensed financial statements as of and for the period ending March 31, 2021 of each of ARYA and Nautilus and the respective notes thereto, as well as the disclosures contained in the sections titled “</w:t>
      </w:r>
      <w:r>
        <w:rPr>
          <w:rFonts w:ascii="Arial" w:cs="Arial" w:eastAsia="Arial" w:hAnsi="Arial"/>
          <w:sz w:val="18"/>
          <w:szCs w:val="18"/>
          <w:i w:val="1"/>
          <w:iCs w:val="1"/>
          <w:color w:val="auto"/>
        </w:rPr>
        <w:t>ARYA’s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Nautilus’ Management’s Discussion and Analysis of Financial Condition and Results of Operations</w:t>
      </w:r>
      <w:r>
        <w:rPr>
          <w:rFonts w:ascii="Arial" w:cs="Arial" w:eastAsia="Arial" w:hAnsi="Arial"/>
          <w:sz w:val="18"/>
          <w:szCs w:val="18"/>
          <w:color w:val="auto"/>
        </w:rPr>
        <w:t>.”</w:t>
      </w:r>
    </w:p>
    <w:p>
      <w:pPr>
        <w:spacing w:after="0" w:line="141" w:lineRule="exact"/>
        <w:rPr>
          <w:sz w:val="20"/>
          <w:szCs w:val="20"/>
          <w:color w:val="auto"/>
        </w:rPr>
      </w:pPr>
    </w:p>
    <w:p>
      <w:pPr>
        <w:jc w:val="both"/>
        <w:ind w:right="200" w:firstLine="318"/>
        <w:spacing w:after="0" w:line="330" w:lineRule="auto"/>
        <w:rPr>
          <w:sz w:val="20"/>
          <w:szCs w:val="20"/>
          <w:color w:val="auto"/>
        </w:rPr>
      </w:pPr>
      <w:r>
        <w:rPr>
          <w:rFonts w:ascii="Arial" w:cs="Arial" w:eastAsia="Arial" w:hAnsi="Arial"/>
          <w:sz w:val="15"/>
          <w:szCs w:val="15"/>
          <w:color w:val="auto"/>
        </w:rPr>
        <w:t>As discussed in Note 1 to our unaudited condensed financial statements, the financial statements for the three months ended March 31, 2021 have been revised to reflect an amendment of our San Carlos facility lease contract which was executed in February 2021, which should have been accounted for as a modification. Accordingly, the unaudited pro forma condensed combined financial information set forth below reflects the effects of the revision.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1" w:name="page242"/>
    <w:bookmarkEnd w:id="241"/>
    <w:p>
      <w:pPr>
        <w:jc w:val="center"/>
        <w:ind w:right="420"/>
        <w:spacing w:after="0"/>
        <w:rPr>
          <w:sz w:val="20"/>
          <w:szCs w:val="20"/>
          <w:color w:val="auto"/>
        </w:rPr>
      </w:pPr>
      <w:r>
        <w:rPr>
          <w:rFonts w:ascii="Arial" w:cs="Arial" w:eastAsia="Arial" w:hAnsi="Arial"/>
          <w:sz w:val="18"/>
          <w:szCs w:val="18"/>
          <w:b w:val="1"/>
          <w:bCs w:val="1"/>
          <w:color w:val="auto"/>
        </w:rPr>
        <w:t>UNAUDITED PRO FORMA</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COMBINED STATEMENT OF OPERATIONS</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For the period</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480" w:type="dxa"/>
            <w:vAlign w:val="bottom"/>
            <w:gridSpan w:val="3"/>
          </w:tcPr>
          <w:p>
            <w:pPr>
              <w:jc w:val="center"/>
              <w:ind w:right="60"/>
              <w:spacing w:after="0" w:line="133" w:lineRule="exact"/>
              <w:rPr>
                <w:sz w:val="20"/>
                <w:szCs w:val="20"/>
                <w:color w:val="auto"/>
              </w:rPr>
            </w:pPr>
            <w:r>
              <w:rPr>
                <w:rFonts w:ascii="Arial" w:cs="Arial" w:eastAsia="Arial" w:hAnsi="Arial"/>
                <w:sz w:val="14"/>
                <w:szCs w:val="14"/>
                <w:b w:val="1"/>
                <w:bCs w:val="1"/>
                <w:color w:val="auto"/>
                <w:w w:val="93"/>
              </w:rPr>
              <w:t>from March 27, 2020</w:t>
            </w:r>
          </w:p>
        </w:tc>
        <w:tc>
          <w:tcPr>
            <w:tcW w:w="48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48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(inception) to</w:t>
            </w:r>
          </w:p>
        </w:tc>
        <w:tc>
          <w:tcPr>
            <w:tcW w:w="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 2020</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4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ARYA</w:t>
            </w:r>
          </w:p>
        </w:tc>
        <w:tc>
          <w:tcPr>
            <w:tcW w:w="480" w:type="dxa"/>
            <w:vAlign w:val="bottom"/>
          </w:tcPr>
          <w:p>
            <w:pPr>
              <w:spacing w:after="0"/>
              <w:rPr>
                <w:sz w:val="9"/>
                <w:szCs w:val="9"/>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Nautilus</w:t>
            </w:r>
          </w:p>
        </w:tc>
        <w:tc>
          <w:tcPr>
            <w:tcW w:w="460" w:type="dxa"/>
            <w:vAlign w:val="bottom"/>
          </w:tcPr>
          <w:p>
            <w:pPr>
              <w:spacing w:after="0"/>
              <w:rPr>
                <w:sz w:val="9"/>
                <w:szCs w:val="9"/>
                <w:color w:val="auto"/>
              </w:rPr>
            </w:pPr>
          </w:p>
        </w:tc>
        <w:tc>
          <w:tcPr>
            <w:tcW w:w="90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360" w:type="dxa"/>
            <w:vAlign w:val="bottom"/>
            <w:gridSpan w:val="2"/>
          </w:tcPr>
          <w:p>
            <w:pPr>
              <w:ind w:left="340"/>
              <w:spacing w:after="0" w:line="133" w:lineRule="exact"/>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1"/>
                <w:szCs w:val="11"/>
                <w:color w:val="auto"/>
              </w:rPr>
            </w:pPr>
          </w:p>
        </w:tc>
        <w:tc>
          <w:tcPr>
            <w:tcW w:w="1140" w:type="dxa"/>
            <w:vAlign w:val="bottom"/>
            <w:gridSpan w:val="2"/>
            <w:vMerge w:val="restart"/>
          </w:tcPr>
          <w:p>
            <w:pPr>
              <w:jc w:val="center"/>
              <w:ind w:left="161"/>
              <w:spacing w:after="0"/>
              <w:rPr>
                <w:sz w:val="20"/>
                <w:szCs w:val="20"/>
                <w:color w:val="auto"/>
              </w:rPr>
            </w:pPr>
            <w:r>
              <w:rPr>
                <w:rFonts w:ascii="Arial" w:cs="Arial" w:eastAsia="Arial" w:hAnsi="Arial"/>
                <w:sz w:val="14"/>
                <w:szCs w:val="14"/>
                <w:b w:val="1"/>
                <w:bCs w:val="1"/>
                <w:color w:val="auto"/>
                <w:w w:val="87"/>
              </w:rPr>
              <w:t>Notes</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(Historical)</w:t>
            </w:r>
          </w:p>
        </w:tc>
        <w:tc>
          <w:tcPr>
            <w:tcW w:w="15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(Historical)</w:t>
            </w: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2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6"/>
        </w:trPr>
        <w:tc>
          <w:tcPr>
            <w:tcW w:w="424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Operating expenses:</w:t>
            </w: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42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3"/>
              </w:rPr>
              <w:t>(53)</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center"/>
              <w:ind w:left="161"/>
              <w:spacing w:after="0"/>
              <w:rPr>
                <w:sz w:val="20"/>
                <w:szCs w:val="20"/>
                <w:color w:val="auto"/>
              </w:rPr>
            </w:pPr>
            <w:r>
              <w:rPr>
                <w:rFonts w:ascii="Arial" w:cs="Arial" w:eastAsia="Arial" w:hAnsi="Arial"/>
                <w:sz w:val="18"/>
                <w:szCs w:val="18"/>
                <w:b w:val="1"/>
                <w:bCs w:val="1"/>
                <w:color w:val="auto"/>
                <w:w w:val="99"/>
              </w:rPr>
              <w:t>AA</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3"/>
              </w:rPr>
              <w:t>(53)</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Weighted average shares outstanding of Common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Arial" w:cs="Arial" w:eastAsia="Arial" w:hAnsi="Arial"/>
                <w:sz w:val="18"/>
                <w:szCs w:val="18"/>
                <w:color w:val="auto"/>
                <w:w w:val="89"/>
              </w:rPr>
              <w:t>124,045,2</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Basic and diluted net loss per share - Common Stock</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3"/>
        </w:trPr>
        <w:tc>
          <w:tcPr>
            <w:tcW w:w="4240" w:type="dxa"/>
            <w:vAlign w:val="bottom"/>
          </w:tcPr>
          <w:p>
            <w:pPr>
              <w:ind w:left="20"/>
              <w:spacing w:after="0" w:line="173" w:lineRule="exact"/>
              <w:rPr>
                <w:sz w:val="20"/>
                <w:szCs w:val="20"/>
                <w:color w:val="auto"/>
              </w:rPr>
            </w:pPr>
            <w:r>
              <w:rPr>
                <w:rFonts w:ascii="Arial" w:cs="Arial" w:eastAsia="Arial" w:hAnsi="Arial"/>
                <w:sz w:val="18"/>
                <w:szCs w:val="18"/>
                <w:color w:val="auto"/>
                <w:w w:val="89"/>
              </w:rPr>
              <w:t>Weighted average shares outstanding of Class A Common</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14,950,000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Arial" w:cs="Arial" w:eastAsia="Arial" w:hAnsi="Arial"/>
                <w:sz w:val="18"/>
                <w:szCs w:val="18"/>
                <w:color w:val="auto"/>
              </w:rPr>
              <w:t>Stock</w:t>
            </w:r>
          </w:p>
        </w:tc>
        <w:tc>
          <w:tcPr>
            <w:tcW w:w="4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 Class 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0"/>
              <w:spacing w:after="0" w:line="173" w:lineRule="exact"/>
              <w:rPr>
                <w:sz w:val="20"/>
                <w:szCs w:val="20"/>
                <w:color w:val="auto"/>
              </w:rPr>
            </w:pPr>
            <w:r>
              <w:rPr>
                <w:rFonts w:ascii="Arial" w:cs="Arial" w:eastAsia="Arial" w:hAnsi="Arial"/>
                <w:sz w:val="18"/>
                <w:szCs w:val="18"/>
                <w:color w:val="auto"/>
                <w:w w:val="89"/>
              </w:rPr>
              <w:t>Weighted average shares outstanding of Class B Common</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3,764,852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Arial" w:cs="Arial" w:eastAsia="Arial" w:hAnsi="Arial"/>
                <w:sz w:val="18"/>
                <w:szCs w:val="18"/>
                <w:color w:val="auto"/>
              </w:rPr>
              <w:t>Stock</w:t>
            </w:r>
          </w:p>
        </w:tc>
        <w:tc>
          <w:tcPr>
            <w:tcW w:w="4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 Class B</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0"/>
              <w:spacing w:after="0" w:line="173" w:lineRule="exact"/>
              <w:rPr>
                <w:sz w:val="20"/>
                <w:szCs w:val="20"/>
                <w:color w:val="auto"/>
              </w:rPr>
            </w:pPr>
            <w:r>
              <w:rPr>
                <w:rFonts w:ascii="Arial" w:cs="Arial" w:eastAsia="Arial" w:hAnsi="Arial"/>
                <w:sz w:val="18"/>
                <w:szCs w:val="18"/>
                <w:color w:val="auto"/>
                <w:w w:val="89"/>
              </w:rPr>
              <w:t>Weighted average shares outstanding of Nautilus Common</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Arial" w:cs="Arial" w:eastAsia="Arial" w:hAnsi="Arial"/>
                <w:sz w:val="18"/>
                <w:szCs w:val="18"/>
                <w:color w:val="auto"/>
              </w:rPr>
              <w:t>Stock</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 Nautilus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360" w:right="239" w:bottom="1440" w:gutter="0" w:footer="0" w:header="0"/>
        </w:sectPr>
      </w:pPr>
    </w:p>
    <w:bookmarkStart w:id="242" w:name="page243"/>
    <w:bookmarkEnd w:id="242"/>
    <w:p>
      <w:pPr>
        <w:jc w:val="center"/>
        <w:ind w:right="4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AS OF MARCH 31, 2021</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Historical</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ARYA</w:t>
            </w:r>
          </w:p>
        </w:tc>
        <w:tc>
          <w:tcPr>
            <w:tcW w:w="52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Nautilus</w:t>
            </w:r>
          </w:p>
        </w:tc>
        <w:tc>
          <w:tcPr>
            <w:tcW w:w="460" w:type="dxa"/>
            <w:vAlign w:val="bottom"/>
          </w:tcPr>
          <w:p>
            <w:pPr>
              <w:spacing w:after="0"/>
              <w:rPr>
                <w:sz w:val="10"/>
                <w:szCs w:val="10"/>
                <w:color w:val="auto"/>
              </w:rPr>
            </w:pPr>
          </w:p>
        </w:tc>
        <w:tc>
          <w:tcPr>
            <w:tcW w:w="98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40" w:type="dxa"/>
            <w:vAlign w:val="bottom"/>
            <w:gridSpan w:val="2"/>
          </w:tcPr>
          <w:p>
            <w:pPr>
              <w:jc w:val="right"/>
              <w:ind w:right="293"/>
              <w:spacing w:after="0" w:line="133" w:lineRule="exact"/>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1"/>
                <w:szCs w:val="11"/>
                <w:color w:val="auto"/>
              </w:rPr>
            </w:pPr>
          </w:p>
        </w:tc>
        <w:tc>
          <w:tcPr>
            <w:tcW w:w="1100" w:type="dxa"/>
            <w:vAlign w:val="bottom"/>
            <w:gridSpan w:val="2"/>
            <w:vMerge w:val="restart"/>
          </w:tcPr>
          <w:p>
            <w:pPr>
              <w:jc w:val="center"/>
              <w:ind w:left="153"/>
              <w:spacing w:after="0"/>
              <w:rPr>
                <w:sz w:val="20"/>
                <w:szCs w:val="20"/>
                <w:color w:val="auto"/>
              </w:rPr>
            </w:pPr>
            <w:r>
              <w:rPr>
                <w:rFonts w:ascii="Arial" w:cs="Arial" w:eastAsia="Arial" w:hAnsi="Arial"/>
                <w:sz w:val="14"/>
                <w:szCs w:val="14"/>
                <w:b w:val="1"/>
                <w:bCs w:val="1"/>
                <w:color w:val="auto"/>
                <w:w w:val="87"/>
              </w:rPr>
              <w:t>Notes</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520" w:type="dxa"/>
            <w:vAlign w:val="bottom"/>
            <w:gridSpan w:val="3"/>
          </w:tcPr>
          <w:p>
            <w:pPr>
              <w:ind w:left="360"/>
              <w:spacing w:after="0"/>
              <w:rPr>
                <w:sz w:val="20"/>
                <w:szCs w:val="20"/>
                <w:color w:val="auto"/>
              </w:rPr>
            </w:pPr>
            <w:r>
              <w:rPr>
                <w:rFonts w:ascii="Arial" w:cs="Arial" w:eastAsia="Arial" w:hAnsi="Arial"/>
                <w:sz w:val="14"/>
                <w:szCs w:val="14"/>
                <w:b w:val="1"/>
                <w:bCs w:val="1"/>
                <w:color w:val="auto"/>
              </w:rPr>
              <w:t>(Historical)</w:t>
            </w:r>
          </w:p>
        </w:tc>
        <w:tc>
          <w:tcPr>
            <w:tcW w:w="1500" w:type="dxa"/>
            <w:vAlign w:val="bottom"/>
            <w:gridSpan w:val="3"/>
          </w:tcPr>
          <w:p>
            <w:pPr>
              <w:ind w:left="360"/>
              <w:spacing w:after="0"/>
              <w:rPr>
                <w:sz w:val="20"/>
                <w:szCs w:val="20"/>
                <w:color w:val="auto"/>
              </w:rPr>
            </w:pPr>
            <w:r>
              <w:rPr>
                <w:rFonts w:ascii="Arial" w:cs="Arial" w:eastAsia="Arial" w:hAnsi="Arial"/>
                <w:sz w:val="14"/>
                <w:szCs w:val="14"/>
                <w:b w:val="1"/>
                <w:bCs w:val="1"/>
                <w:color w:val="auto"/>
              </w:rPr>
              <w:t>(Historical)</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2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6"/>
        </w:trPr>
        <w:tc>
          <w:tcPr>
            <w:tcW w:w="416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ASSETS</w:t>
            </w: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149,564</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(5,233)</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B</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(4,685)</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D</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9"/>
              </w:rPr>
              <w: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(4,654)</w:t>
            </w:r>
          </w:p>
        </w:tc>
        <w:tc>
          <w:tcPr>
            <w:tcW w:w="80" w:type="dxa"/>
            <w:vAlign w:val="bottom"/>
          </w:tcPr>
          <w:p>
            <w:pPr>
              <w:spacing w:after="0"/>
              <w:rPr>
                <w:sz w:val="19"/>
                <w:szCs w:val="19"/>
                <w:color w:val="auto"/>
              </w:rPr>
            </w:pPr>
          </w:p>
        </w:tc>
        <w:tc>
          <w:tcPr>
            <w:tcW w:w="1100" w:type="dxa"/>
            <w:vAlign w:val="bottom"/>
            <w:gridSpan w:val="2"/>
          </w:tcPr>
          <w:p>
            <w:pPr>
              <w:jc w:val="center"/>
              <w:ind w:left="153"/>
              <w:spacing w:after="0"/>
              <w:rPr>
                <w:sz w:val="20"/>
                <w:szCs w:val="20"/>
                <w:color w:val="auto"/>
              </w:rPr>
            </w:pPr>
            <w:r>
              <w:rPr>
                <w:rFonts w:ascii="Arial" w:cs="Arial" w:eastAsia="Arial" w:hAnsi="Arial"/>
                <w:sz w:val="18"/>
                <w:szCs w:val="18"/>
                <w:b w:val="1"/>
                <w:bCs w:val="1"/>
                <w:color w:val="auto"/>
                <w:w w:val="90"/>
              </w:rPr>
              <w:t>F</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328,932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Investments held in Trust account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149,564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(149,564)</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A</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5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 term assets</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41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150,500</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76,148</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176,166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LIABILITIES, REDEEMABLE CONVERTIBLE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PREFERRED STOCK, AND STOCKHOLDERS'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(DEFICIT)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D</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Due to related party</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liability</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41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4,525</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underwriting commissions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B</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7,032</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4,525</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Commitments and contingencies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Series Seed redeemable convertible preferred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b w:val="1"/>
                <w:bCs w:val="1"/>
                <w:color w:val="auto"/>
              </w:rPr>
              <w:t>H</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w w:val="98"/>
              </w:rPr>
              <w:t>Series A redeemable convertible preferred stock</w:t>
            </w:r>
          </w:p>
        </w:tc>
        <w:tc>
          <w:tcPr>
            <w:tcW w:w="5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(27,067)</w:t>
            </w:r>
          </w:p>
        </w:tc>
        <w:tc>
          <w:tcPr>
            <w:tcW w:w="80" w:type="dxa"/>
            <w:vAlign w:val="bottom"/>
          </w:tcPr>
          <w:p>
            <w:pPr>
              <w:spacing w:after="0"/>
              <w:rPr>
                <w:sz w:val="19"/>
                <w:szCs w:val="19"/>
                <w:color w:val="auto"/>
              </w:rPr>
            </w:pPr>
          </w:p>
        </w:tc>
        <w:tc>
          <w:tcPr>
            <w:tcW w:w="1100" w:type="dxa"/>
            <w:vAlign w:val="bottom"/>
            <w:gridSpan w:val="2"/>
          </w:tcPr>
          <w:p>
            <w:pPr>
              <w:jc w:val="center"/>
              <w:ind w:left="153"/>
              <w:spacing w:after="0"/>
              <w:rPr>
                <w:sz w:val="20"/>
                <w:szCs w:val="20"/>
                <w:color w:val="auto"/>
              </w:rPr>
            </w:pPr>
            <w:r>
              <w:rPr>
                <w:rFonts w:ascii="Arial" w:cs="Arial" w:eastAsia="Arial" w:hAnsi="Arial"/>
                <w:sz w:val="18"/>
                <w:szCs w:val="18"/>
                <w:b w:val="1"/>
                <w:bCs w:val="1"/>
                <w:color w:val="auto"/>
              </w:rPr>
              <w:t>H</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Series B redeemable convertible preferred stock</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b w:val="1"/>
                <w:bCs w:val="1"/>
                <w:color w:val="auto"/>
              </w:rPr>
              <w:t>H</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360" w:right="239" w:bottom="1440" w:gutter="0" w:footer="0" w:header="0"/>
        </w:sectPr>
      </w:pPr>
    </w:p>
    <w:bookmarkStart w:id="243" w:name="page244"/>
    <w:bookmarkEnd w:id="243"/>
    <w:p>
      <w:pPr>
        <w:jc w:val="center"/>
        <w:ind w:right="4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AS OF MARCH 31, 2021</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Historical</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ARYA</w:t>
            </w:r>
          </w:p>
        </w:tc>
        <w:tc>
          <w:tcPr>
            <w:tcW w:w="52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Nautilus</w:t>
            </w:r>
          </w:p>
        </w:tc>
        <w:tc>
          <w:tcPr>
            <w:tcW w:w="480" w:type="dxa"/>
            <w:vAlign w:val="bottom"/>
          </w:tcPr>
          <w:p>
            <w:pPr>
              <w:spacing w:after="0"/>
              <w:rPr>
                <w:sz w:val="10"/>
                <w:szCs w:val="10"/>
                <w:color w:val="auto"/>
              </w:rPr>
            </w:pPr>
          </w:p>
        </w:tc>
        <w:tc>
          <w:tcPr>
            <w:tcW w:w="96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40" w:type="dxa"/>
            <w:vAlign w:val="bottom"/>
            <w:gridSpan w:val="2"/>
          </w:tcPr>
          <w:p>
            <w:pPr>
              <w:jc w:val="right"/>
              <w:ind w:right="293"/>
              <w:spacing w:after="0" w:line="133" w:lineRule="exact"/>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1"/>
                <w:szCs w:val="11"/>
                <w:color w:val="auto"/>
              </w:rPr>
            </w:pPr>
          </w:p>
        </w:tc>
        <w:tc>
          <w:tcPr>
            <w:tcW w:w="1040" w:type="dxa"/>
            <w:vAlign w:val="bottom"/>
            <w:vMerge w:val="restart"/>
          </w:tcPr>
          <w:p>
            <w:pPr>
              <w:jc w:val="center"/>
              <w:ind w:left="232"/>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14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redeemable convertible preferred stock</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Class A common stock, subject to possible</w:t>
            </w:r>
          </w:p>
        </w:tc>
        <w:tc>
          <w:tcPr>
            <w:tcW w:w="5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138,468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F</w:t>
            </w: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w:t>
            </w:r>
          </w:p>
        </w:tc>
        <w:tc>
          <w:tcPr>
            <w:tcW w:w="5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(133,814)</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9"/>
              </w:rPr>
              <w:t>G</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 (deficit):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5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9"/>
              </w:rPr>
              <w: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rPr>
              <w:t>F</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9"/>
              </w:rPr>
              <w:t>G</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H</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I</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K</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rPr>
              <w:t>Class B Common Stock</w:t>
            </w:r>
          </w:p>
        </w:tc>
        <w:tc>
          <w:tcPr>
            <w:tcW w:w="5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rPr>
              <w:t>I</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Nautilus Common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79"/>
              </w:rPr>
              <w:t>J</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K</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8"/>
              </w:rPr>
              <w:t>437,8</w:t>
            </w: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(3,146)</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1"/>
              </w:rPr>
              <w:t>D</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199,998</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9"/>
              </w:rPr>
              <w: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133,813</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9"/>
              </w:rPr>
              <w:t>G</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rPr>
              <w:t>H</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rPr>
              <w:t>I</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79"/>
              </w:rPr>
              <w:t>J</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K</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L</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w w:val="97"/>
              </w:rPr>
              <w:t>Accumulated other comprehensive income (loss)</w:t>
            </w:r>
          </w:p>
        </w:tc>
        <w:tc>
          <w:tcPr>
            <w:tcW w:w="5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(Accumulated Deficit)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L</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7"/>
              </w:rPr>
              <w:t>(38,7</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 (deficit)</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430,957</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215"/>
              <w:spacing w:after="0"/>
              <w:rPr>
                <w:sz w:val="20"/>
                <w:szCs w:val="20"/>
                <w:color w:val="auto"/>
              </w:rPr>
            </w:pPr>
            <w:r>
              <w:rPr>
                <w:rFonts w:ascii="Arial" w:cs="Arial" w:eastAsia="Arial" w:hAnsi="Arial"/>
                <w:sz w:val="18"/>
                <w:szCs w:val="18"/>
                <w:color w:val="auto"/>
                <w:w w:val="88"/>
              </w:rPr>
              <w:t>399,1</w:t>
            </w: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Total liabilities, redeemable convertible preferred stock</w:t>
            </w:r>
          </w:p>
        </w:tc>
        <w:tc>
          <w:tcPr>
            <w:tcW w:w="5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150,500</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76,148</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176,166</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center"/>
              <w:ind w:left="215"/>
              <w:spacing w:after="0"/>
              <w:rPr>
                <w:sz w:val="20"/>
                <w:szCs w:val="20"/>
                <w:color w:val="auto"/>
              </w:rPr>
            </w:pPr>
            <w:r>
              <w:rPr>
                <w:rFonts w:ascii="Arial" w:cs="Arial" w:eastAsia="Arial" w:hAnsi="Arial"/>
                <w:sz w:val="18"/>
                <w:szCs w:val="18"/>
                <w:color w:val="auto"/>
                <w:w w:val="88"/>
              </w:rPr>
              <w:t>402,8</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and stockholders' equity (deficit)</w:t>
            </w: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360" w:right="239" w:bottom="1440" w:gutter="0" w:footer="0" w:header="0"/>
        </w:sectPr>
      </w:pPr>
    </w:p>
    <w:bookmarkStart w:id="244" w:name="page245"/>
    <w:bookmarkEnd w:id="244"/>
    <w:p>
      <w:pPr>
        <w:jc w:val="center"/>
        <w:ind w:right="420"/>
        <w:spacing w:after="0"/>
        <w:rPr>
          <w:sz w:val="20"/>
          <w:szCs w:val="20"/>
          <w:color w:val="auto"/>
        </w:rPr>
      </w:pPr>
      <w:r>
        <w:rPr>
          <w:rFonts w:ascii="Arial" w:cs="Arial" w:eastAsia="Arial" w:hAnsi="Arial"/>
          <w:sz w:val="18"/>
          <w:szCs w:val="18"/>
          <w:b w:val="1"/>
          <w:bCs w:val="1"/>
          <w:color w:val="auto"/>
        </w:rPr>
        <w:t>UNAUDITED PRO FORMA</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CONDENSED COMBINED STATEMENT OF OPERATIONS</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March 31, 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2"/>
          </w:tcPr>
          <w:p>
            <w:pPr>
              <w:ind w:left="340"/>
              <w:spacing w:after="0" w:line="133" w:lineRule="exact"/>
              <w:rPr>
                <w:sz w:val="20"/>
                <w:szCs w:val="20"/>
                <w:color w:val="auto"/>
              </w:rPr>
            </w:pPr>
            <w:r>
              <w:rPr>
                <w:rFonts w:ascii="Arial" w:cs="Arial" w:eastAsia="Arial" w:hAnsi="Arial"/>
                <w:sz w:val="14"/>
                <w:szCs w:val="14"/>
                <w:b w:val="1"/>
                <w:bCs w:val="1"/>
                <w:color w:val="auto"/>
              </w:rPr>
              <w:t>ARYA</w:t>
            </w:r>
          </w:p>
        </w:tc>
        <w:tc>
          <w:tcPr>
            <w:tcW w:w="18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Nautilus (Historical)</w:t>
            </w:r>
          </w:p>
        </w:tc>
        <w:tc>
          <w:tcPr>
            <w:tcW w:w="540" w:type="dxa"/>
            <w:vAlign w:val="bottom"/>
          </w:tcPr>
          <w:p>
            <w:pPr>
              <w:spacing w:after="0"/>
              <w:rPr>
                <w:sz w:val="11"/>
                <w:szCs w:val="11"/>
                <w:color w:val="auto"/>
              </w:rPr>
            </w:pPr>
          </w:p>
        </w:tc>
        <w:tc>
          <w:tcPr>
            <w:tcW w:w="122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1"/>
                <w:szCs w:val="11"/>
                <w:color w:val="auto"/>
              </w:rPr>
            </w:pPr>
          </w:p>
        </w:tc>
        <w:tc>
          <w:tcPr>
            <w:tcW w:w="1160" w:type="dxa"/>
            <w:vAlign w:val="bottom"/>
            <w:gridSpan w:val="2"/>
            <w:vMerge w:val="restart"/>
          </w:tcPr>
          <w:p>
            <w:pPr>
              <w:jc w:val="center"/>
              <w:ind w:left="141"/>
              <w:spacing w:after="0"/>
              <w:rPr>
                <w:sz w:val="20"/>
                <w:szCs w:val="20"/>
                <w:color w:val="auto"/>
              </w:rPr>
            </w:pPr>
            <w:r>
              <w:rPr>
                <w:rFonts w:ascii="Arial" w:cs="Arial" w:eastAsia="Arial" w:hAnsi="Arial"/>
                <w:sz w:val="14"/>
                <w:szCs w:val="14"/>
                <w:b w:val="1"/>
                <w:bCs w:val="1"/>
                <w:color w:val="auto"/>
                <w:w w:val="87"/>
              </w:rPr>
              <w:t>Notes</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 Forma Combin</w:t>
            </w: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1820" w:type="dxa"/>
            <w:vAlign w:val="bottom"/>
            <w:gridSpan w:val="3"/>
            <w:vMerge w:val="continue"/>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w w:val="96"/>
              </w:rPr>
              <w:t>Accounting Adjustments</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2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5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28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5"/>
        </w:trPr>
        <w:tc>
          <w:tcPr>
            <w:tcW w:w="2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4"/>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center"/>
              <w:ind w:left="141"/>
              <w:spacing w:after="0"/>
              <w:rPr>
                <w:sz w:val="20"/>
                <w:szCs w:val="20"/>
                <w:color w:val="auto"/>
              </w:rPr>
            </w:pPr>
            <w:r>
              <w:rPr>
                <w:rFonts w:ascii="Arial" w:cs="Arial" w:eastAsia="Arial" w:hAnsi="Arial"/>
                <w:sz w:val="18"/>
                <w:szCs w:val="18"/>
                <w:b w:val="1"/>
                <w:bCs w:val="1"/>
                <w:color w:val="auto"/>
                <w:w w:val="99"/>
              </w:rPr>
              <w:t>AA</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ind w:left="794"/>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124,045,2</w:t>
            </w: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Common Stock</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Basic and diluted net loss per share -</w:t>
            </w: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line="173"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14,950,000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Class A Common Stock</w:t>
            </w:r>
          </w:p>
        </w:tc>
        <w:tc>
          <w:tcPr>
            <w:tcW w:w="4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Basic and diluted net loss per share-</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w:t>
            </w:r>
          </w:p>
        </w:tc>
        <w:tc>
          <w:tcPr>
            <w:tcW w:w="4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line="173"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4,236,500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Class B Common Stock</w:t>
            </w:r>
          </w:p>
        </w:tc>
        <w:tc>
          <w:tcPr>
            <w:tcW w:w="4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Basic and diluted net loss per share-</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4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line="173"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9,095,711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Nautilus Common Stock</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Basic and diluted net loss per share -</w:t>
            </w: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Nautilus</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360" w:right="239" w:bottom="1440" w:gutter="0" w:footer="0" w:header="0"/>
        </w:sectPr>
      </w:pPr>
    </w:p>
    <w:bookmarkStart w:id="245" w:name="page246"/>
    <w:bookmarkEnd w:id="24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1—Description of the Business Combination</w:t>
      </w:r>
    </w:p>
    <w:p>
      <w:pPr>
        <w:spacing w:after="0" w:line="170"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On June 9, 2021, New Nautilus consummated the previously announced Business Combination pursuant to Business Combination Agreement dated February 7, 2021 between ARYA and Nautilus, under the terms of which, ARYA acquired Nautilus, upon domestication of ARYA, through which a wholly-owned subsidiary of ARYA merged with and into Nautilus, with Nautilus becoming a wholly-owned subsidiary of ARYA, referred to herein as New Nautilus, which became a publicly-listed entity. As a result of the Business Combination, New Nautilus owns, directly or indirectly, all of the issued and outstanding equity interests of Nautilus and the Nautilus equity holders hold a portion of the New Nautilus Common Stock.</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As a result of the Business Combination Agreement, Nautilus equity holders received an aggregate number of shares of New Nautilus Common Stock equal to (i) $900.0 million plus $24.3 million, which reflects the aggregate exercise price of all stock options (whether vested or unvested) of Nautilus at the consummation of the Business Combination, divided by (ii) $10.00 giving effect to the Exchange Ratio of approximately 3.6281 based on the terms of the Business Combination Agreement. At the Closing, (i) an aggregate of 18,721,137 shares of Class A and Class B ordinary shares of ARYA were exchanged for an equivalent number of Common Stock pursuant to the Domestication, (ii) an aggregate of 85,324,118 shares of Common Stock were issued in exchange for the shares of Nautilus outstanding as of immediately prior to the Effective Time and (iii) an aggregate of 20,000,000 shares of Common stock were issued to the PIPE Investors in the PIPE Financing with total gross proceeds of $200 million. Moreover, at the Closing, all options to purchase shares of Nautilus were exchanged for comparable options to purchase shares of Common Stock based on an implied Nautilus equity value of $900 million. Immediately after giving effect to the transactions, there were 124,045,255 shares of Common Stock outstanding and 7,106,767 shares of Common Stock subject to outstanding options under the 2017 Plan.</w:t>
      </w:r>
    </w:p>
    <w:p>
      <w:pPr>
        <w:spacing w:after="0" w:line="129" w:lineRule="exact"/>
        <w:rPr>
          <w:sz w:val="20"/>
          <w:szCs w:val="20"/>
          <w:color w:val="auto"/>
        </w:rPr>
      </w:pPr>
    </w:p>
    <w:p>
      <w:pPr>
        <w:jc w:val="both"/>
        <w:ind w:right="240" w:firstLine="318"/>
        <w:spacing w:after="0" w:line="277" w:lineRule="auto"/>
        <w:rPr>
          <w:sz w:val="20"/>
          <w:szCs w:val="20"/>
          <w:color w:val="auto"/>
        </w:rPr>
      </w:pPr>
      <w:r>
        <w:rPr>
          <w:rFonts w:ascii="Arial" w:cs="Arial" w:eastAsia="Arial" w:hAnsi="Arial"/>
          <w:sz w:val="17"/>
          <w:szCs w:val="17"/>
          <w:color w:val="auto"/>
        </w:rPr>
        <w:t>The following summarizes the number of New Nautilus Common Stock outstanding following the consummation of the Business Combination and the PIPE Financing, based on the estimated aggregate exercise price of all options (whether vested or unvested) of Nautilus at the consummation of the Business Combination excluding the potential dilutive effect of the exercise or vesting of warrants and stock options:</w:t>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52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Shareholder</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r>
      <w:tr>
        <w:trPr>
          <w:trHeight w:val="224"/>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Former ARYA Class A Shareholders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14,983,637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12.1</w:t>
            </w:r>
          </w:p>
        </w:tc>
      </w:tr>
      <w:tr>
        <w:trPr>
          <w:trHeight w:val="225"/>
        </w:trPr>
        <w:tc>
          <w:tcPr>
            <w:tcW w:w="7600" w:type="dxa"/>
            <w:vAlign w:val="bottom"/>
            <w:gridSpan w:val="2"/>
          </w:tcPr>
          <w:p>
            <w:pPr>
              <w:ind w:left="340"/>
              <w:spacing w:after="0"/>
              <w:rPr>
                <w:sz w:val="20"/>
                <w:szCs w:val="20"/>
                <w:color w:val="auto"/>
              </w:rPr>
            </w:pPr>
            <w:r>
              <w:rPr>
                <w:rFonts w:ascii="Arial" w:cs="Arial" w:eastAsia="Arial" w:hAnsi="Arial"/>
                <w:sz w:val="18"/>
                <w:szCs w:val="18"/>
                <w:color w:val="auto"/>
              </w:rPr>
              <w:t>Former ARYA Class B Sponsor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tcPr>
          <w:p>
            <w:pPr>
              <w:spacing w:after="0"/>
              <w:rPr>
                <w:sz w:val="19"/>
                <w:szCs w:val="19"/>
                <w:color w:val="auto"/>
              </w:rPr>
            </w:pPr>
          </w:p>
        </w:tc>
        <w:tc>
          <w:tcPr>
            <w:tcW w:w="1760" w:type="dxa"/>
            <w:vAlign w:val="bottom"/>
          </w:tcPr>
          <w:p>
            <w:pPr>
              <w:jc w:val="right"/>
              <w:ind w:right="234"/>
              <w:spacing w:after="0"/>
              <w:rPr>
                <w:sz w:val="20"/>
                <w:szCs w:val="20"/>
                <w:color w:val="auto"/>
              </w:rPr>
            </w:pPr>
            <w:r>
              <w:rPr>
                <w:rFonts w:ascii="Arial" w:cs="Arial" w:eastAsia="Arial" w:hAnsi="Arial"/>
                <w:sz w:val="18"/>
                <w:szCs w:val="18"/>
                <w:color w:val="auto"/>
              </w:rPr>
              <w:t>3.0</w:t>
            </w:r>
          </w:p>
        </w:tc>
      </w:tr>
      <w:tr>
        <w:trPr>
          <w:trHeight w:val="226"/>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Perceptive PIPE Investor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4.4</w:t>
            </w:r>
          </w:p>
        </w:tc>
      </w:tr>
      <w:tr>
        <w:trPr>
          <w:trHeight w:val="225"/>
        </w:trPr>
        <w:tc>
          <w:tcPr>
            <w:tcW w:w="7600" w:type="dxa"/>
            <w:vAlign w:val="bottom"/>
            <w:gridSpan w:val="2"/>
          </w:tcPr>
          <w:p>
            <w:pPr>
              <w:ind w:left="340"/>
              <w:spacing w:after="0"/>
              <w:rPr>
                <w:sz w:val="20"/>
                <w:szCs w:val="20"/>
                <w:color w:val="auto"/>
              </w:rPr>
            </w:pPr>
            <w:r>
              <w:rPr>
                <w:rFonts w:ascii="Arial" w:cs="Arial" w:eastAsia="Arial" w:hAnsi="Arial"/>
                <w:sz w:val="18"/>
                <w:szCs w:val="18"/>
                <w:color w:val="auto"/>
              </w:rPr>
              <w:t>Other PIPE Investors</w:t>
            </w:r>
          </w:p>
        </w:tc>
        <w:tc>
          <w:tcPr>
            <w:tcW w:w="156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tcPr>
          <w:p>
            <w:pPr>
              <w:spacing w:after="0"/>
              <w:rPr>
                <w:sz w:val="19"/>
                <w:szCs w:val="19"/>
                <w:color w:val="auto"/>
              </w:rPr>
            </w:pPr>
          </w:p>
        </w:tc>
        <w:tc>
          <w:tcPr>
            <w:tcW w:w="1760" w:type="dxa"/>
            <w:vAlign w:val="bottom"/>
          </w:tcPr>
          <w:p>
            <w:pPr>
              <w:jc w:val="right"/>
              <w:ind w:right="234"/>
              <w:spacing w:after="0"/>
              <w:rPr>
                <w:sz w:val="20"/>
                <w:szCs w:val="20"/>
                <w:color w:val="auto"/>
              </w:rPr>
            </w:pPr>
            <w:r>
              <w:rPr>
                <w:rFonts w:ascii="Arial" w:cs="Arial" w:eastAsia="Arial" w:hAnsi="Arial"/>
                <w:sz w:val="18"/>
                <w:szCs w:val="18"/>
                <w:color w:val="auto"/>
              </w:rPr>
              <w:t>11.7</w:t>
            </w:r>
          </w:p>
        </w:tc>
      </w:tr>
      <w:tr>
        <w:trPr>
          <w:trHeight w:val="225"/>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Former Nautilus shareholders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85,324,118</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68.8</w:t>
            </w:r>
          </w:p>
        </w:tc>
      </w:tr>
      <w:tr>
        <w:trPr>
          <w:trHeight w:val="219"/>
        </w:trPr>
        <w:tc>
          <w:tcPr>
            <w:tcW w:w="76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124,045,255</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100.0</w:t>
            </w:r>
          </w:p>
        </w:tc>
      </w:tr>
      <w:tr>
        <w:trPr>
          <w:trHeight w:val="20"/>
        </w:trPr>
        <w:tc>
          <w:tcPr>
            <w:tcW w:w="7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2—Basis of Presentation</w:t>
      </w:r>
    </w:p>
    <w:p>
      <w:pPr>
        <w:spacing w:after="0" w:line="17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accompanying unaudited pro forma condensed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spacing w:after="0" w:line="135"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This Business Combination was accounted for as a reverse recapitalization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spacing w:after="0" w:line="99" w:lineRule="exact"/>
        <w:rPr>
          <w:sz w:val="20"/>
          <w:szCs w:val="20"/>
          <w:color w:val="auto"/>
        </w:rPr>
      </w:pPr>
    </w:p>
    <w:p>
      <w:pPr>
        <w:ind w:left="640" w:hanging="31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The pre-combination equity holders of Nautilus will hold the majority of voting rights in New Nautilus;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5" w:lineRule="exact"/>
        <w:rPr>
          <w:rFonts w:ascii="Arial" w:cs="Arial" w:eastAsia="Arial" w:hAnsi="Arial"/>
          <w:sz w:val="18"/>
          <w:szCs w:val="18"/>
          <w:b w:val="1"/>
          <w:bCs w:val="1"/>
          <w:color w:val="auto"/>
        </w:rPr>
      </w:pPr>
    </w:p>
    <w:p>
      <w:pPr>
        <w:ind w:left="5460"/>
        <w:spacing w:after="0"/>
        <w:rPr>
          <w:rFonts w:ascii="Arial" w:cs="Arial" w:eastAsia="Arial" w:hAnsi="Arial"/>
          <w:sz w:val="18"/>
          <w:szCs w:val="18"/>
          <w:b w:val="1"/>
          <w:bCs w:val="1"/>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46" w:name="page247"/>
    <w:bookmarkEnd w:id="246"/>
    <w:p>
      <w:pPr>
        <w:spacing w:after="0" w:line="119" w:lineRule="exact"/>
        <w:rPr>
          <w:sz w:val="20"/>
          <w:szCs w:val="20"/>
          <w:color w:val="auto"/>
        </w:rPr>
      </w:pPr>
    </w:p>
    <w:p>
      <w:pPr>
        <w:ind w:left="640" w:hanging="31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The pre-combination equity holders of Nautilus will have the right to appoint the majority of the directors on the New Nautilus Board;</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Senior management of Nautilus will comprise the senior management of New Nautilus; and</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Operations of Nautilus will comprise the ongoing operations of New Nautilus.</w:t>
      </w:r>
    </w:p>
    <w:p>
      <w:pPr>
        <w:spacing w:after="0" w:line="164"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Under the reverse recapitalization model, the Business Combination will be treated as Nautilus issuing equity for the net assets of ARYA, with no goodwill or intangible assets recorded.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condensed combined financial information will be different.</w:t>
      </w:r>
    </w:p>
    <w:p>
      <w:pPr>
        <w:spacing w:after="0" w:line="12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New Nautilus assumed outstanding and unexercised equity awards for employees and converted them into New Nautilus equity awards upon the consummation of the Business Combination. Accordingly, no effect has been given to the unaudited pro forma condensed combined financial information for the new awards.</w:t>
      </w:r>
    </w:p>
    <w:p>
      <w:pPr>
        <w:spacing w:after="0" w:line="135"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3 – Pro Forma Adjustments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Adjustments to the Unaudited Pro Forma Condensed Combined Balance Sheet as of March 31,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adjustments included in the unaudited pro forma condensed combined balance sheet as of March 31, 2021 are as follows:</w:t>
      </w:r>
    </w:p>
    <w:p>
      <w:pPr>
        <w:spacing w:after="0" w:line="164" w:lineRule="exact"/>
        <w:rPr>
          <w:sz w:val="20"/>
          <w:szCs w:val="20"/>
          <w:color w:val="auto"/>
        </w:rPr>
      </w:pPr>
    </w:p>
    <w:p>
      <w:pPr>
        <w:ind w:right="280" w:firstLine="324"/>
        <w:spacing w:after="0" w:line="264" w:lineRule="auto"/>
        <w:tabs>
          <w:tab w:leader="none" w:pos="635"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Reflects the liquidation and reclassification of $149.6 million of investments held in the Trust Account to cash and cash equivalents that becomes available for general use by New Nautilus following the Closing.</w:t>
      </w:r>
    </w:p>
    <w:p>
      <w:pPr>
        <w:spacing w:after="0" w:line="127" w:lineRule="exact"/>
        <w:rPr>
          <w:rFonts w:ascii="Arial" w:cs="Arial" w:eastAsia="Arial" w:hAnsi="Arial"/>
          <w:sz w:val="18"/>
          <w:szCs w:val="18"/>
          <w:b w:val="1"/>
          <w:bCs w:val="1"/>
          <w:color w:val="auto"/>
        </w:rPr>
      </w:pPr>
    </w:p>
    <w:p>
      <w:pPr>
        <w:ind w:left="640" w:hanging="31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Reflects the payment of $5.2 million of deferred underwriters’ fees incurred during ARYA’s IPO due upon the Closing.</w:t>
      </w:r>
    </w:p>
    <w:p>
      <w:pPr>
        <w:spacing w:after="0" w:line="164" w:lineRule="exact"/>
        <w:rPr>
          <w:rFonts w:ascii="Arial" w:cs="Arial" w:eastAsia="Arial" w:hAnsi="Arial"/>
          <w:sz w:val="18"/>
          <w:szCs w:val="18"/>
          <w:b w:val="1"/>
          <w:bCs w:val="1"/>
          <w:color w:val="auto"/>
        </w:rPr>
      </w:pPr>
    </w:p>
    <w:p>
      <w:pPr>
        <w:ind w:right="200" w:firstLine="324"/>
        <w:spacing w:after="0" w:line="264" w:lineRule="auto"/>
        <w:tabs>
          <w:tab w:leader="none" w:pos="68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Represents direct and incremental transaction costs of $8.1 million incurred by Nautilus prior to, or concurrent with, the Closing. As of March 31, 2021, Nautilus had deferred transaction costs incurred of $3.2 million, of which $1.1 million was unpaid.</w:t>
      </w:r>
    </w:p>
    <w:p>
      <w:pPr>
        <w:spacing w:after="0" w:line="127" w:lineRule="exact"/>
        <w:rPr>
          <w:rFonts w:ascii="Arial" w:cs="Arial" w:eastAsia="Arial" w:hAnsi="Arial"/>
          <w:sz w:val="18"/>
          <w:szCs w:val="18"/>
          <w:b w:val="1"/>
          <w:bCs w:val="1"/>
          <w:color w:val="auto"/>
        </w:rPr>
      </w:pPr>
    </w:p>
    <w:p>
      <w:pPr>
        <w:ind w:right="100" w:firstLine="324"/>
        <w:spacing w:after="0" w:line="252" w:lineRule="auto"/>
        <w:tabs>
          <w:tab w:leader="none" w:pos="635"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Represents direct and incremental transaction costs of $4.7 million incurred by ARYA prior to, or concurrent with, the Closing that are to be cash settled upon Closing in accordance with the Business Combination Agreement, excluding the $5.2 million of deferred underwriting fees related to the ARYA initial public offering as described in adjustment note (B). As of March 31, 2021, ARYA had transaction costs incurred of $1.5 million, all of which was unpaid.</w:t>
      </w:r>
    </w:p>
    <w:p>
      <w:pPr>
        <w:spacing w:after="0" w:line="137" w:lineRule="exact"/>
        <w:rPr>
          <w:rFonts w:ascii="Arial" w:cs="Arial" w:eastAsia="Arial" w:hAnsi="Arial"/>
          <w:sz w:val="18"/>
          <w:szCs w:val="18"/>
          <w:b w:val="1"/>
          <w:bCs w:val="1"/>
          <w:color w:val="auto"/>
        </w:rPr>
      </w:pPr>
    </w:p>
    <w:p>
      <w:pPr>
        <w:ind w:right="540" w:firstLine="324"/>
        <w:spacing w:after="0" w:line="294" w:lineRule="auto"/>
        <w:tabs>
          <w:tab w:leader="none" w:pos="626"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Reflects the proceeds of $200.0 million from the issuance and sale of 20.0 million shares of New Nautilus Common Stock at $10.00 per share pursuant to the Subscription Agreements entered into with New PIPE Investors in connection with the PIPE Financing.</w:t>
      </w:r>
    </w:p>
    <w:p>
      <w:pPr>
        <w:spacing w:after="0" w:line="104" w:lineRule="exact"/>
        <w:rPr>
          <w:rFonts w:ascii="Arial" w:cs="Arial" w:eastAsia="Arial" w:hAnsi="Arial"/>
          <w:sz w:val="17"/>
          <w:szCs w:val="17"/>
          <w:b w:val="1"/>
          <w:bCs w:val="1"/>
          <w:color w:val="auto"/>
        </w:rPr>
      </w:pPr>
    </w:p>
    <w:p>
      <w:pPr>
        <w:ind w:right="560" w:firstLine="324"/>
        <w:spacing w:after="0" w:line="365" w:lineRule="auto"/>
        <w:tabs>
          <w:tab w:leader="none" w:pos="613" w:val="left"/>
        </w:tabs>
        <w:numPr>
          <w:ilvl w:val="0"/>
          <w:numId w:val="127"/>
        </w:numPr>
        <w:rPr>
          <w:rFonts w:ascii="Arial" w:cs="Arial" w:eastAsia="Arial" w:hAnsi="Arial"/>
          <w:sz w:val="15"/>
          <w:szCs w:val="15"/>
          <w:b w:val="1"/>
          <w:bCs w:val="1"/>
          <w:color w:val="auto"/>
        </w:rPr>
      </w:pPr>
      <w:r>
        <w:rPr>
          <w:rFonts w:ascii="Arial" w:cs="Arial" w:eastAsia="Arial" w:hAnsi="Arial"/>
          <w:sz w:val="15"/>
          <w:szCs w:val="15"/>
          <w:color w:val="auto"/>
        </w:rPr>
        <w:t>Represents the cash disbursed to redeem 465,363 shares of Class A Common Stock in connection with the Business Combination allocated to common stock and additional paid-in capital, using a par value of $0.0001 per share at a redemption price of approximately $10.00 per share.</w:t>
      </w:r>
    </w:p>
    <w:p>
      <w:pPr>
        <w:spacing w:after="0" w:line="58" w:lineRule="exact"/>
        <w:rPr>
          <w:rFonts w:ascii="Arial" w:cs="Arial" w:eastAsia="Arial" w:hAnsi="Arial"/>
          <w:sz w:val="15"/>
          <w:szCs w:val="15"/>
          <w:b w:val="1"/>
          <w:bCs w:val="1"/>
          <w:color w:val="auto"/>
        </w:rPr>
      </w:pPr>
    </w:p>
    <w:p>
      <w:pPr>
        <w:ind w:left="640" w:hanging="316"/>
        <w:spacing w:after="0"/>
        <w:tabs>
          <w:tab w:leader="none" w:pos="640"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Reflects the reclassification of Class A Common Stock subject to possible redemption to permanent equity immediately prior to the Closing.</w:t>
      </w:r>
    </w:p>
    <w:p>
      <w:pPr>
        <w:spacing w:after="0" w:line="175" w:lineRule="exact"/>
        <w:rPr>
          <w:rFonts w:ascii="Arial" w:cs="Arial" w:eastAsia="Arial" w:hAnsi="Arial"/>
          <w:sz w:val="17"/>
          <w:szCs w:val="17"/>
          <w:b w:val="1"/>
          <w:bCs w:val="1"/>
          <w:color w:val="auto"/>
        </w:rPr>
      </w:pPr>
    </w:p>
    <w:p>
      <w:pPr>
        <w:ind w:right="560" w:firstLine="324"/>
        <w:spacing w:after="0" w:line="264" w:lineRule="auto"/>
        <w:tabs>
          <w:tab w:leader="none" w:pos="632"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Reflects the conversion of Nautilus redeemable convertible preferred stock into New Nautilus Common Stock pursuant to the conversion rate effective immediately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7" w:name="page248"/>
    <w:bookmarkEnd w:id="247"/>
    <w:p>
      <w:pPr>
        <w:spacing w:after="0" w:line="119" w:lineRule="exact"/>
        <w:rPr>
          <w:sz w:val="20"/>
          <w:szCs w:val="20"/>
          <w:color w:val="auto"/>
        </w:rPr>
      </w:pPr>
    </w:p>
    <w:p>
      <w:pPr>
        <w:ind w:left="640" w:hanging="31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Reflects the conversion of 3,737,500 ARYA shares of Class B Common Stock into shares of New Nautilus Common Stock.</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Reflects net share settlement of Nautilus common stock warrants upon closing of the Business Combination.</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8"/>
        </w:numPr>
        <w:rPr>
          <w:rFonts w:ascii="Arial" w:cs="Arial" w:eastAsia="Arial" w:hAnsi="Arial"/>
          <w:sz w:val="15"/>
          <w:szCs w:val="15"/>
          <w:b w:val="1"/>
          <w:bCs w:val="1"/>
          <w:color w:val="auto"/>
        </w:rPr>
      </w:pPr>
      <w:r>
        <w:rPr>
          <w:rFonts w:ascii="Arial" w:cs="Arial" w:eastAsia="Arial" w:hAnsi="Arial"/>
          <w:sz w:val="15"/>
          <w:szCs w:val="15"/>
          <w:color w:val="auto"/>
        </w:rPr>
        <w:t>Represents the recapitalization of common shares between Nautilus Common Stock, New Nautilus Common Stock and additional paid-in capital.</w:t>
      </w:r>
    </w:p>
    <w:p>
      <w:pPr>
        <w:spacing w:after="0" w:line="198" w:lineRule="exact"/>
        <w:rPr>
          <w:rFonts w:ascii="Arial" w:cs="Arial" w:eastAsia="Arial" w:hAnsi="Arial"/>
          <w:sz w:val="15"/>
          <w:szCs w:val="15"/>
          <w:b w:val="1"/>
          <w:bCs w:val="1"/>
          <w:color w:val="auto"/>
        </w:rPr>
      </w:pPr>
    </w:p>
    <w:p>
      <w:pPr>
        <w:ind w:left="640" w:hanging="31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Reflects the elimination of ARYA’s historical accumulated deficit.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Adjustments to the Unaudited Pro Forma Condensed Combined Statements of Operations for the Three Months Ended March 31, 2021 and for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w:t>
      </w:r>
    </w:p>
    <w:p>
      <w:pPr>
        <w:spacing w:after="0" w:line="15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adjustments included in the unaudited pro forma condensed combined statements of operations for the three months ended March 31, 2021 and for the year ended December 31, 2020 are as follows: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AA</w:t>
      </w:r>
      <w:r>
        <w:rPr>
          <w:rFonts w:ascii="Arial" w:cs="Arial" w:eastAsia="Arial" w:hAnsi="Arial"/>
          <w:sz w:val="18"/>
          <w:szCs w:val="18"/>
          <w:color w:val="auto"/>
        </w:rPr>
        <w:t>. Represents the elimination of investment income related to the investments held in the ARYA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48" w:name="page249"/>
    <w:bookmarkEnd w:id="248"/>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4 – Net Loss per Share</w:t>
      </w:r>
    </w:p>
    <w:p>
      <w:pPr>
        <w:spacing w:after="0" w:line="170"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46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94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December</w:t>
            </w:r>
          </w:p>
        </w:tc>
        <w:tc>
          <w:tcPr>
            <w:tcW w:w="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Three Months Ende</w:t>
            </w:r>
          </w:p>
        </w:tc>
        <w:tc>
          <w:tcPr>
            <w:tcW w:w="0" w:type="dxa"/>
            <w:vAlign w:val="bottom"/>
          </w:tcPr>
          <w:p>
            <w:pPr>
              <w:spacing w:after="0"/>
              <w:rPr>
                <w:sz w:val="1"/>
                <w:szCs w:val="1"/>
                <w:color w:val="auto"/>
              </w:rPr>
            </w:pPr>
          </w:p>
        </w:tc>
      </w:tr>
      <w:tr>
        <w:trPr>
          <w:trHeight w:val="185"/>
        </w:trPr>
        <w:tc>
          <w:tcPr>
            <w:tcW w:w="746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net loss</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124,045,255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124,045,2</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net loss per share - Basic and Diluted</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2"/>
        </w:trPr>
        <w:tc>
          <w:tcPr>
            <w:tcW w:w="7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Weighted average shares outstanding - basic and diluted</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Former ARYA Class A shareholders</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14,983,637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14,983,6</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Former ARYA Class B Sponsor Shares</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Perceptive PIPE Investor</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PIPE Investors</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Former Nautilus Shareholders</w:t>
            </w: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weighted average shares outstanding - basic and diluted</w:t>
            </w:r>
          </w:p>
        </w:tc>
        <w:tc>
          <w:tcPr>
            <w:tcW w:w="5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49" w:name="page250"/>
    <w:bookmarkEnd w:id="24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0"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following table sets forth all expenses to be paid by the Registrant, other than underwriting discounts and commissions, in connection with this offering. All amounts shown are estimates.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96,732</w:t>
            </w:r>
          </w:p>
        </w:tc>
        <w:tc>
          <w:tcPr>
            <w:tcW w:w="0" w:type="dxa"/>
            <w:vAlign w:val="bottom"/>
          </w:tcPr>
          <w:p>
            <w:pPr>
              <w:spacing w:after="0"/>
              <w:rPr>
                <w:sz w:val="1"/>
                <w:szCs w:val="1"/>
                <w:color w:val="auto"/>
              </w:rPr>
            </w:pPr>
          </w:p>
        </w:tc>
      </w:tr>
      <w:tr>
        <w:trPr>
          <w:trHeight w:val="238"/>
        </w:trPr>
        <w:tc>
          <w:tcPr>
            <w:tcW w:w="938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20"/>
                <w:szCs w:val="20"/>
                <w:color w:val="auto"/>
              </w:rPr>
            </w:pPr>
          </w:p>
        </w:tc>
        <w:tc>
          <w:tcPr>
            <w:tcW w:w="6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listing fee</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9380" w:type="dxa"/>
            <w:vAlign w:val="bottom"/>
          </w:tcPr>
          <w:p>
            <w:pPr>
              <w:ind w:left="20"/>
              <w:spacing w:after="0"/>
              <w:rPr>
                <w:sz w:val="20"/>
                <w:szCs w:val="20"/>
                <w:color w:val="auto"/>
              </w:rPr>
            </w:pPr>
            <w:r>
              <w:rPr>
                <w:rFonts w:ascii="Arial" w:cs="Arial" w:eastAsia="Arial" w:hAnsi="Arial"/>
                <w:sz w:val="18"/>
                <w:szCs w:val="18"/>
                <w:color w:val="auto"/>
              </w:rPr>
              <w:t>Printing and engraving</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938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sky fees and expenses (including legal fees)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9380" w:type="dxa"/>
            <w:vAlign w:val="bottom"/>
          </w:tcPr>
          <w:p>
            <w:pPr>
              <w:ind w:left="20"/>
              <w:spacing w:after="0"/>
              <w:rPr>
                <w:sz w:val="20"/>
                <w:szCs w:val="20"/>
                <w:color w:val="auto"/>
              </w:rPr>
            </w:pPr>
            <w:r>
              <w:rPr>
                <w:rFonts w:ascii="Arial" w:cs="Arial" w:eastAsia="Arial" w:hAnsi="Arial"/>
                <w:sz w:val="18"/>
                <w:szCs w:val="18"/>
                <w:color w:val="auto"/>
              </w:rPr>
              <w:t>Transfer agent and registrar fees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93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96,732</w:t>
            </w:r>
          </w:p>
        </w:tc>
        <w:tc>
          <w:tcPr>
            <w:tcW w:w="0" w:type="dxa"/>
            <w:vAlign w:val="bottom"/>
          </w:tcPr>
          <w:p>
            <w:pPr>
              <w:spacing w:after="0"/>
              <w:rPr>
                <w:sz w:val="1"/>
                <w:szCs w:val="1"/>
                <w:color w:val="auto"/>
              </w:rPr>
            </w:pPr>
          </w:p>
        </w:tc>
      </w:tr>
      <w:tr>
        <w:trPr>
          <w:trHeight w:val="28"/>
        </w:trPr>
        <w:tc>
          <w:tcPr>
            <w:tcW w:w="938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4"/>
        <w:spacing w:after="0"/>
        <w:tabs>
          <w:tab w:leader="none" w:pos="3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0"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As permitted by Section 102 of the Delaware General Corporation Law, 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to the fullest extent permitted by Delaware law as it now exists or may in the future be amended. Our certificate of incorporation also authorizes us to indemnify our officers, directors and other agents to the fullest extent permitted under Delaware law.</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permitted by Section 145 of the Delaware General Corporation Law, our bylaws provide that:</w:t>
      </w:r>
    </w:p>
    <w:p>
      <w:pPr>
        <w:spacing w:after="0" w:line="164" w:lineRule="exact"/>
        <w:rPr>
          <w:sz w:val="20"/>
          <w:szCs w:val="20"/>
          <w:color w:val="auto"/>
        </w:rPr>
      </w:pPr>
    </w:p>
    <w:p>
      <w:pPr>
        <w:ind w:left="640" w:right="120" w:hanging="316"/>
        <w:spacing w:after="0" w:line="264" w:lineRule="auto"/>
        <w:tabs>
          <w:tab w:leader="none" w:pos="6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27" w:lineRule="exact"/>
        <w:rPr>
          <w:rFonts w:ascii="Arial" w:cs="Arial" w:eastAsia="Arial" w:hAnsi="Arial"/>
          <w:sz w:val="18"/>
          <w:szCs w:val="18"/>
          <w:color w:val="auto"/>
        </w:rPr>
      </w:pPr>
    </w:p>
    <w:p>
      <w:pPr>
        <w:ind w:left="640" w:right="600" w:hanging="316"/>
        <w:spacing w:after="0" w:line="264" w:lineRule="auto"/>
        <w:tabs>
          <w:tab w:leader="none" w:pos="6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Our certificate of incorporation and our bylaws provide for the indemnification provisions described above and elsewhere herein. We have entered into separate indemnification agreements with our directors and officers that may be broader than the specific indemnification provisions contained in the Delaware General Corporation Law. We have entered into agreements with our officers and directors to provide contractual indemnification in addition to the indemnification provided for in our certificate of incorporation. Our bylaws also permit us to maintain insurance on behalf of any officer, director or employee for any liability arising out of his or her actions, regardless of whether Delaware law would permit such indemnification. We have obtained a policy of director’s and officer’s liability insurance that insures our officers and directors against the cost of defense, settlement or payment of a judgment in some circumstances and insures us against our obligations to indemnify our officers and directors. These indemnification provisions and the indemnification agreements may be sufficiently broad to permit indemnification of directors and officers for liabilities, including reimbursement of expenses incurred, arising under the Securities Act of 1933, as amended, or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have sold the securities described below within the past three years which were not registered under the Securities Act. All of the sales listed below were made pursuant to an exemption from registration afforded by Section 4(a)(2) of the Securities Act (and Regulation D thereunder) or Rule 701 promulgated under Section 3(b) of the Securities Act.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Private Placement Shares</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Simultaneously with the closing of ARYA’s initial public offering, we consummated the private placement of 499,000 Class A ordinary shares (the “Private Placement Shares”), at a price of $10.00 per Private Placement Share to our Sponsor, generating gross proceeds of approximately $5.0 million. This issuance was made pursuant to the exemption from registration contained in Section 4(a)(2) of the Securities Act and no underwriting discounts or commissions were paid with respect to such sale.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 B Ordinary Shares</w:t>
      </w:r>
    </w:p>
    <w:p>
      <w:pPr>
        <w:spacing w:after="0" w:line="16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On April 2, 2020, our Sponsor paid $25,000 to cover certain of our offering costs in consideration of 3,593,750 Class B ordinary shares (the “Founder Shares”). In July 2020, our Sponsor transferred an aggregate of 90,000 Founder Shares to our independent director nominees. On August 6, 2020, we effected a share capitalization resulting in the initial shareholders holding 3,737,500 Founder Shares. Our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 Such securities were issued in connection with the Company’s organization pursuant to the exemption from registration contained in Section 4(a)(2) of the Securities Act.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PIPE Shares</w:t>
      </w:r>
    </w:p>
    <w:p>
      <w:pPr>
        <w:spacing w:after="0" w:line="164"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Concurrently with the execution of the Business Combination Agreement, ARYA entered into subscription agreements with certain investors, pursuant to which, at the closing of the Business Combination, the investors subscribed for and purchased an aggregate of 20,000,000 shares of Common Stock at a price of $10.00 per share for aggregate gross proceeds of $200,000,000.</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Plan-Related Issuances</w:t>
      </w:r>
    </w:p>
    <w:p>
      <w:pPr>
        <w:spacing w:after="0" w:line="164" w:lineRule="exact"/>
        <w:rPr>
          <w:sz w:val="20"/>
          <w:szCs w:val="20"/>
          <w:color w:val="auto"/>
        </w:rPr>
      </w:pPr>
    </w:p>
    <w:p>
      <w:pPr>
        <w:jc w:val="center"/>
        <w:ind w:right="400"/>
        <w:spacing w:after="0" w:line="365" w:lineRule="auto"/>
        <w:rPr>
          <w:sz w:val="20"/>
          <w:szCs w:val="20"/>
          <w:color w:val="auto"/>
        </w:rPr>
      </w:pPr>
      <w:r>
        <w:rPr>
          <w:rFonts w:ascii="Arial" w:cs="Arial" w:eastAsia="Arial" w:hAnsi="Arial"/>
          <w:sz w:val="15"/>
          <w:szCs w:val="15"/>
          <w:color w:val="auto"/>
        </w:rPr>
        <w:t>In June and July 2021, we granted to certain of our officers, directors, employees, consultants, and advisors, options to purchase an aggregate of 1,198,936 options to purchase shares of Common Stock with a weighted average exercise price of $9.97 per share under our 2021 Equity Incentive Plan.</w:t>
      </w:r>
    </w:p>
    <w:p>
      <w:pPr>
        <w:spacing w:after="0" w:line="5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Except as otherwise indicated, 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or Rule 701 promulgated under Section 3(b) of the Securities Act as transactions by an issuer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1" w:name="page252"/>
    <w:bookmarkEnd w:id="251"/>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360" w:type="dxa"/>
            <w:vAlign w:val="bottom"/>
            <w:gridSpan w:val="31"/>
          </w:tcPr>
          <w:p>
            <w:pPr>
              <w:ind w:left="20"/>
              <w:spacing w:after="0"/>
              <w:rPr>
                <w:sz w:val="20"/>
                <w:szCs w:val="20"/>
                <w:color w:val="auto"/>
              </w:rPr>
            </w:pPr>
            <w:r>
              <w:rPr>
                <w:rFonts w:ascii="Arial" w:cs="Arial" w:eastAsia="Arial" w:hAnsi="Arial"/>
                <w:sz w:val="18"/>
                <w:szCs w:val="18"/>
                <w:b w:val="1"/>
                <w:bCs w:val="1"/>
                <w:color w:val="auto"/>
              </w:rPr>
              <w:t>ITEM 16. EXHIBITS AND FINANCIAL STATEMENT SCHEDULES.</w:t>
            </w:r>
          </w:p>
        </w:tc>
        <w:tc>
          <w:tcPr>
            <w:tcW w:w="0" w:type="dxa"/>
            <w:vAlign w:val="bottom"/>
          </w:tcPr>
          <w:p>
            <w:pPr>
              <w:spacing w:after="0"/>
              <w:rPr>
                <w:sz w:val="1"/>
                <w:szCs w:val="1"/>
                <w:color w:val="auto"/>
              </w:rPr>
            </w:pPr>
          </w:p>
        </w:tc>
      </w:tr>
      <w:tr>
        <w:trPr>
          <w:trHeight w:val="371"/>
        </w:trPr>
        <w:tc>
          <w:tcPr>
            <w:tcW w:w="11260" w:type="dxa"/>
            <w:vAlign w:val="bottom"/>
            <w:gridSpan w:val="35"/>
          </w:tcPr>
          <w:p>
            <w:pPr>
              <w:ind w:left="3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Exhibits</w:t>
            </w:r>
            <w:r>
              <w:rPr>
                <w:rFonts w:ascii="Arial" w:cs="Arial" w:eastAsia="Arial" w:hAnsi="Arial"/>
                <w:sz w:val="18"/>
                <w:szCs w:val="18"/>
                <w:color w:val="auto"/>
              </w:rPr>
              <w:t>. We have filed the exhibits listed on the accompanying Exhibit Index of this Registration Statement.</w:t>
            </w:r>
          </w:p>
        </w:tc>
        <w:tc>
          <w:tcPr>
            <w:tcW w:w="0" w:type="dxa"/>
            <w:vAlign w:val="bottom"/>
          </w:tcPr>
          <w:p>
            <w:pPr>
              <w:spacing w:after="0"/>
              <w:rPr>
                <w:sz w:val="1"/>
                <w:szCs w:val="1"/>
                <w:color w:val="auto"/>
              </w:rPr>
            </w:pPr>
          </w:p>
        </w:tc>
      </w:tr>
      <w:tr>
        <w:trPr>
          <w:trHeight w:val="319"/>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20" w:type="dxa"/>
            <w:vAlign w:val="bottom"/>
            <w:gridSpan w:val="2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line="180"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10040" w:type="dxa"/>
            <w:vAlign w:val="bottom"/>
            <w:gridSpan w:val="32"/>
          </w:tcPr>
          <w:p>
            <w:pPr>
              <w:spacing w:after="0" w:line="180" w:lineRule="exact"/>
              <w:rPr>
                <w:rFonts w:ascii="Arial" w:cs="Arial" w:eastAsia="Arial" w:hAnsi="Arial"/>
                <w:sz w:val="18"/>
                <w:szCs w:val="18"/>
                <w:color w:val="0000FF"/>
                <w:w w:val="92"/>
              </w:rPr>
            </w:pPr>
            <w:hyperlink r:id="rId353">
              <w:r>
                <w:rPr>
                  <w:rFonts w:ascii="Arial" w:cs="Arial" w:eastAsia="Arial" w:hAnsi="Arial"/>
                  <w:sz w:val="18"/>
                  <w:szCs w:val="18"/>
                  <w:color w:val="0000FF"/>
                  <w:w w:val="92"/>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6"/>
          </w:tcPr>
          <w:p>
            <w:pPr>
              <w:spacing w:after="0" w:line="152" w:lineRule="exact"/>
              <w:rPr>
                <w:rFonts w:ascii="Arial" w:cs="Arial" w:eastAsia="Arial" w:hAnsi="Arial"/>
                <w:sz w:val="17"/>
                <w:szCs w:val="17"/>
                <w:color w:val="0000FF"/>
                <w:w w:val="95"/>
              </w:rPr>
            </w:pPr>
            <w:hyperlink r:id="rId353">
              <w:r>
                <w:rPr>
                  <w:rFonts w:ascii="Arial" w:cs="Arial" w:eastAsia="Arial" w:hAnsi="Arial"/>
                  <w:sz w:val="17"/>
                  <w:szCs w:val="17"/>
                  <w:color w:val="0000FF"/>
                  <w:w w:val="95"/>
                </w:rPr>
                <w:t>Inc., and Nautilus Biotechnology, Inc. (incorporated by reference to Exhibit 2.1 to the Company’s Current Report on Form 8-K filed with</w:t>
              </w:r>
            </w:hyperlink>
          </w:p>
        </w:tc>
        <w:tc>
          <w:tcPr>
            <w:tcW w:w="20" w:type="dxa"/>
            <w:vAlign w:val="bottom"/>
          </w:tcPr>
          <w:p>
            <w:pPr>
              <w:spacing w:after="0"/>
              <w:rPr>
                <w:sz w:val="13"/>
                <w:szCs w:val="13"/>
                <w:color w:val="auto"/>
              </w:rPr>
            </w:pPr>
          </w:p>
        </w:tc>
        <w:tc>
          <w:tcPr>
            <w:tcW w:w="300" w:type="dxa"/>
            <w:vAlign w:val="bottom"/>
            <w:gridSpan w:val="15"/>
          </w:tcPr>
          <w:p>
            <w:pPr>
              <w:spacing w:after="0" w:line="152" w:lineRule="exact"/>
              <w:rPr>
                <w:rFonts w:ascii="Arial" w:cs="Arial" w:eastAsia="Arial" w:hAnsi="Arial"/>
                <w:sz w:val="17"/>
                <w:szCs w:val="17"/>
                <w:color w:val="0000FF"/>
              </w:rPr>
            </w:pPr>
            <w:hyperlink r:id="rId353">
              <w:r>
                <w:rPr>
                  <w:rFonts w:ascii="Arial" w:cs="Arial" w:eastAsia="Arial" w:hAnsi="Arial"/>
                  <w:sz w:val="17"/>
                  <w:szCs w:val="17"/>
                  <w:color w:val="0000FF"/>
                </w:rPr>
                <w:t>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2"/>
              </w:rPr>
            </w:pPr>
            <w:hyperlink r:id="rId353">
              <w:r>
                <w:rPr>
                  <w:rFonts w:ascii="Arial" w:cs="Arial" w:eastAsia="Arial" w:hAnsi="Arial"/>
                  <w:sz w:val="17"/>
                  <w:szCs w:val="17"/>
                  <w:color w:val="0000FF"/>
                  <w:w w:val="92"/>
                </w:rPr>
                <w:t>SEC on February 8, 2021).</w:t>
              </w:r>
            </w:hyperlink>
          </w:p>
        </w:tc>
        <w:tc>
          <w:tcPr>
            <w:tcW w:w="80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2"/>
              </w:rPr>
            </w:pPr>
            <w:hyperlink r:id="rId354">
              <w:r>
                <w:rPr>
                  <w:rFonts w:ascii="Arial" w:cs="Arial" w:eastAsia="Arial" w:hAnsi="Arial"/>
                  <w:sz w:val="18"/>
                  <w:szCs w:val="18"/>
                  <w:color w:val="0000FF"/>
                  <w:w w:val="92"/>
                </w:rPr>
                <w:t>Certificate of Incorporation of Nautilus Biotechnology, Inc. (incorporated by reference to Exhibit 3.1 to the Company’s Current Report on</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354">
              <w:r>
                <w:rPr>
                  <w:rFonts w:ascii="Arial" w:cs="Arial" w:eastAsia="Arial" w:hAnsi="Arial"/>
                  <w:sz w:val="17"/>
                  <w:szCs w:val="17"/>
                  <w:color w:val="0000FF"/>
                </w:rPr>
                <w:t>Form 8-K filed with 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2"/>
              </w:rPr>
            </w:pPr>
            <w:hyperlink r:id="rId355">
              <w:r>
                <w:rPr>
                  <w:rFonts w:ascii="Arial" w:cs="Arial" w:eastAsia="Arial" w:hAnsi="Arial"/>
                  <w:sz w:val="18"/>
                  <w:szCs w:val="18"/>
                  <w:color w:val="0000FF"/>
                  <w:w w:val="92"/>
                </w:rPr>
                <w:t>Bylaws of Nautilus Biotechnology, Inc. (incorporated by reference to Exhibit 3.2 to the Company’s Current Report on Form 8-K filed with</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1"/>
              </w:rPr>
            </w:pPr>
            <w:hyperlink r:id="rId355">
              <w:r>
                <w:rPr>
                  <w:rFonts w:ascii="Arial" w:cs="Arial" w:eastAsia="Arial" w:hAnsi="Arial"/>
                  <w:sz w:val="17"/>
                  <w:szCs w:val="17"/>
                  <w:color w:val="0000FF"/>
                  <w:w w:val="91"/>
                </w:rPr>
                <w:t>the SEC on June 10, 2021).</w:t>
              </w:r>
            </w:hyperlink>
          </w:p>
        </w:tc>
        <w:tc>
          <w:tcPr>
            <w:tcW w:w="78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1"/>
              </w:rPr>
            </w:pPr>
            <w:hyperlink r:id="rId356">
              <w:r>
                <w:rPr>
                  <w:rFonts w:ascii="Arial" w:cs="Arial" w:eastAsia="Arial" w:hAnsi="Arial"/>
                  <w:sz w:val="18"/>
                  <w:szCs w:val="18"/>
                  <w:color w:val="0000FF"/>
                  <w:w w:val="91"/>
                </w:rPr>
                <w:t>Specimen Common Stock Certificate (incorporated by reference to Exhibit 4.1 to the Company’s Current Report on Form 8-K filed with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1"/>
              </w:rPr>
            </w:pPr>
            <w:hyperlink r:id="rId356">
              <w:r>
                <w:rPr>
                  <w:rFonts w:ascii="Arial" w:cs="Arial" w:eastAsia="Arial" w:hAnsi="Arial"/>
                  <w:sz w:val="17"/>
                  <w:szCs w:val="17"/>
                  <w:color w:val="0000FF"/>
                  <w:w w:val="91"/>
                </w:rPr>
                <w:t>SEC on June 10, 2021).</w:t>
              </w:r>
            </w:hyperlink>
          </w:p>
        </w:tc>
        <w:tc>
          <w:tcPr>
            <w:tcW w:w="82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5.1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rPr>
            </w:pPr>
            <w:hyperlink w:anchor="page258">
              <w:r>
                <w:rPr>
                  <w:rFonts w:ascii="Arial" w:cs="Arial" w:eastAsia="Arial" w:hAnsi="Arial"/>
                  <w:sz w:val="18"/>
                  <w:szCs w:val="18"/>
                  <w:color w:val="0000FF"/>
                </w:rPr>
                <w:t>Opinion of Wilson Sonsini Goodrich &amp; Rosati, P.C.</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3"/>
              </w:rPr>
            </w:pPr>
            <w:hyperlink r:id="rId357">
              <w:r>
                <w:rPr>
                  <w:rFonts w:ascii="Arial" w:cs="Arial" w:eastAsia="Arial" w:hAnsi="Arial"/>
                  <w:sz w:val="18"/>
                  <w:szCs w:val="18"/>
                  <w:color w:val="0000FF"/>
                  <w:w w:val="93"/>
                </w:rPr>
                <w:t>Form of Subscription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2"/>
              </w:rPr>
            </w:pPr>
            <w:hyperlink r:id="rId357">
              <w:r>
                <w:rPr>
                  <w:rFonts w:ascii="Arial" w:cs="Arial" w:eastAsia="Arial" w:hAnsi="Arial"/>
                  <w:sz w:val="17"/>
                  <w:szCs w:val="17"/>
                  <w:color w:val="0000FF"/>
                  <w:w w:val="92"/>
                </w:rPr>
                <w:t>SEC on February 8, 2021).</w:t>
              </w:r>
            </w:hyperlink>
          </w:p>
        </w:tc>
        <w:tc>
          <w:tcPr>
            <w:tcW w:w="780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1"/>
              </w:rPr>
            </w:pPr>
            <w:hyperlink r:id="rId358">
              <w:r>
                <w:rPr>
                  <w:rFonts w:ascii="Arial" w:cs="Arial" w:eastAsia="Arial" w:hAnsi="Arial"/>
                  <w:sz w:val="18"/>
                  <w:szCs w:val="18"/>
                  <w:color w:val="0000FF"/>
                  <w:w w:val="91"/>
                </w:rPr>
                <w:t>Form of Amended and Restated Registration Rights and Lock-Up Agreement (incorporated by reference to Exhibit 10.2 to the Company’s</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5"/>
              </w:rPr>
            </w:pPr>
            <w:hyperlink r:id="rId358">
              <w:r>
                <w:rPr>
                  <w:rFonts w:ascii="Arial" w:cs="Arial" w:eastAsia="Arial" w:hAnsi="Arial"/>
                  <w:sz w:val="17"/>
                  <w:szCs w:val="17"/>
                  <w:color w:val="0000FF"/>
                  <w:w w:val="95"/>
                </w:rPr>
                <w:t>Current Report on Form 8-K filed with the SEC on February 8, 2021).</w:t>
              </w:r>
            </w:hyperlink>
          </w:p>
        </w:tc>
        <w:tc>
          <w:tcPr>
            <w:tcW w:w="48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1"/>
              </w:rPr>
            </w:pPr>
            <w:hyperlink r:id="rId353">
              <w:r>
                <w:rPr>
                  <w:rFonts w:ascii="Arial" w:cs="Arial" w:eastAsia="Arial" w:hAnsi="Arial"/>
                  <w:sz w:val="18"/>
                  <w:szCs w:val="18"/>
                  <w:color w:val="0000FF"/>
                  <w:w w:val="91"/>
                </w:rPr>
                <w:t>Form of Nautilus Shareholder Transaction Support Agreement (incorporated by reference to Exhibit 10.4 to the Company’s Current Report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5"/>
              </w:rPr>
            </w:pPr>
            <w:hyperlink r:id="rId353">
              <w:r>
                <w:rPr>
                  <w:rFonts w:ascii="Arial" w:cs="Arial" w:eastAsia="Arial" w:hAnsi="Arial"/>
                  <w:sz w:val="17"/>
                  <w:szCs w:val="17"/>
                  <w:color w:val="0000FF"/>
                  <w:w w:val="95"/>
                </w:rPr>
                <w:t>on Form 8-K filed with the SEC on February 8, 2021).</w:t>
              </w:r>
            </w:hyperlink>
          </w:p>
        </w:tc>
        <w:tc>
          <w:tcPr>
            <w:tcW w:w="60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3"/>
              </w:rPr>
            </w:pPr>
            <w:hyperlink r:id="rId359">
              <w:r>
                <w:rPr>
                  <w:rFonts w:ascii="Arial" w:cs="Arial" w:eastAsia="Arial" w:hAnsi="Arial"/>
                  <w:sz w:val="18"/>
                  <w:szCs w:val="18"/>
                  <w:color w:val="0000FF"/>
                  <w:w w:val="93"/>
                </w:rPr>
                <w:t>Nautilus Biotechnology, Inc. 2021 Equity Incentive Plan (incorporated by reference to Exhibit 10.4 to the Company’s Current Report on</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359">
              <w:r>
                <w:rPr>
                  <w:rFonts w:ascii="Arial" w:cs="Arial" w:eastAsia="Arial" w:hAnsi="Arial"/>
                  <w:sz w:val="17"/>
                  <w:szCs w:val="17"/>
                  <w:color w:val="0000FF"/>
                </w:rPr>
                <w:t>Form 8-K filed with the SEC on June 10, 2021).</w:t>
              </w:r>
            </w:hyperlink>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3"/>
              </w:rPr>
            </w:pPr>
            <w:hyperlink r:id="rId360">
              <w:r>
                <w:rPr>
                  <w:rFonts w:ascii="Arial" w:cs="Arial" w:eastAsia="Arial" w:hAnsi="Arial"/>
                  <w:sz w:val="18"/>
                  <w:szCs w:val="18"/>
                  <w:color w:val="0000FF"/>
                  <w:w w:val="93"/>
                </w:rPr>
                <w:t>Nautilus Biotechnology, Inc. 2021 Employee Stock Purchase Plan (incorporated by reference to Exhibit 10.5 to the Company’s Current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5"/>
              </w:rPr>
            </w:pPr>
            <w:hyperlink r:id="rId360">
              <w:r>
                <w:rPr>
                  <w:rFonts w:ascii="Arial" w:cs="Arial" w:eastAsia="Arial" w:hAnsi="Arial"/>
                  <w:sz w:val="17"/>
                  <w:szCs w:val="17"/>
                  <w:color w:val="0000FF"/>
                  <w:w w:val="95"/>
                </w:rPr>
                <w:t>Report on Form 8-K filed with the SEC on June 10, 2021).</w:t>
              </w:r>
            </w:hyperlink>
          </w:p>
        </w:tc>
        <w:tc>
          <w:tcPr>
            <w:tcW w:w="5400" w:type="dxa"/>
            <w:vAlign w:val="bottom"/>
            <w:tcBorders>
              <w:top w:val="single" w:sz="8" w:color="0000FF"/>
            </w:tcBorders>
            <w:gridSpan w:val="6"/>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2"/>
              </w:rPr>
            </w:pPr>
            <w:hyperlink r:id="rId361">
              <w:r>
                <w:rPr>
                  <w:rFonts w:ascii="Arial" w:cs="Arial" w:eastAsia="Arial" w:hAnsi="Arial"/>
                  <w:sz w:val="18"/>
                  <w:szCs w:val="18"/>
                  <w:color w:val="0000FF"/>
                  <w:w w:val="92"/>
                </w:rPr>
                <w:t>Form of Stock Option Agreement under the Nautilus Biotechnology, Inc. 2021 Equity Incentive Plan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w w:val="94"/>
              </w:rPr>
            </w:pPr>
            <w:hyperlink r:id="rId361">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7</w:t>
              </w:r>
              <w:r>
                <w:rPr>
                  <w:rFonts w:ascii="Arial" w:cs="Arial" w:eastAsia="Arial" w:hAnsi="Arial"/>
                  <w:sz w:val="17"/>
                  <w:szCs w:val="17"/>
                  <w:color w:val="0000FF"/>
                  <w:w w:val="94"/>
                </w:rPr>
                <w:t xml:space="preserve"> to the Company’s Form S-4 filed with the SEC on March 26, 2021).</w:t>
              </w:r>
            </w:hyperlink>
          </w:p>
        </w:tc>
        <w:tc>
          <w:tcPr>
            <w:tcW w:w="46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1"/>
              </w:rPr>
            </w:pPr>
            <w:hyperlink r:id="rId362">
              <w:r>
                <w:rPr>
                  <w:rFonts w:ascii="Arial" w:cs="Arial" w:eastAsia="Arial" w:hAnsi="Arial"/>
                  <w:sz w:val="18"/>
                  <w:szCs w:val="18"/>
                  <w:color w:val="0000FF"/>
                  <w:w w:val="91"/>
                </w:rPr>
                <w:t>Form of Restricted Stock Unit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362">
              <w:r>
                <w:rPr>
                  <w:rFonts w:ascii="Arial" w:cs="Arial" w:eastAsia="Arial" w:hAnsi="Arial"/>
                  <w:sz w:val="17"/>
                  <w:szCs w:val="17"/>
                  <w:color w:val="0000FF"/>
                </w:rPr>
                <w:t>Exhibit 10.8 to the Company’s Form S-4 filed with the SEC on March 26,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0"/>
              </w:rPr>
            </w:pPr>
            <w:hyperlink r:id="rId363">
              <w:r>
                <w:rPr>
                  <w:rFonts w:ascii="Arial" w:cs="Arial" w:eastAsia="Arial" w:hAnsi="Arial"/>
                  <w:sz w:val="18"/>
                  <w:szCs w:val="18"/>
                  <w:color w:val="0000FF"/>
                  <w:w w:val="90"/>
                </w:rPr>
                <w:t>Form of Restricted Stock Award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363">
              <w:r>
                <w:rPr>
                  <w:rFonts w:ascii="Arial" w:cs="Arial" w:eastAsia="Arial" w:hAnsi="Arial"/>
                  <w:sz w:val="17"/>
                  <w:szCs w:val="17"/>
                  <w:color w:val="0000FF"/>
                </w:rPr>
                <w:t>Exhibit 10.9 to the Company’s Form S-4 filed with the SEC on March 26,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0"/>
              </w:rPr>
            </w:pPr>
            <w:hyperlink r:id="rId364">
              <w:r>
                <w:rPr>
                  <w:rFonts w:ascii="Arial" w:cs="Arial" w:eastAsia="Arial" w:hAnsi="Arial"/>
                  <w:sz w:val="18"/>
                  <w:szCs w:val="18"/>
                  <w:color w:val="0000FF"/>
                  <w:w w:val="90"/>
                </w:rPr>
                <w:t>Nautilus Biotechnology, Inc. 2017 Equity Incentive Plan and forms of agreements thereunder (incorporated by reference to Exhibit 10.11 to</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364">
              <w:r>
                <w:rPr>
                  <w:rFonts w:ascii="Arial" w:cs="Arial" w:eastAsia="Arial" w:hAnsi="Arial"/>
                  <w:sz w:val="17"/>
                  <w:szCs w:val="17"/>
                  <w:color w:val="0000FF"/>
                </w:rPr>
                <w:t>the Company’s Form S-4 filed with the SEC on March 26,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2"/>
              </w:rPr>
            </w:pPr>
            <w:hyperlink r:id="rId365">
              <w:r>
                <w:rPr>
                  <w:rFonts w:ascii="Arial" w:cs="Arial" w:eastAsia="Arial" w:hAnsi="Arial"/>
                  <w:sz w:val="18"/>
                  <w:szCs w:val="18"/>
                  <w:color w:val="0000FF"/>
                  <w:w w:val="92"/>
                </w:rPr>
                <w:t>Confirmatory Employment Letter between Nautilus Biotechnology, Inc. and Sujal Patel (incorporated by reference to Exhibit 10.12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6"/>
              </w:rPr>
            </w:pPr>
            <w:hyperlink r:id="rId365">
              <w:r>
                <w:rPr>
                  <w:rFonts w:ascii="Arial" w:cs="Arial" w:eastAsia="Arial" w:hAnsi="Arial"/>
                  <w:sz w:val="17"/>
                  <w:szCs w:val="17"/>
                  <w:color w:val="0000FF"/>
                  <w:w w:val="96"/>
                </w:rPr>
                <w:t>Company’s Form S-4/A filed with the SEC on April 26, 2021).</w:t>
              </w:r>
            </w:hyperlink>
          </w:p>
        </w:tc>
        <w:tc>
          <w:tcPr>
            <w:tcW w:w="5280" w:type="dxa"/>
            <w:vAlign w:val="bottom"/>
            <w:tcBorders>
              <w:top w:val="single" w:sz="8" w:color="0000FF"/>
            </w:tcBorders>
            <w:gridSpan w:val="9"/>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1"/>
              </w:rPr>
            </w:pPr>
            <w:hyperlink r:id="rId366">
              <w:r>
                <w:rPr>
                  <w:rFonts w:ascii="Arial" w:cs="Arial" w:eastAsia="Arial" w:hAnsi="Arial"/>
                  <w:sz w:val="18"/>
                  <w:szCs w:val="18"/>
                  <w:color w:val="0000FF"/>
                  <w:w w:val="91"/>
                </w:rPr>
                <w:t>Confirmatory Employment Letter between Nautilus Biotechnology, Inc. and Anna Mowry (incorporated by reference to Exhibit 10.13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6"/>
              </w:rPr>
            </w:pPr>
            <w:hyperlink r:id="rId366">
              <w:r>
                <w:rPr>
                  <w:rFonts w:ascii="Arial" w:cs="Arial" w:eastAsia="Arial" w:hAnsi="Arial"/>
                  <w:sz w:val="17"/>
                  <w:szCs w:val="17"/>
                  <w:color w:val="0000FF"/>
                  <w:w w:val="96"/>
                </w:rPr>
                <w:t>Company’s Form S-4/A filed with the SEC on April 26, 2021).</w:t>
              </w:r>
            </w:hyperlink>
          </w:p>
        </w:tc>
        <w:tc>
          <w:tcPr>
            <w:tcW w:w="550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10.12+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0"/>
              </w:rPr>
            </w:pPr>
            <w:hyperlink r:id="rId367">
              <w:r>
                <w:rPr>
                  <w:rFonts w:ascii="Arial" w:cs="Arial" w:eastAsia="Arial" w:hAnsi="Arial"/>
                  <w:sz w:val="18"/>
                  <w:szCs w:val="18"/>
                  <w:color w:val="0000FF"/>
                  <w:w w:val="90"/>
                </w:rPr>
                <w:t>Confirmatory Employment Letter between Nautilus Biotechnology, Inc. and Subra Sankar (incorporated by reference to Exhibit 10.15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6"/>
              </w:rPr>
            </w:pPr>
            <w:hyperlink r:id="rId367">
              <w:r>
                <w:rPr>
                  <w:rFonts w:ascii="Arial" w:cs="Arial" w:eastAsia="Arial" w:hAnsi="Arial"/>
                  <w:sz w:val="17"/>
                  <w:szCs w:val="17"/>
                  <w:color w:val="0000FF"/>
                  <w:w w:val="96"/>
                </w:rPr>
                <w:t>Company’s Form S-4/A filed with the SEC on April 26, 2021).</w:t>
              </w:r>
            </w:hyperlink>
          </w:p>
        </w:tc>
        <w:tc>
          <w:tcPr>
            <w:tcW w:w="5480" w:type="dxa"/>
            <w:vAlign w:val="bottom"/>
            <w:tcBorders>
              <w:top w:val="single" w:sz="8" w:color="0000FF"/>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10.13+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1"/>
              </w:rPr>
            </w:pPr>
            <w:hyperlink r:id="rId368">
              <w:r>
                <w:rPr>
                  <w:rFonts w:ascii="Arial" w:cs="Arial" w:eastAsia="Arial" w:hAnsi="Arial"/>
                  <w:sz w:val="18"/>
                  <w:szCs w:val="18"/>
                  <w:color w:val="0000FF"/>
                  <w:w w:val="91"/>
                </w:rPr>
                <w:t>Confirmatory Employment Letter between Nautilus Biotechnology, Inc. and Nick Nelson (incorporated by reference to Exhibit 10.14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6"/>
              </w:rPr>
            </w:pPr>
            <w:hyperlink r:id="rId368">
              <w:r>
                <w:rPr>
                  <w:rFonts w:ascii="Arial" w:cs="Arial" w:eastAsia="Arial" w:hAnsi="Arial"/>
                  <w:sz w:val="17"/>
                  <w:szCs w:val="17"/>
                  <w:color w:val="0000FF"/>
                  <w:w w:val="96"/>
                </w:rPr>
                <w:t>Company’s Form S-4/A filed with the SEC on April 26, 2021).</w:t>
              </w:r>
            </w:hyperlink>
          </w:p>
        </w:tc>
        <w:tc>
          <w:tcPr>
            <w:tcW w:w="5420" w:type="dxa"/>
            <w:vAlign w:val="bottom"/>
            <w:tcBorders>
              <w:top w:val="single" w:sz="8" w:color="0000FF"/>
            </w:tcBorders>
            <w:gridSpan w:val="16"/>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line="205" w:lineRule="exact"/>
              <w:rPr>
                <w:sz w:val="20"/>
                <w:szCs w:val="20"/>
                <w:color w:val="auto"/>
              </w:rPr>
            </w:pPr>
            <w:r>
              <w:rPr>
                <w:rFonts w:ascii="Arial" w:cs="Arial" w:eastAsia="Arial" w:hAnsi="Arial"/>
                <w:sz w:val="18"/>
                <w:szCs w:val="18"/>
                <w:color w:val="auto"/>
              </w:rPr>
              <w:t>10.14+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line="205" w:lineRule="exact"/>
              <w:rPr>
                <w:rFonts w:ascii="Arial" w:cs="Arial" w:eastAsia="Arial" w:hAnsi="Arial"/>
                <w:sz w:val="18"/>
                <w:szCs w:val="18"/>
                <w:color w:val="0000FF"/>
                <w:w w:val="90"/>
              </w:rPr>
            </w:pPr>
            <w:hyperlink r:id="rId369">
              <w:r>
                <w:rPr>
                  <w:rFonts w:ascii="Arial" w:cs="Arial" w:eastAsia="Arial" w:hAnsi="Arial"/>
                  <w:sz w:val="18"/>
                  <w:szCs w:val="18"/>
                  <w:color w:val="0000FF"/>
                  <w:w w:val="90"/>
                </w:rPr>
                <w:t>Confirmatory Employment Letter between Nautilus Biotechnology, Inc. and Parag Mallick (incorporated by reference to Exhibit 10.16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6"/>
              </w:rPr>
            </w:pPr>
            <w:hyperlink r:id="rId369">
              <w:r>
                <w:rPr>
                  <w:rFonts w:ascii="Arial" w:cs="Arial" w:eastAsia="Arial" w:hAnsi="Arial"/>
                  <w:sz w:val="17"/>
                  <w:szCs w:val="17"/>
                  <w:color w:val="0000FF"/>
                  <w:w w:val="96"/>
                </w:rPr>
                <w:t>Company’s Form S-4/A filed with the SEC on April 26, 2021).</w:t>
              </w:r>
            </w:hyperlink>
          </w:p>
        </w:tc>
        <w:tc>
          <w:tcPr>
            <w:tcW w:w="55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gridSpan w:val="19"/>
          </w:tcPr>
          <w:p>
            <w:pPr>
              <w:spacing w:after="0"/>
              <w:rPr>
                <w:rFonts w:ascii="Arial" w:cs="Arial" w:eastAsia="Arial" w:hAnsi="Arial"/>
                <w:sz w:val="18"/>
                <w:szCs w:val="18"/>
                <w:color w:val="0000FF"/>
                <w:w w:val="90"/>
              </w:rPr>
            </w:pPr>
            <w:hyperlink r:id="rId371">
              <w:r>
                <w:rPr>
                  <w:rFonts w:ascii="Arial" w:cs="Arial" w:eastAsia="Arial" w:hAnsi="Arial"/>
                  <w:sz w:val="18"/>
                  <w:szCs w:val="18"/>
                  <w:color w:val="0000FF"/>
                  <w:w w:val="90"/>
                </w:rPr>
                <w:t>Confirmatory Employment Letter between Nautilus Biotechnology, Inc. and Matt Murphy (incorporated by reference to Exhibit 10.17 to the</w:t>
              </w:r>
            </w:hyperlink>
          </w:p>
        </w:tc>
      </w:tr>
      <w:tr>
        <w:trPr>
          <w:trHeight w:val="152"/>
        </w:trPr>
        <w:tc>
          <w:tcPr>
            <w:tcW w:w="120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6"/>
              </w:rPr>
            </w:pPr>
            <w:hyperlink r:id="rId371">
              <w:r>
                <w:rPr>
                  <w:rFonts w:ascii="Arial" w:cs="Arial" w:eastAsia="Arial" w:hAnsi="Arial"/>
                  <w:sz w:val="17"/>
                  <w:szCs w:val="17"/>
                  <w:color w:val="0000FF"/>
                  <w:w w:val="96"/>
                </w:rPr>
                <w:t>Company’s Form S-4/A filed with the SEC on April 26, 2021).</w:t>
              </w:r>
            </w:hyperlink>
          </w:p>
        </w:tc>
        <w:tc>
          <w:tcPr>
            <w:tcW w:w="54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10.16+</w:t>
            </w:r>
          </w:p>
        </w:tc>
        <w:tc>
          <w:tcPr>
            <w:tcW w:w="9980" w:type="dxa"/>
            <w:vAlign w:val="bottom"/>
            <w:gridSpan w:val="19"/>
          </w:tcPr>
          <w:p>
            <w:pPr>
              <w:spacing w:after="0" w:line="205" w:lineRule="exact"/>
              <w:rPr>
                <w:rFonts w:ascii="Arial" w:cs="Arial" w:eastAsia="Arial" w:hAnsi="Arial"/>
                <w:sz w:val="18"/>
                <w:szCs w:val="18"/>
                <w:color w:val="0000FF"/>
                <w:w w:val="91"/>
              </w:rPr>
            </w:pPr>
            <w:hyperlink r:id="rId372">
              <w:r>
                <w:rPr>
                  <w:rFonts w:ascii="Arial" w:cs="Arial" w:eastAsia="Arial" w:hAnsi="Arial"/>
                  <w:sz w:val="18"/>
                  <w:szCs w:val="18"/>
                  <w:color w:val="0000FF"/>
                  <w:w w:val="91"/>
                </w:rPr>
                <w:t>Change in Control and Severance Agreement between Nautilus Biotechnology, Inc. and Sujal Patel (incorporated by reference to Exhibit</w:t>
              </w:r>
            </w:hyperlink>
          </w:p>
        </w:tc>
      </w:tr>
      <w:tr>
        <w:trPr>
          <w:trHeight w:val="152"/>
        </w:trPr>
        <w:tc>
          <w:tcPr>
            <w:tcW w:w="120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372">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18</w:t>
              </w:r>
              <w:r>
                <w:rPr>
                  <w:rFonts w:ascii="Arial" w:cs="Arial" w:eastAsia="Arial" w:hAnsi="Arial"/>
                  <w:sz w:val="17"/>
                  <w:szCs w:val="17"/>
                  <w:color w:val="0000FF"/>
                  <w:w w:val="96"/>
                </w:rPr>
                <w:t xml:space="preserve"> to the Company’s Form S-4/A filed with the SEC on April 26, 2021).</w:t>
              </w:r>
            </w:hyperlink>
          </w:p>
        </w:tc>
        <w:tc>
          <w:tcPr>
            <w:tcW w:w="432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10.17+</w:t>
            </w:r>
          </w:p>
        </w:tc>
        <w:tc>
          <w:tcPr>
            <w:tcW w:w="9980" w:type="dxa"/>
            <w:vAlign w:val="bottom"/>
            <w:gridSpan w:val="19"/>
          </w:tcPr>
          <w:p>
            <w:pPr>
              <w:spacing w:after="0" w:line="205" w:lineRule="exact"/>
              <w:rPr>
                <w:rFonts w:ascii="Arial" w:cs="Arial" w:eastAsia="Arial" w:hAnsi="Arial"/>
                <w:sz w:val="18"/>
                <w:szCs w:val="18"/>
                <w:color w:val="0000FF"/>
                <w:w w:val="90"/>
              </w:rPr>
            </w:pPr>
            <w:hyperlink r:id="rId373">
              <w:r>
                <w:rPr>
                  <w:rFonts w:ascii="Arial" w:cs="Arial" w:eastAsia="Arial" w:hAnsi="Arial"/>
                  <w:sz w:val="18"/>
                  <w:szCs w:val="18"/>
                  <w:color w:val="0000FF"/>
                  <w:w w:val="90"/>
                </w:rPr>
                <w:t>Change in Control and Severance Agreement between Nautilus Biotechnology, Inc. and Anna Mowry (incorporated by reference to Exhibit</w:t>
              </w:r>
            </w:hyperlink>
          </w:p>
        </w:tc>
      </w:tr>
      <w:tr>
        <w:trPr>
          <w:trHeight w:val="152"/>
        </w:trPr>
        <w:tc>
          <w:tcPr>
            <w:tcW w:w="120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373">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19</w:t>
              </w:r>
              <w:r>
                <w:rPr>
                  <w:rFonts w:ascii="Arial" w:cs="Arial" w:eastAsia="Arial" w:hAnsi="Arial"/>
                  <w:sz w:val="17"/>
                  <w:szCs w:val="17"/>
                  <w:color w:val="0000FF"/>
                  <w:w w:val="96"/>
                </w:rPr>
                <w:t xml:space="preserve"> to the Company’s Form S-4/A filed with the SEC on April 26, 2021).</w:t>
              </w:r>
            </w:hyperlink>
          </w:p>
        </w:tc>
        <w:tc>
          <w:tcPr>
            <w:tcW w:w="45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10.18+</w:t>
            </w:r>
          </w:p>
        </w:tc>
        <w:tc>
          <w:tcPr>
            <w:tcW w:w="9980" w:type="dxa"/>
            <w:vAlign w:val="bottom"/>
            <w:gridSpan w:val="19"/>
          </w:tcPr>
          <w:p>
            <w:pPr>
              <w:spacing w:after="0" w:line="205" w:lineRule="exact"/>
              <w:rPr>
                <w:rFonts w:ascii="Arial" w:cs="Arial" w:eastAsia="Arial" w:hAnsi="Arial"/>
                <w:sz w:val="18"/>
                <w:szCs w:val="18"/>
                <w:color w:val="0000FF"/>
                <w:w w:val="89"/>
              </w:rPr>
            </w:pPr>
            <w:hyperlink r:id="rId374">
              <w:r>
                <w:rPr>
                  <w:rFonts w:ascii="Arial" w:cs="Arial" w:eastAsia="Arial" w:hAnsi="Arial"/>
                  <w:sz w:val="18"/>
                  <w:szCs w:val="18"/>
                  <w:color w:val="0000FF"/>
                  <w:w w:val="89"/>
                </w:rPr>
                <w:t>Change in Control and Severance Agreement between Nautilus Biotechnology, Inc. and Subra Sankar (incorporated by reference to Exhibit</w:t>
              </w:r>
            </w:hyperlink>
          </w:p>
        </w:tc>
      </w:tr>
      <w:tr>
        <w:trPr>
          <w:trHeight w:val="152"/>
        </w:trPr>
        <w:tc>
          <w:tcPr>
            <w:tcW w:w="120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374">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21</w:t>
              </w:r>
              <w:r>
                <w:rPr>
                  <w:rFonts w:ascii="Arial" w:cs="Arial" w:eastAsia="Arial" w:hAnsi="Arial"/>
                  <w:sz w:val="17"/>
                  <w:szCs w:val="17"/>
                  <w:color w:val="0000FF"/>
                  <w:w w:val="96"/>
                </w:rPr>
                <w:t xml:space="preserve"> to the Company’s Form S-4/A filed with the SEC on April 26, 2021).</w:t>
              </w:r>
            </w:hyperlink>
          </w:p>
        </w:tc>
        <w:tc>
          <w:tcPr>
            <w:tcW w:w="45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10.19+</w:t>
            </w:r>
          </w:p>
        </w:tc>
        <w:tc>
          <w:tcPr>
            <w:tcW w:w="9980" w:type="dxa"/>
            <w:vAlign w:val="bottom"/>
            <w:gridSpan w:val="19"/>
          </w:tcPr>
          <w:p>
            <w:pPr>
              <w:spacing w:after="0" w:line="205" w:lineRule="exact"/>
              <w:rPr>
                <w:rFonts w:ascii="Arial" w:cs="Arial" w:eastAsia="Arial" w:hAnsi="Arial"/>
                <w:sz w:val="18"/>
                <w:szCs w:val="18"/>
                <w:color w:val="0000FF"/>
                <w:w w:val="90"/>
              </w:rPr>
            </w:pPr>
            <w:hyperlink r:id="rId375">
              <w:r>
                <w:rPr>
                  <w:rFonts w:ascii="Arial" w:cs="Arial" w:eastAsia="Arial" w:hAnsi="Arial"/>
                  <w:sz w:val="18"/>
                  <w:szCs w:val="18"/>
                  <w:color w:val="0000FF"/>
                  <w:w w:val="90"/>
                </w:rPr>
                <w:t>Change in Control and Severance Agreement between Nautilus Biotechnology, Inc. and Nick Nelson (incorporated by reference to Exhibit</w:t>
              </w:r>
            </w:hyperlink>
          </w:p>
        </w:tc>
      </w:tr>
      <w:tr>
        <w:trPr>
          <w:trHeight w:val="152"/>
        </w:trPr>
        <w:tc>
          <w:tcPr>
            <w:tcW w:w="120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375">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20</w:t>
              </w:r>
              <w:r>
                <w:rPr>
                  <w:rFonts w:ascii="Arial" w:cs="Arial" w:eastAsia="Arial" w:hAnsi="Arial"/>
                  <w:sz w:val="17"/>
                  <w:szCs w:val="17"/>
                  <w:color w:val="0000FF"/>
                  <w:w w:val="96"/>
                </w:rPr>
                <w:t xml:space="preserve"> to the Company’s Form S-4/A filed with the SEC on April 26, 2021).</w:t>
              </w:r>
            </w:hyperlink>
          </w:p>
        </w:tc>
        <w:tc>
          <w:tcPr>
            <w:tcW w:w="44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10.20+</w:t>
            </w:r>
          </w:p>
        </w:tc>
        <w:tc>
          <w:tcPr>
            <w:tcW w:w="9980" w:type="dxa"/>
            <w:vAlign w:val="bottom"/>
            <w:gridSpan w:val="19"/>
          </w:tcPr>
          <w:p>
            <w:pPr>
              <w:spacing w:after="0" w:line="205" w:lineRule="exact"/>
              <w:rPr>
                <w:rFonts w:ascii="Arial" w:cs="Arial" w:eastAsia="Arial" w:hAnsi="Arial"/>
                <w:sz w:val="18"/>
                <w:szCs w:val="18"/>
                <w:color w:val="0000FF"/>
                <w:w w:val="89"/>
              </w:rPr>
            </w:pPr>
            <w:hyperlink r:id="rId376">
              <w:r>
                <w:rPr>
                  <w:rFonts w:ascii="Arial" w:cs="Arial" w:eastAsia="Arial" w:hAnsi="Arial"/>
                  <w:sz w:val="18"/>
                  <w:szCs w:val="18"/>
                  <w:color w:val="0000FF"/>
                  <w:w w:val="89"/>
                </w:rPr>
                <w:t>Change in Control and Severance Agreement between Nautilus Biotechnology, Inc. and Parag Mallick (incorporated by reference to Exhibit</w:t>
              </w:r>
            </w:hyperlink>
          </w:p>
        </w:tc>
      </w:tr>
      <w:tr>
        <w:trPr>
          <w:trHeight w:val="152"/>
        </w:trPr>
        <w:tc>
          <w:tcPr>
            <w:tcW w:w="120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376">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22</w:t>
              </w:r>
              <w:r>
                <w:rPr>
                  <w:rFonts w:ascii="Arial" w:cs="Arial" w:eastAsia="Arial" w:hAnsi="Arial"/>
                  <w:sz w:val="17"/>
                  <w:szCs w:val="17"/>
                  <w:color w:val="0000FF"/>
                  <w:w w:val="96"/>
                </w:rPr>
                <w:t xml:space="preserve"> to the Company’s Form S-4/A filed with the SEC on April 26, 2021).</w:t>
              </w:r>
            </w:hyperlink>
          </w:p>
        </w:tc>
        <w:tc>
          <w:tcPr>
            <w:tcW w:w="45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10.21+</w:t>
            </w:r>
          </w:p>
        </w:tc>
        <w:tc>
          <w:tcPr>
            <w:tcW w:w="9980" w:type="dxa"/>
            <w:vAlign w:val="bottom"/>
            <w:gridSpan w:val="19"/>
          </w:tcPr>
          <w:p>
            <w:pPr>
              <w:spacing w:after="0" w:line="205" w:lineRule="exact"/>
              <w:rPr>
                <w:rFonts w:ascii="Arial" w:cs="Arial" w:eastAsia="Arial" w:hAnsi="Arial"/>
                <w:sz w:val="18"/>
                <w:szCs w:val="18"/>
                <w:color w:val="0000FF"/>
                <w:w w:val="90"/>
              </w:rPr>
            </w:pPr>
            <w:hyperlink r:id="rId377">
              <w:r>
                <w:rPr>
                  <w:rFonts w:ascii="Arial" w:cs="Arial" w:eastAsia="Arial" w:hAnsi="Arial"/>
                  <w:sz w:val="18"/>
                  <w:szCs w:val="18"/>
                  <w:color w:val="0000FF"/>
                  <w:w w:val="90"/>
                </w:rPr>
                <w:t>Change in Control and Severance Agreement between Nautilus Biotechnology, Inc. and Matt Murphy (incorporated by reference to Exhibit</w:t>
              </w:r>
            </w:hyperlink>
          </w:p>
        </w:tc>
      </w:tr>
      <w:tr>
        <w:trPr>
          <w:trHeight w:val="152"/>
        </w:trPr>
        <w:tc>
          <w:tcPr>
            <w:tcW w:w="120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377">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23</w:t>
              </w:r>
              <w:r>
                <w:rPr>
                  <w:rFonts w:ascii="Arial" w:cs="Arial" w:eastAsia="Arial" w:hAnsi="Arial"/>
                  <w:sz w:val="17"/>
                  <w:szCs w:val="17"/>
                  <w:color w:val="0000FF"/>
                  <w:w w:val="96"/>
                </w:rPr>
                <w:t xml:space="preserve"> to the Company’s Form S-4/A filed with the SEC on April 26, 2021).</w:t>
              </w:r>
            </w:hyperlink>
          </w:p>
        </w:tc>
        <w:tc>
          <w:tcPr>
            <w:tcW w:w="454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10.22</w:t>
            </w:r>
          </w:p>
        </w:tc>
        <w:tc>
          <w:tcPr>
            <w:tcW w:w="9980" w:type="dxa"/>
            <w:vAlign w:val="bottom"/>
            <w:gridSpan w:val="19"/>
          </w:tcPr>
          <w:p>
            <w:pPr>
              <w:spacing w:after="0" w:line="205" w:lineRule="exact"/>
              <w:rPr>
                <w:rFonts w:ascii="Arial" w:cs="Arial" w:eastAsia="Arial" w:hAnsi="Arial"/>
                <w:sz w:val="18"/>
                <w:szCs w:val="18"/>
                <w:color w:val="0000FF"/>
                <w:w w:val="90"/>
              </w:rPr>
            </w:pPr>
            <w:hyperlink r:id="rId378">
              <w:r>
                <w:rPr>
                  <w:rFonts w:ascii="Arial" w:cs="Arial" w:eastAsia="Arial" w:hAnsi="Arial"/>
                  <w:sz w:val="18"/>
                  <w:szCs w:val="18"/>
                  <w:color w:val="0000FF"/>
                  <w:w w:val="90"/>
                </w:rPr>
                <w:t>Form of Nautilus Biotechnology, Inc. Indemnification Agreement (incorporated by reference to Exhibit 10.24 to the Company’s Form S-4/A</w:t>
              </w:r>
            </w:hyperlink>
          </w:p>
        </w:tc>
      </w:tr>
      <w:tr>
        <w:trPr>
          <w:trHeight w:val="152"/>
        </w:trPr>
        <w:tc>
          <w:tcPr>
            <w:tcW w:w="120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378">
              <w:r>
                <w:rPr>
                  <w:rFonts w:ascii="Arial" w:cs="Arial" w:eastAsia="Arial" w:hAnsi="Arial"/>
                  <w:sz w:val="17"/>
                  <w:szCs w:val="17"/>
                  <w:color w:val="0000FF"/>
                </w:rPr>
                <w:t>filed with the SEC on April 26, 2021).</w:t>
              </w:r>
            </w:hyperlink>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10.23+</w:t>
            </w:r>
          </w:p>
        </w:tc>
        <w:tc>
          <w:tcPr>
            <w:tcW w:w="9980" w:type="dxa"/>
            <w:vAlign w:val="bottom"/>
            <w:gridSpan w:val="19"/>
          </w:tcPr>
          <w:p>
            <w:pPr>
              <w:spacing w:after="0" w:line="205" w:lineRule="exact"/>
              <w:rPr>
                <w:rFonts w:ascii="Arial" w:cs="Arial" w:eastAsia="Arial" w:hAnsi="Arial"/>
                <w:sz w:val="18"/>
                <w:szCs w:val="18"/>
                <w:color w:val="0000FF"/>
                <w:w w:val="90"/>
              </w:rPr>
            </w:pPr>
            <w:hyperlink r:id="rId379">
              <w:r>
                <w:rPr>
                  <w:rFonts w:ascii="Arial" w:cs="Arial" w:eastAsia="Arial" w:hAnsi="Arial"/>
                  <w:sz w:val="18"/>
                  <w:szCs w:val="18"/>
                  <w:color w:val="0000FF"/>
                  <w:w w:val="90"/>
                </w:rPr>
                <w:t>Nautilus Biotechnology, Inc. Executive Incentive Compensation Plan (incorporated by reference to Exhibit 10.25 to the Company’s Form S-</w:t>
              </w:r>
            </w:hyperlink>
          </w:p>
        </w:tc>
      </w:tr>
      <w:tr>
        <w:trPr>
          <w:trHeight w:val="152"/>
        </w:trPr>
        <w:tc>
          <w:tcPr>
            <w:tcW w:w="120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7"/>
              </w:rPr>
            </w:pPr>
            <w:hyperlink r:id="rId379">
              <w:r>
                <w:rPr>
                  <w:rFonts w:ascii="Arial" w:cs="Arial" w:eastAsia="Arial" w:hAnsi="Arial"/>
                  <w:sz w:val="17"/>
                  <w:szCs w:val="17"/>
                  <w:color w:val="0000FF"/>
                  <w:w w:val="97"/>
                </w:rPr>
                <w:t>4/A filed with the SEC on April 26, 2021).</w:t>
              </w:r>
            </w:hyperlink>
          </w:p>
        </w:tc>
        <w:tc>
          <w:tcPr>
            <w:tcW w:w="69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16.1</w:t>
            </w:r>
          </w:p>
        </w:tc>
        <w:tc>
          <w:tcPr>
            <w:tcW w:w="9980" w:type="dxa"/>
            <w:vAlign w:val="bottom"/>
            <w:gridSpan w:val="19"/>
          </w:tcPr>
          <w:p>
            <w:pPr>
              <w:spacing w:after="0" w:line="205" w:lineRule="exact"/>
              <w:rPr>
                <w:rFonts w:ascii="Arial" w:cs="Arial" w:eastAsia="Arial" w:hAnsi="Arial"/>
                <w:sz w:val="18"/>
                <w:szCs w:val="18"/>
                <w:color w:val="0000FF"/>
                <w:w w:val="90"/>
              </w:rPr>
            </w:pPr>
            <w:hyperlink r:id="rId380">
              <w:r>
                <w:rPr>
                  <w:rFonts w:ascii="Arial" w:cs="Arial" w:eastAsia="Arial" w:hAnsi="Arial"/>
                  <w:sz w:val="18"/>
                  <w:szCs w:val="18"/>
                  <w:color w:val="0000FF"/>
                  <w:w w:val="90"/>
                </w:rPr>
                <w:t>Letter from WithumSmith+Brown, PC to the SEC, dated June 9, 2021 (incorporated by reference to Exhibit 16.1 to the Company’s Current</w:t>
              </w:r>
            </w:hyperlink>
          </w:p>
        </w:tc>
      </w:tr>
      <w:tr>
        <w:trPr>
          <w:trHeight w:val="152"/>
        </w:trPr>
        <w:tc>
          <w:tcPr>
            <w:tcW w:w="120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5"/>
              </w:rPr>
            </w:pPr>
            <w:hyperlink r:id="rId380">
              <w:r>
                <w:rPr>
                  <w:rFonts w:ascii="Arial" w:cs="Arial" w:eastAsia="Arial" w:hAnsi="Arial"/>
                  <w:sz w:val="17"/>
                  <w:szCs w:val="17"/>
                  <w:color w:val="0000FF"/>
                  <w:w w:val="95"/>
                </w:rPr>
                <w:t>Report on Form 8-K filed with the SEC on June 10, 2021).</w:t>
              </w:r>
            </w:hyperlink>
          </w:p>
        </w:tc>
        <w:tc>
          <w:tcPr>
            <w:tcW w:w="5680" w:type="dxa"/>
            <w:vAlign w:val="bottom"/>
            <w:tcBorders>
              <w:top w:val="single" w:sz="8" w:color="0000FF"/>
            </w:tcBorders>
            <w:gridSpan w:val="7"/>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21.1</w:t>
            </w:r>
          </w:p>
        </w:tc>
        <w:tc>
          <w:tcPr>
            <w:tcW w:w="2700" w:type="dxa"/>
            <w:vAlign w:val="bottom"/>
            <w:tcBorders>
              <w:bottom w:val="single" w:sz="8" w:color="0000FF"/>
            </w:tcBorders>
          </w:tcPr>
          <w:p>
            <w:pPr>
              <w:spacing w:after="0" w:line="205" w:lineRule="exact"/>
              <w:rPr>
                <w:rFonts w:ascii="Arial" w:cs="Arial" w:eastAsia="Arial" w:hAnsi="Arial"/>
                <w:sz w:val="18"/>
                <w:szCs w:val="18"/>
                <w:color w:val="0000FF"/>
                <w:w w:val="90"/>
              </w:rPr>
            </w:pPr>
            <w:hyperlink w:anchor="page260">
              <w:r>
                <w:rPr>
                  <w:rFonts w:ascii="Arial" w:cs="Arial" w:eastAsia="Arial" w:hAnsi="Arial"/>
                  <w:sz w:val="18"/>
                  <w:szCs w:val="18"/>
                  <w:color w:val="0000FF"/>
                  <w:w w:val="90"/>
                </w:rPr>
                <w:t>List of Subsidiaries of the Registrant.</w:t>
              </w:r>
            </w:hyperlink>
          </w:p>
        </w:tc>
        <w:tc>
          <w:tcPr>
            <w:tcW w:w="7280" w:type="dxa"/>
            <w:vAlign w:val="bottom"/>
            <w:gridSpan w:val="18"/>
          </w:tcPr>
          <w:p>
            <w:pPr>
              <w:spacing w:after="0"/>
              <w:rPr>
                <w:sz w:val="17"/>
                <w:szCs w:val="17"/>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23.1</w:t>
            </w:r>
          </w:p>
        </w:tc>
        <w:tc>
          <w:tcPr>
            <w:tcW w:w="9980" w:type="dxa"/>
            <w:vAlign w:val="bottom"/>
            <w:gridSpan w:val="19"/>
          </w:tcPr>
          <w:p>
            <w:pPr>
              <w:spacing w:after="0" w:line="205" w:lineRule="exact"/>
              <w:rPr>
                <w:rFonts w:ascii="Arial" w:cs="Arial" w:eastAsia="Arial" w:hAnsi="Arial"/>
                <w:sz w:val="18"/>
                <w:szCs w:val="18"/>
                <w:color w:val="0000FF"/>
              </w:rPr>
            </w:pPr>
            <w:hyperlink w:anchor="page261">
              <w:r>
                <w:rPr>
                  <w:rFonts w:ascii="Arial" w:cs="Arial" w:eastAsia="Arial" w:hAnsi="Arial"/>
                  <w:sz w:val="18"/>
                  <w:szCs w:val="18"/>
                  <w:color w:val="0000FF"/>
                </w:rPr>
                <w:t>Consent of PricewaterhouseCoopers LLP.</w:t>
              </w:r>
            </w:hyperlink>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23.2</w:t>
            </w:r>
          </w:p>
        </w:tc>
        <w:tc>
          <w:tcPr>
            <w:tcW w:w="274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90"/>
              </w:rPr>
            </w:pPr>
            <w:hyperlink w:anchor="page262">
              <w:r>
                <w:rPr>
                  <w:rFonts w:ascii="Arial" w:cs="Arial" w:eastAsia="Arial" w:hAnsi="Arial"/>
                  <w:sz w:val="18"/>
                  <w:szCs w:val="18"/>
                  <w:color w:val="0000FF"/>
                  <w:w w:val="90"/>
                </w:rPr>
                <w:t>Consent of WithumSmith+Brown, PC.</w:t>
              </w:r>
            </w:hyperlink>
          </w:p>
        </w:tc>
        <w:tc>
          <w:tcPr>
            <w:tcW w:w="200" w:type="dxa"/>
            <w:vAlign w:val="bottom"/>
            <w:tcBorders>
              <w:top w:val="single" w:sz="8" w:color="0000FF"/>
            </w:tcBorders>
          </w:tcPr>
          <w:p>
            <w:pPr>
              <w:spacing w:after="0"/>
              <w:rPr>
                <w:sz w:val="17"/>
                <w:szCs w:val="17"/>
                <w:color w:val="auto"/>
              </w:rPr>
            </w:pPr>
          </w:p>
        </w:tc>
        <w:tc>
          <w:tcPr>
            <w:tcW w:w="7040" w:type="dxa"/>
            <w:vAlign w:val="bottom"/>
            <w:gridSpan w:val="16"/>
          </w:tcPr>
          <w:p>
            <w:pPr>
              <w:spacing w:after="0"/>
              <w:rPr>
                <w:sz w:val="17"/>
                <w:szCs w:val="17"/>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23.3</w:t>
            </w:r>
          </w:p>
        </w:tc>
        <w:tc>
          <w:tcPr>
            <w:tcW w:w="5480" w:type="dxa"/>
            <w:vAlign w:val="bottom"/>
            <w:tcBorders>
              <w:bottom w:val="single" w:sz="8" w:color="0000FF"/>
            </w:tcBorders>
            <w:gridSpan w:val="8"/>
          </w:tcPr>
          <w:p>
            <w:pPr>
              <w:spacing w:after="0" w:line="205" w:lineRule="exact"/>
              <w:rPr>
                <w:rFonts w:ascii="Arial" w:cs="Arial" w:eastAsia="Arial" w:hAnsi="Arial"/>
                <w:sz w:val="18"/>
                <w:szCs w:val="18"/>
                <w:color w:val="0000FF"/>
                <w:w w:val="90"/>
              </w:rPr>
            </w:pPr>
            <w:hyperlink w:anchor="page258">
              <w:r>
                <w:rPr>
                  <w:rFonts w:ascii="Arial" w:cs="Arial" w:eastAsia="Arial" w:hAnsi="Arial"/>
                  <w:sz w:val="18"/>
                  <w:szCs w:val="18"/>
                  <w:color w:val="0000FF"/>
                  <w:w w:val="90"/>
                </w:rPr>
                <w:t>Consent of Wilson Sonsini Goodrich &amp; Rosati, P.C. (included in Exhibit 5.1).</w:t>
              </w:r>
            </w:hyperlink>
          </w:p>
        </w:tc>
        <w:tc>
          <w:tcPr>
            <w:tcW w:w="4500" w:type="dxa"/>
            <w:vAlign w:val="bottom"/>
            <w:gridSpan w:val="11"/>
          </w:tcPr>
          <w:p>
            <w:pPr>
              <w:spacing w:after="0"/>
              <w:rPr>
                <w:sz w:val="17"/>
                <w:szCs w:val="17"/>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24.1</w:t>
            </w:r>
          </w:p>
        </w:tc>
        <w:tc>
          <w:tcPr>
            <w:tcW w:w="9980" w:type="dxa"/>
            <w:vAlign w:val="bottom"/>
            <w:gridSpan w:val="19"/>
          </w:tcPr>
          <w:p>
            <w:pPr>
              <w:spacing w:after="0" w:line="205" w:lineRule="exact"/>
              <w:rPr>
                <w:rFonts w:ascii="Arial" w:cs="Arial" w:eastAsia="Arial" w:hAnsi="Arial"/>
                <w:sz w:val="18"/>
                <w:szCs w:val="18"/>
                <w:color w:val="0000FF"/>
              </w:rPr>
            </w:pPr>
            <w:hyperlink w:anchor="page255">
              <w:r>
                <w:rPr>
                  <w:rFonts w:ascii="Arial" w:cs="Arial" w:eastAsia="Arial" w:hAnsi="Arial"/>
                  <w:sz w:val="18"/>
                  <w:szCs w:val="18"/>
                  <w:color w:val="0000FF"/>
                </w:rPr>
                <w:t>Power of Attorney (see the signature page to this Registration Statement on Form S-1).</w:t>
              </w:r>
            </w:hyperlink>
          </w:p>
        </w:tc>
      </w:tr>
      <w:tr>
        <w:trPr>
          <w:trHeight w:val="20"/>
        </w:trPr>
        <w:tc>
          <w:tcPr>
            <w:tcW w:w="1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ind w:left="320" w:right="260" w:hanging="314"/>
        <w:spacing w:after="0" w:line="247" w:lineRule="auto"/>
        <w:tabs>
          <w:tab w:leader="none" w:pos="108" w:val="left"/>
        </w:tabs>
        <w:numPr>
          <w:ilvl w:val="0"/>
          <w:numId w:val="131"/>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The Registrant agrees to furnish supplementally a copy of any omitted schedule or exhibit to the SEC upon request.</w:t>
      </w:r>
    </w:p>
    <w:p>
      <w:pPr>
        <w:spacing w:after="0" w:line="139" w:lineRule="exact"/>
        <w:rPr>
          <w:rFonts w:ascii="Arial" w:cs="Arial" w:eastAsia="Arial" w:hAnsi="Arial"/>
          <w:sz w:val="14"/>
          <w:szCs w:val="14"/>
          <w:color w:val="auto"/>
        </w:rPr>
      </w:pPr>
    </w:p>
    <w:p>
      <w:pPr>
        <w:ind w:left="640" w:right="40" w:hanging="316"/>
        <w:spacing w:after="0" w:line="264" w:lineRule="auto"/>
        <w:tabs>
          <w:tab w:leader="none" w:pos="634" w:val="left"/>
        </w:tabs>
        <w:numPr>
          <w:ilvl w:val="1"/>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 All financial statement schedules are omitted because the information called for is not required or is shown either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financial statements or in the notes thereto.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17. UNDERTAKINGS.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The undersigned Registrant hereby undertakes: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64" w:lineRule="exact"/>
        <w:rPr>
          <w:sz w:val="20"/>
          <w:szCs w:val="20"/>
          <w:color w:val="auto"/>
        </w:rPr>
      </w:pPr>
    </w:p>
    <w:p>
      <w:pPr>
        <w:ind w:left="640" w:hanging="31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64" w:lineRule="exact"/>
        <w:rPr>
          <w:rFonts w:ascii="Arial" w:cs="Arial" w:eastAsia="Arial" w:hAnsi="Arial"/>
          <w:sz w:val="18"/>
          <w:szCs w:val="18"/>
          <w:color w:val="auto"/>
        </w:rPr>
      </w:pPr>
    </w:p>
    <w:p>
      <w:pPr>
        <w:ind w:left="640" w:hanging="316"/>
        <w:spacing w:after="0" w:line="312" w:lineRule="auto"/>
        <w:tabs>
          <w:tab w:leader="none" w:pos="63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change in the maximum aggregate offering price set forth in the “Calculation of Registration Fee” table in the effective registration statement.</w:t>
      </w:r>
    </w:p>
    <w:p>
      <w:pPr>
        <w:spacing w:after="0" w:line="164" w:lineRule="exact"/>
        <w:rPr>
          <w:sz w:val="20"/>
          <w:szCs w:val="20"/>
          <w:color w:val="auto"/>
        </w:rPr>
      </w:pPr>
    </w:p>
    <w:p>
      <w:pPr>
        <w:ind w:left="640" w:right="340" w:hanging="316"/>
        <w:spacing w:after="0" w:line="264"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8" w:lineRule="exact"/>
        <w:rPr>
          <w:sz w:val="20"/>
          <w:szCs w:val="20"/>
          <w:color w:val="auto"/>
        </w:rPr>
      </w:pPr>
    </w:p>
    <w:p>
      <w:pPr>
        <w:ind w:left="640" w:right="260" w:hanging="316"/>
        <w:spacing w:after="0" w:line="255" w:lineRule="auto"/>
        <w:tabs>
          <w:tab w:leader="none" w:pos="63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Arial" w:cs="Arial" w:eastAsia="Arial" w:hAnsi="Arial"/>
          <w:sz w:val="18"/>
          <w:szCs w:val="18"/>
          <w:color w:val="auto"/>
        </w:rPr>
      </w:pPr>
    </w:p>
    <w:p>
      <w:pPr>
        <w:ind w:left="640" w:right="60" w:hanging="316"/>
        <w:spacing w:after="0" w:line="264" w:lineRule="auto"/>
        <w:tabs>
          <w:tab w:leader="none" w:pos="63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64"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5"/>
          <w:szCs w:val="15"/>
          <w:color w:val="auto"/>
        </w:rPr>
        <w:t>If the registrant is relying on Rule 430B:</w:t>
      </w:r>
    </w:p>
    <w:p>
      <w:pPr>
        <w:spacing w:after="0" w:line="164" w:lineRule="exact"/>
        <w:rPr>
          <w:sz w:val="20"/>
          <w:szCs w:val="20"/>
          <w:color w:val="auto"/>
        </w:rPr>
      </w:pPr>
    </w:p>
    <w:p>
      <w:pPr>
        <w:ind w:left="640" w:right="440" w:hanging="316"/>
        <w:spacing w:after="0" w:line="264" w:lineRule="auto"/>
        <w:tabs>
          <w:tab w:leader="none" w:pos="63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7" w:lineRule="exact"/>
        <w:rPr>
          <w:rFonts w:ascii="Arial" w:cs="Arial" w:eastAsia="Arial" w:hAnsi="Arial"/>
          <w:sz w:val="18"/>
          <w:szCs w:val="18"/>
          <w:color w:val="auto"/>
        </w:rPr>
      </w:pPr>
    </w:p>
    <w:p>
      <w:pPr>
        <w:ind w:left="640" w:hanging="316"/>
        <w:spacing w:after="0" w:line="263" w:lineRule="auto"/>
        <w:tabs>
          <w:tab w:leader="none" w:pos="63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35" w:lineRule="exact"/>
        <w:rPr>
          <w:sz w:val="20"/>
          <w:szCs w:val="20"/>
          <w:color w:val="auto"/>
        </w:rPr>
      </w:pPr>
    </w:p>
    <w:p>
      <w:pPr>
        <w:ind w:left="640" w:hanging="316"/>
        <w:spacing w:after="0" w:line="306" w:lineRule="auto"/>
        <w:tabs>
          <w:tab w:leader="none" w:pos="63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If the registrant is subject to Rule 430C (§ 230.430C of this chapter), each prospectus filed pursuant to 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4" w:lineRule="exact"/>
        <w:rPr>
          <w:sz w:val="20"/>
          <w:szCs w:val="20"/>
          <w:color w:val="auto"/>
        </w:rPr>
      </w:pPr>
    </w:p>
    <w:p>
      <w:pPr>
        <w:ind w:left="640" w:right="520" w:hanging="316"/>
        <w:spacing w:after="0" w:line="264" w:lineRule="auto"/>
        <w:tabs>
          <w:tab w:leader="none" w:pos="63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19" w:lineRule="exact"/>
        <w:rPr>
          <w:sz w:val="20"/>
          <w:szCs w:val="20"/>
          <w:color w:val="auto"/>
        </w:rPr>
      </w:pPr>
    </w:p>
    <w:p>
      <w:pPr>
        <w:ind w:left="320" w:right="120"/>
        <w:spacing w:after="0" w:line="277" w:lineRule="auto"/>
        <w:rPr>
          <w:sz w:val="20"/>
          <w:szCs w:val="20"/>
          <w:color w:val="auto"/>
        </w:rPr>
      </w:pPr>
      <w:r>
        <w:rPr>
          <w:rFonts w:ascii="Arial" w:cs="Arial" w:eastAsia="Arial" w:hAnsi="Arial"/>
          <w:sz w:val="17"/>
          <w:szCs w:val="17"/>
          <w:color w:val="auto"/>
        </w:rPr>
        <w:t>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8" w:lineRule="exact"/>
        <w:rPr>
          <w:sz w:val="20"/>
          <w:szCs w:val="20"/>
          <w:color w:val="auto"/>
        </w:rPr>
      </w:pPr>
    </w:p>
    <w:p>
      <w:pPr>
        <w:ind w:left="320" w:hanging="316"/>
        <w:spacing w:after="0"/>
        <w:tabs>
          <w:tab w:leader="none" w:pos="3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75" w:lineRule="exact"/>
        <w:rPr>
          <w:rFonts w:ascii="Arial" w:cs="Arial" w:eastAsia="Arial" w:hAnsi="Arial"/>
          <w:sz w:val="17"/>
          <w:szCs w:val="17"/>
          <w:color w:val="auto"/>
        </w:rPr>
      </w:pPr>
    </w:p>
    <w:p>
      <w:pPr>
        <w:ind w:left="320" w:right="180" w:hanging="316"/>
        <w:spacing w:after="0" w:line="264" w:lineRule="auto"/>
        <w:tabs>
          <w:tab w:leader="none" w:pos="31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7" w:lineRule="exact"/>
        <w:rPr>
          <w:rFonts w:ascii="Arial" w:cs="Arial" w:eastAsia="Arial" w:hAnsi="Arial"/>
          <w:sz w:val="18"/>
          <w:szCs w:val="18"/>
          <w:color w:val="auto"/>
        </w:rPr>
      </w:pPr>
    </w:p>
    <w:p>
      <w:pPr>
        <w:ind w:left="320" w:right="520" w:hanging="316"/>
        <w:spacing w:after="0" w:line="264" w:lineRule="auto"/>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7" w:lineRule="exact"/>
        <w:rPr>
          <w:rFonts w:ascii="Arial" w:cs="Arial" w:eastAsia="Arial" w:hAnsi="Arial"/>
          <w:sz w:val="18"/>
          <w:szCs w:val="18"/>
          <w:color w:val="auto"/>
        </w:rPr>
      </w:pPr>
    </w:p>
    <w:p>
      <w:pPr>
        <w:ind w:left="320" w:hanging="316"/>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64" w:lineRule="exact"/>
        <w:rPr>
          <w:sz w:val="20"/>
          <w:szCs w:val="20"/>
          <w:color w:val="auto"/>
        </w:rPr>
      </w:pPr>
    </w:p>
    <w:p>
      <w:pPr>
        <w:ind w:left="320" w:hanging="316"/>
        <w:spacing w:after="0" w:line="265" w:lineRule="auto"/>
        <w:tabs>
          <w:tab w:leader="none" w:pos="31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8" w:lineRule="exact"/>
        <w:rPr>
          <w:rFonts w:ascii="Arial" w:cs="Arial" w:eastAsia="Arial" w:hAnsi="Arial"/>
          <w:sz w:val="17"/>
          <w:szCs w:val="17"/>
          <w:color w:val="auto"/>
        </w:rPr>
      </w:pPr>
    </w:p>
    <w:p>
      <w:pPr>
        <w:ind w:left="320" w:hanging="316"/>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64" w:lineRule="exact"/>
        <w:rPr>
          <w:sz w:val="20"/>
          <w:szCs w:val="20"/>
          <w:color w:val="auto"/>
        </w:rPr>
      </w:pPr>
    </w:p>
    <w:p>
      <w:pPr>
        <w:jc w:val="both"/>
        <w:ind w:left="320" w:right="180" w:hanging="316"/>
        <w:spacing w:after="0" w:line="330" w:lineRule="auto"/>
        <w:tabs>
          <w:tab w:leader="none" w:pos="314" w:val="left"/>
        </w:tabs>
        <w:numPr>
          <w:ilvl w:val="0"/>
          <w:numId w:val="140"/>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3" w:lineRule="exact"/>
        <w:rPr>
          <w:rFonts w:ascii="Arial" w:cs="Arial" w:eastAsia="Arial" w:hAnsi="Arial"/>
          <w:sz w:val="15"/>
          <w:szCs w:val="15"/>
          <w:color w:val="auto"/>
        </w:rPr>
      </w:pPr>
    </w:p>
    <w:p>
      <w:pPr>
        <w:jc w:val="both"/>
        <w:ind w:left="320" w:right="20" w:hanging="316"/>
        <w:spacing w:after="0" w:line="255" w:lineRule="auto"/>
        <w:tabs>
          <w:tab w:leader="none" w:pos="31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II- 6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640" w:top="1440" w:right="379" w:bottom="1440" w:gutter="0" w:footer="0" w:header="0"/>
        </w:sectPr>
      </w:pPr>
    </w:p>
    <w:bookmarkStart w:id="255" w:name="page256"/>
    <w:bookmarkEnd w:id="255"/>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Seattle, State of Washington, on July 22, 2021.</w:t>
      </w:r>
    </w:p>
    <w:p>
      <w:pPr>
        <w:spacing w:after="0" w:line="1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NAUTILUS BIOTECHNOLOGY, INC.</w:t>
      </w:r>
    </w:p>
    <w:p>
      <w:pPr>
        <w:spacing w:after="0" w:line="3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27940</wp:posOffset>
            </wp:positionV>
            <wp:extent cx="26416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5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Sujal Patel</w:t>
      </w:r>
    </w:p>
    <w:p>
      <w:pPr>
        <w:spacing w:after="0" w:line="5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7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56" w:name="page257"/>
    <w:bookmarkEnd w:id="256"/>
    <w:p>
      <w:pPr>
        <w:spacing w:after="0" w:line="119"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51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6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Sujal Patel</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r>
      <w:tr>
        <w:trPr>
          <w:trHeight w:val="47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Mowry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Anna Mowry</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19"/>
                <w:szCs w:val="19"/>
                <w:color w:val="auto"/>
              </w:rPr>
            </w:pPr>
          </w:p>
        </w:tc>
      </w:tr>
      <w:tr>
        <w:trPr>
          <w:trHeight w:val="47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Altman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7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Epperly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Melissa Epperly</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7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Parag Mallick</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7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McIlwain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7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Farzad Nazem</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7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Vijay Pande</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7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L. Posard</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July 22, 2021</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Matthew L. Posard</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40"/>
          </w:cols>
          <w:pgMar w:left="320" w:top="1440"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388" w:lineRule="exact"/>
        <w:rPr>
          <w:sz w:val="20"/>
          <w:szCs w:val="20"/>
          <w:color w:val="auto"/>
        </w:rPr>
      </w:pPr>
    </w:p>
    <w:p>
      <w:pPr>
        <w:ind w:left="692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-55880</wp:posOffset>
            </wp:positionV>
            <wp:extent cx="1076960" cy="4121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1076960" cy="41211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4"/>
          <w:szCs w:val="14"/>
          <w:color w:val="003D4C"/>
        </w:rPr>
        <w:t>Professional Corporation</w:t>
      </w:r>
    </w:p>
    <w:p>
      <w:pPr>
        <w:spacing w:after="0" w:line="92" w:lineRule="exact"/>
        <w:rPr>
          <w:sz w:val="20"/>
          <w:szCs w:val="20"/>
          <w:color w:val="auto"/>
        </w:rPr>
      </w:pPr>
    </w:p>
    <w:p>
      <w:pPr>
        <w:ind w:left="6920"/>
        <w:spacing w:after="0"/>
        <w:rPr>
          <w:sz w:val="20"/>
          <w:szCs w:val="20"/>
          <w:color w:val="auto"/>
        </w:rPr>
      </w:pPr>
      <w:r>
        <w:rPr>
          <w:rFonts w:ascii="Arial" w:cs="Arial" w:eastAsia="Arial" w:hAnsi="Arial"/>
          <w:sz w:val="14"/>
          <w:szCs w:val="14"/>
          <w:color w:val="003D4C"/>
        </w:rPr>
        <w:t>650 Page Mill Road</w:t>
      </w:r>
    </w:p>
    <w:p>
      <w:pPr>
        <w:spacing w:after="0" w:line="10" w:lineRule="exact"/>
        <w:rPr>
          <w:sz w:val="20"/>
          <w:szCs w:val="20"/>
          <w:color w:val="auto"/>
        </w:rPr>
      </w:pPr>
    </w:p>
    <w:p>
      <w:pPr>
        <w:ind w:left="6920"/>
        <w:spacing w:after="0"/>
        <w:rPr>
          <w:sz w:val="20"/>
          <w:szCs w:val="20"/>
          <w:color w:val="auto"/>
        </w:rPr>
      </w:pPr>
      <w:r>
        <w:rPr>
          <w:rFonts w:ascii="Arial" w:cs="Arial" w:eastAsia="Arial" w:hAnsi="Arial"/>
          <w:sz w:val="14"/>
          <w:szCs w:val="14"/>
          <w:color w:val="003D4C"/>
        </w:rPr>
        <w:t>Palo Alto, CA 94304-1050</w:t>
      </w:r>
    </w:p>
    <w:p>
      <w:pPr>
        <w:spacing w:after="0" w:line="92" w:lineRule="exact"/>
        <w:rPr>
          <w:sz w:val="20"/>
          <w:szCs w:val="20"/>
          <w:color w:val="auto"/>
        </w:rPr>
      </w:pPr>
    </w:p>
    <w:p>
      <w:pPr>
        <w:ind w:left="6920"/>
        <w:spacing w:after="0"/>
        <w:rPr>
          <w:sz w:val="20"/>
          <w:szCs w:val="20"/>
          <w:color w:val="auto"/>
        </w:rPr>
      </w:pPr>
      <w:r>
        <w:rPr>
          <w:rFonts w:ascii="Arial" w:cs="Arial" w:eastAsia="Arial" w:hAnsi="Arial"/>
          <w:sz w:val="14"/>
          <w:szCs w:val="14"/>
          <w:color w:val="003D4C"/>
        </w:rPr>
        <w:t>o: 650.493.9300</w:t>
      </w:r>
    </w:p>
    <w:p>
      <w:pPr>
        <w:spacing w:after="0" w:line="10" w:lineRule="exact"/>
        <w:rPr>
          <w:sz w:val="20"/>
          <w:szCs w:val="20"/>
          <w:color w:val="auto"/>
        </w:rPr>
      </w:pPr>
    </w:p>
    <w:p>
      <w:pPr>
        <w:ind w:left="692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July 22, 2021</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Nautilus Biotechnology,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425 Pontius Ave N, Ste 202</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Seattle, Washington 98109</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 </w:t>
      </w:r>
      <w:r>
        <w:rPr>
          <w:rFonts w:ascii="Arial" w:cs="Arial" w:eastAsia="Arial" w:hAnsi="Arial"/>
          <w:sz w:val="19"/>
          <w:szCs w:val="19"/>
          <w:b w:val="1"/>
          <w:bCs w:val="1"/>
          <w:u w:val="single" w:color="auto"/>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This opinion is furnished to you in connection with the Registration Statement on Form S-1,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Nautilus Biotechnology,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in connection with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offer and resale of 95,645,056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which includes (i) 93,942,327 shares of Common Stock (the “</w:t>
      </w:r>
      <w:r>
        <w:rPr>
          <w:rFonts w:ascii="Arial" w:cs="Arial" w:eastAsia="Arial" w:hAnsi="Arial"/>
          <w:sz w:val="18"/>
          <w:szCs w:val="18"/>
          <w:u w:val="single" w:color="auto"/>
          <w:color w:val="auto"/>
        </w:rPr>
        <w:t>Outstanding Shares</w:t>
      </w:r>
      <w:r>
        <w:rPr>
          <w:rFonts w:ascii="Arial" w:cs="Arial" w:eastAsia="Arial" w:hAnsi="Arial"/>
          <w:sz w:val="18"/>
          <w:szCs w:val="18"/>
          <w:color w:val="auto"/>
        </w:rPr>
        <w:t>”) to be sold by the selling securityholders listed in the Registration Statement under “Selling Securityholders” and (ii) 1,702,729 shares of Common Stock issuable upon the exercise of certain outstanding options to purchase Common Stock (the “</w:t>
      </w:r>
      <w:r>
        <w:rPr>
          <w:rFonts w:ascii="Arial" w:cs="Arial" w:eastAsia="Arial" w:hAnsi="Arial"/>
          <w:sz w:val="18"/>
          <w:szCs w:val="18"/>
          <w:u w:val="single" w:color="auto"/>
          <w:color w:val="auto"/>
        </w:rPr>
        <w:t>Equity 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(including the initial issuance of the Equity Award Shares upon the exercise of such equity awards and the subsequent resale of all such shares by the selling securityholders named in the Registration Statement).</w:t>
      </w:r>
    </w:p>
    <w:p>
      <w:pPr>
        <w:spacing w:after="0" w:line="196"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9"/>
          <w:szCs w:val="19"/>
          <w:color w:val="auto"/>
        </w:rPr>
        <w:t>We are acting as counsel for the Company in connection with the registration of the Shares.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7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In addition, we have reviewed originals or copies of such corporate records of the Company, certificates of public officials, a certificate of an officer of the Company as to factual matters such other documents which we consider necessary or advisable for the purpose of rendering the opinions set forth below. We have not independently established the facts stated therein.</w:t>
      </w:r>
    </w:p>
    <w:p>
      <w:pPr>
        <w:spacing w:after="0" w:line="169"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9"/>
          <w:szCs w:val="19"/>
          <w:color w:val="auto"/>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Company. We have assumed that the certificates representing the Shares have been properly authenticated by the signature of an authorized officer of the Company’s transfer agent. We have also assumed the conformity of the documents filed with the Commission via the Electronic Data Gathering, Analysis and Retrieval System (“</w:t>
      </w:r>
      <w:r>
        <w:rPr>
          <w:rFonts w:ascii="Arial" w:cs="Arial" w:eastAsia="Arial" w:hAnsi="Arial"/>
          <w:sz w:val="19"/>
          <w:szCs w:val="19"/>
          <w:u w:val="single" w:color="auto"/>
          <w:color w:val="auto"/>
        </w:rPr>
        <w:t>EDGAR</w:t>
      </w:r>
      <w:r>
        <w:rPr>
          <w:rFonts w:ascii="Arial" w:cs="Arial" w:eastAsia="Arial" w:hAnsi="Arial"/>
          <w:sz w:val="19"/>
          <w:szCs w:val="19"/>
          <w:color w:val="auto"/>
        </w:rPr>
        <w:t>”), except for required EDGAR formatting changes, to physical copies submitted for our examination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60"/>
        <w:spacing w:after="0"/>
        <w:tabs>
          <w:tab w:leader="none" w:pos="2480" w:val="left"/>
          <w:tab w:leader="none" w:pos="3200" w:val="left"/>
          <w:tab w:leader="none" w:pos="3960" w:val="left"/>
          <w:tab w:leader="none" w:pos="4860" w:val="left"/>
          <w:tab w:leader="none" w:pos="5900" w:val="left"/>
          <w:tab w:leader="none" w:pos="6700" w:val="left"/>
          <w:tab w:leader="none" w:pos="7840" w:val="left"/>
          <w:tab w:leader="none" w:pos="8800" w:val="left"/>
        </w:tabs>
        <w:rPr>
          <w:sz w:val="20"/>
          <w:szCs w:val="20"/>
          <w:color w:val="auto"/>
        </w:rPr>
      </w:pPr>
      <w:r>
        <w:rPr>
          <w:rFonts w:ascii="Arial" w:cs="Arial" w:eastAsia="Arial" w:hAnsi="Arial"/>
          <w:sz w:val="12"/>
          <w:szCs w:val="12"/>
          <w:color w:val="003D4C"/>
        </w:rPr>
        <w:t>AUSTIN</w:t>
      </w:r>
      <w:r>
        <w:rPr>
          <w:sz w:val="20"/>
          <w:szCs w:val="20"/>
          <w:color w:val="auto"/>
        </w:rPr>
        <w:tab/>
      </w:r>
      <w:r>
        <w:rPr>
          <w:rFonts w:ascii="Arial" w:cs="Arial" w:eastAsia="Arial" w:hAnsi="Arial"/>
          <w:sz w:val="12"/>
          <w:szCs w:val="12"/>
          <w:color w:val="003D4C"/>
        </w:rPr>
        <w:t>BEIJING</w:t>
      </w:r>
      <w:r>
        <w:rPr>
          <w:sz w:val="20"/>
          <w:szCs w:val="20"/>
          <w:color w:val="auto"/>
        </w:rPr>
        <w:tab/>
      </w:r>
      <w:r>
        <w:rPr>
          <w:rFonts w:ascii="Arial" w:cs="Arial" w:eastAsia="Arial" w:hAnsi="Arial"/>
          <w:sz w:val="12"/>
          <w:szCs w:val="12"/>
          <w:color w:val="003D4C"/>
        </w:rPr>
        <w:t>BOSTON</w:t>
      </w:r>
      <w:r>
        <w:rPr>
          <w:sz w:val="20"/>
          <w:szCs w:val="20"/>
          <w:color w:val="auto"/>
        </w:rPr>
        <w:tab/>
      </w:r>
      <w:r>
        <w:rPr>
          <w:rFonts w:ascii="Arial" w:cs="Arial" w:eastAsia="Arial" w:hAnsi="Arial"/>
          <w:sz w:val="12"/>
          <w:szCs w:val="12"/>
          <w:color w:val="003D4C"/>
        </w:rPr>
        <w:t>BRUSSELS</w:t>
      </w:r>
      <w:r>
        <w:rPr>
          <w:sz w:val="20"/>
          <w:szCs w:val="20"/>
          <w:color w:val="auto"/>
        </w:rPr>
        <w:tab/>
      </w:r>
      <w:r>
        <w:rPr>
          <w:rFonts w:ascii="Arial" w:cs="Arial" w:eastAsia="Arial" w:hAnsi="Arial"/>
          <w:sz w:val="12"/>
          <w:szCs w:val="12"/>
          <w:color w:val="003D4C"/>
        </w:rPr>
        <w:t>HONG KONG</w:t>
      </w:r>
      <w:r>
        <w:rPr>
          <w:sz w:val="20"/>
          <w:szCs w:val="20"/>
          <w:color w:val="auto"/>
        </w:rPr>
        <w:tab/>
      </w:r>
      <w:r>
        <w:rPr>
          <w:rFonts w:ascii="Arial" w:cs="Arial" w:eastAsia="Arial" w:hAnsi="Arial"/>
          <w:sz w:val="12"/>
          <w:szCs w:val="12"/>
          <w:color w:val="003D4C"/>
        </w:rPr>
        <w:t>LONDON</w:t>
      </w:r>
      <w:r>
        <w:rPr>
          <w:sz w:val="20"/>
          <w:szCs w:val="20"/>
          <w:color w:val="auto"/>
        </w:rPr>
        <w:tab/>
      </w:r>
      <w:r>
        <w:rPr>
          <w:rFonts w:ascii="Arial" w:cs="Arial" w:eastAsia="Arial" w:hAnsi="Arial"/>
          <w:sz w:val="12"/>
          <w:szCs w:val="12"/>
          <w:color w:val="003D4C"/>
        </w:rPr>
        <w:t>LOS ANGELES</w:t>
      </w:r>
      <w:r>
        <w:rPr>
          <w:sz w:val="20"/>
          <w:szCs w:val="20"/>
          <w:color w:val="auto"/>
        </w:rPr>
        <w:tab/>
      </w:r>
      <w:r>
        <w:rPr>
          <w:rFonts w:ascii="Arial" w:cs="Arial" w:eastAsia="Arial" w:hAnsi="Arial"/>
          <w:sz w:val="12"/>
          <w:szCs w:val="12"/>
          <w:color w:val="003D4C"/>
        </w:rPr>
        <w:t>NEW YORK</w:t>
      </w:r>
      <w:r>
        <w:rPr>
          <w:sz w:val="20"/>
          <w:szCs w:val="20"/>
          <w:color w:val="auto"/>
        </w:rPr>
        <w:tab/>
      </w:r>
      <w:r>
        <w:rPr>
          <w:rFonts w:ascii="Arial" w:cs="Arial" w:eastAsia="Arial" w:hAnsi="Arial"/>
          <w:sz w:val="11"/>
          <w:szCs w:val="11"/>
          <w:color w:val="003D4C"/>
        </w:rPr>
        <w:t>PALO ALTO</w:t>
      </w:r>
    </w:p>
    <w:p>
      <w:pPr>
        <w:spacing w:after="0" w:line="48" w:lineRule="exact"/>
        <w:rPr>
          <w:sz w:val="20"/>
          <w:szCs w:val="20"/>
          <w:color w:val="auto"/>
        </w:rPr>
      </w:pPr>
    </w:p>
    <w:p>
      <w:pPr>
        <w:jc w:val="center"/>
        <w:ind w:right="-19"/>
        <w:spacing w:after="0"/>
        <w:tabs>
          <w:tab w:leader="none" w:pos="220" w:val="left"/>
          <w:tab w:leader="none" w:pos="220" w:val="left"/>
          <w:tab w:leader="none" w:pos="220" w:val="left"/>
          <w:tab w:leader="none" w:pos="220" w:val="left"/>
          <w:tab w:leader="none" w:pos="220" w:val="left"/>
        </w:tabs>
        <w:rPr>
          <w:sz w:val="20"/>
          <w:szCs w:val="20"/>
          <w:color w:val="auto"/>
        </w:rPr>
      </w:pPr>
      <w:r>
        <w:rPr>
          <w:rFonts w:ascii="Arial" w:cs="Arial" w:eastAsia="Arial" w:hAnsi="Arial"/>
          <w:sz w:val="12"/>
          <w:szCs w:val="12"/>
          <w:color w:val="003D4C"/>
        </w:rPr>
        <w:t>SAN DIEGO</w:t>
      </w:r>
      <w:r>
        <w:rPr>
          <w:sz w:val="20"/>
          <w:szCs w:val="20"/>
          <w:color w:val="auto"/>
        </w:rPr>
        <w:tab/>
      </w:r>
      <w:r>
        <w:rPr>
          <w:rFonts w:ascii="Arial" w:cs="Arial" w:eastAsia="Arial" w:hAnsi="Arial"/>
          <w:sz w:val="12"/>
          <w:szCs w:val="12"/>
          <w:color w:val="003D4C"/>
        </w:rPr>
        <w:t>SAN FRANCISCO</w:t>
      </w:r>
      <w:r>
        <w:rPr>
          <w:sz w:val="20"/>
          <w:szCs w:val="20"/>
          <w:color w:val="auto"/>
        </w:rPr>
        <w:tab/>
      </w:r>
      <w:r>
        <w:rPr>
          <w:rFonts w:ascii="Arial" w:cs="Arial" w:eastAsia="Arial" w:hAnsi="Arial"/>
          <w:sz w:val="12"/>
          <w:szCs w:val="12"/>
          <w:color w:val="003D4C"/>
        </w:rPr>
        <w:t>SEATTLE</w:t>
      </w:r>
      <w:r>
        <w:rPr>
          <w:sz w:val="20"/>
          <w:szCs w:val="20"/>
          <w:color w:val="auto"/>
        </w:rPr>
        <w:tab/>
      </w:r>
      <w:r>
        <w:rPr>
          <w:rFonts w:ascii="Arial" w:cs="Arial" w:eastAsia="Arial" w:hAnsi="Arial"/>
          <w:sz w:val="12"/>
          <w:szCs w:val="12"/>
          <w:color w:val="003D4C"/>
        </w:rPr>
        <w:t>SHANGHAI</w:t>
      </w:r>
      <w:r>
        <w:rPr>
          <w:sz w:val="20"/>
          <w:szCs w:val="20"/>
          <w:color w:val="auto"/>
        </w:rPr>
        <w:tab/>
      </w:r>
      <w:r>
        <w:rPr>
          <w:rFonts w:ascii="Arial" w:cs="Arial" w:eastAsia="Arial" w:hAnsi="Arial"/>
          <w:sz w:val="12"/>
          <w:szCs w:val="12"/>
          <w:color w:val="003D4C"/>
        </w:rPr>
        <w:t>WASHINGTON, DC</w:t>
      </w:r>
      <w:r>
        <w:rPr>
          <w:sz w:val="20"/>
          <w:szCs w:val="20"/>
          <w:color w:val="auto"/>
        </w:rPr>
        <w:tab/>
      </w:r>
      <w:r>
        <w:rPr>
          <w:rFonts w:ascii="Arial" w:cs="Arial" w:eastAsia="Arial" w:hAnsi="Arial"/>
          <w:sz w:val="12"/>
          <w:szCs w:val="12"/>
          <w:color w:val="003D4C"/>
        </w:rPr>
        <w:t>WILMINGTON, DE</w:t>
      </w:r>
    </w:p>
    <w:p>
      <w:pPr>
        <w:sectPr>
          <w:pgSz w:w="11900" w:h="16838" w:orient="portrait"/>
          <w:cols w:equalWidth="0" w:num="1">
            <w:col w:w="11240"/>
          </w:cols>
          <w:pgMar w:left="320" w:top="121" w:right="339"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1140460</wp:posOffset>
            </wp:positionV>
            <wp:extent cx="530225" cy="2019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530225" cy="20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78" w:lineRule="auto"/>
        <w:rPr>
          <w:sz w:val="20"/>
          <w:szCs w:val="20"/>
          <w:color w:val="auto"/>
        </w:rPr>
      </w:pPr>
      <w:r>
        <w:rPr>
          <w:rFonts w:ascii="Arial" w:cs="Arial" w:eastAsia="Arial" w:hAnsi="Arial"/>
          <w:sz w:val="19"/>
          <w:szCs w:val="19"/>
          <w:color w:val="auto"/>
        </w:rPr>
        <w:t>absence of any evidence extrinsic to the provisions of the written agreements between the parties that the parties intended a meaning contrary to that expressed by those provisions.</w:t>
      </w:r>
    </w:p>
    <w:p>
      <w:pPr>
        <w:spacing w:after="0" w:line="156"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We express no opinion as to any matter relating to the laws of any jurisdiction other than the federal laws of the United States of America and the General Corporation Law of the State of Delaware.</w:t>
      </w:r>
    </w:p>
    <w:p>
      <w:pPr>
        <w:spacing w:after="0" w:line="156"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Based upon and subject to the foregoing qualifications, assumptions and limitations and the further limitations set forth below, we are of the opinion, that:</w:t>
      </w:r>
    </w:p>
    <w:p>
      <w:pPr>
        <w:spacing w:after="0" w:line="156" w:lineRule="exact"/>
        <w:rPr>
          <w:sz w:val="20"/>
          <w:szCs w:val="20"/>
          <w:color w:val="auto"/>
        </w:rPr>
      </w:pPr>
    </w:p>
    <w:p>
      <w:pPr>
        <w:ind w:firstLine="6"/>
        <w:spacing w:after="0" w:line="278" w:lineRule="auto"/>
        <w:tabs>
          <w:tab w:leader="none" w:pos="63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With respect to the Outstanding Shares to be offered pursuant to the Registration Statement, such Outstanding Shares have been duly authorized and are validly issued, fully paid and nonassessable; and</w:t>
      </w:r>
    </w:p>
    <w:p>
      <w:pPr>
        <w:spacing w:after="0" w:line="156" w:lineRule="exact"/>
        <w:rPr>
          <w:rFonts w:ascii="Arial" w:cs="Arial" w:eastAsia="Arial" w:hAnsi="Arial"/>
          <w:sz w:val="19"/>
          <w:szCs w:val="19"/>
          <w:color w:val="auto"/>
        </w:rPr>
      </w:pPr>
    </w:p>
    <w:p>
      <w:pPr>
        <w:ind w:firstLine="6"/>
        <w:spacing w:after="0" w:line="278" w:lineRule="auto"/>
        <w:tabs>
          <w:tab w:leader="none" w:pos="63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With respect to the Equity Award Shares to be offered pursuant to the Registration Statement, when such shares are issued upon the exercise of such equity awards, such Equity Award Shares will have been validly issued, fully-paid and nonassessable.</w:t>
      </w:r>
    </w:p>
    <w:p>
      <w:pPr>
        <w:spacing w:after="0" w:line="156"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56" w:lineRule="exact"/>
        <w:rPr>
          <w:sz w:val="20"/>
          <w:szCs w:val="20"/>
          <w:color w:val="auto"/>
        </w:rPr>
      </w:pPr>
    </w:p>
    <w:p>
      <w:pPr>
        <w:ind w:right="20" w:firstLine="636"/>
        <w:spacing w:after="0" w:line="278" w:lineRule="auto"/>
        <w:rPr>
          <w:sz w:val="20"/>
          <w:szCs w:val="20"/>
          <w:color w:val="auto"/>
        </w:rPr>
      </w:pPr>
      <w:r>
        <w:rPr>
          <w:rFonts w:ascii="Arial" w:cs="Arial" w:eastAsia="Arial" w:hAnsi="Arial"/>
          <w:sz w:val="19"/>
          <w:szCs w:val="19"/>
          <w:color w:val="auto"/>
        </w:rPr>
        <w:t>This opinion is furnished to you in connection with the filing of the Registration Statement, and is not to be used, circulated, quoted or otherwise relied upon for any other purpose.</w:t>
      </w:r>
    </w:p>
    <w:p>
      <w:pPr>
        <w:spacing w:after="0" w:line="200" w:lineRule="exact"/>
        <w:rPr>
          <w:sz w:val="20"/>
          <w:szCs w:val="20"/>
          <w:color w:val="auto"/>
        </w:rPr>
      </w:pPr>
    </w:p>
    <w:p>
      <w:pPr>
        <w:spacing w:after="0" w:line="314" w:lineRule="exact"/>
        <w:rPr>
          <w:sz w:val="20"/>
          <w:szCs w:val="20"/>
          <w:color w:val="auto"/>
        </w:rPr>
      </w:pPr>
    </w:p>
    <w:p>
      <w:pPr>
        <w:ind w:left="5780"/>
        <w:spacing w:after="0"/>
        <w:rPr>
          <w:sz w:val="20"/>
          <w:szCs w:val="20"/>
          <w:color w:val="auto"/>
        </w:rPr>
      </w:pPr>
      <w:r>
        <w:rPr>
          <w:rFonts w:ascii="Arial" w:cs="Arial" w:eastAsia="Arial" w:hAnsi="Arial"/>
          <w:sz w:val="19"/>
          <w:szCs w:val="19"/>
          <w:color w:val="auto"/>
        </w:rPr>
        <w:t>Very truly yours,</w:t>
      </w:r>
    </w:p>
    <w:p>
      <w:pPr>
        <w:spacing w:after="0" w:line="148"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/s/ Wilson Sonsini Goodrich &amp; Rosati</w:t>
      </w:r>
    </w:p>
    <w:p>
      <w:pPr>
        <w:spacing w:after="0" w:line="55" w:lineRule="exact"/>
        <w:rPr>
          <w:sz w:val="20"/>
          <w:szCs w:val="20"/>
          <w:color w:val="auto"/>
        </w:rPr>
      </w:pPr>
    </w:p>
    <w:p>
      <w:pPr>
        <w:ind w:left="5780"/>
        <w:spacing w:after="0"/>
        <w:rPr>
          <w:sz w:val="20"/>
          <w:szCs w:val="20"/>
          <w:color w:val="auto"/>
        </w:rPr>
      </w:pPr>
      <w:r>
        <w:rPr>
          <w:rFonts w:ascii="Arial" w:cs="Arial" w:eastAsia="Arial" w:hAnsi="Arial"/>
          <w:sz w:val="19"/>
          <w:szCs w:val="19"/>
          <w:color w:val="auto"/>
        </w:rPr>
        <w:t>WILSON SONSINI GOODRICH &amp; ROSATI</w:t>
      </w:r>
    </w:p>
    <w:p>
      <w:pPr>
        <w:spacing w:after="0" w:line="60" w:lineRule="exact"/>
        <w:rPr>
          <w:sz w:val="20"/>
          <w:szCs w:val="20"/>
          <w:color w:val="auto"/>
        </w:rPr>
      </w:pPr>
    </w:p>
    <w:p>
      <w:pPr>
        <w:ind w:left="5780"/>
        <w:spacing w:after="0"/>
        <w:rPr>
          <w:sz w:val="20"/>
          <w:szCs w:val="20"/>
          <w:color w:val="auto"/>
        </w:rPr>
      </w:pPr>
      <w:r>
        <w:rPr>
          <w:rFonts w:ascii="Arial" w:cs="Arial" w:eastAsia="Arial" w:hAnsi="Arial"/>
          <w:sz w:val="19"/>
          <w:szCs w:val="19"/>
          <w:color w:val="auto"/>
        </w:rPr>
        <w:t>Professional Corporation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760"/>
        <w:spacing w:after="0"/>
        <w:tabs>
          <w:tab w:leader="none" w:pos="2480" w:val="left"/>
          <w:tab w:leader="none" w:pos="3200" w:val="left"/>
          <w:tab w:leader="none" w:pos="3960" w:val="left"/>
          <w:tab w:leader="none" w:pos="4860" w:val="left"/>
        </w:tabs>
        <w:rPr>
          <w:sz w:val="20"/>
          <w:szCs w:val="20"/>
          <w:color w:val="auto"/>
        </w:rPr>
      </w:pPr>
      <w:r>
        <w:rPr>
          <w:rFonts w:ascii="Arial" w:cs="Arial" w:eastAsia="Arial" w:hAnsi="Arial"/>
          <w:sz w:val="12"/>
          <w:szCs w:val="12"/>
          <w:color w:val="003D4C"/>
        </w:rPr>
        <w:t>AUSTIN</w:t>
      </w:r>
      <w:r>
        <w:rPr>
          <w:sz w:val="20"/>
          <w:szCs w:val="20"/>
          <w:color w:val="auto"/>
        </w:rPr>
        <w:tab/>
      </w:r>
      <w:r>
        <w:rPr>
          <w:rFonts w:ascii="Arial" w:cs="Arial" w:eastAsia="Arial" w:hAnsi="Arial"/>
          <w:sz w:val="12"/>
          <w:szCs w:val="12"/>
          <w:color w:val="003D4C"/>
        </w:rPr>
        <w:t>BEIJING</w:t>
      </w:r>
      <w:r>
        <w:rPr>
          <w:sz w:val="20"/>
          <w:szCs w:val="20"/>
          <w:color w:val="auto"/>
        </w:rPr>
        <w:tab/>
      </w:r>
      <w:r>
        <w:rPr>
          <w:rFonts w:ascii="Arial" w:cs="Arial" w:eastAsia="Arial" w:hAnsi="Arial"/>
          <w:sz w:val="12"/>
          <w:szCs w:val="12"/>
          <w:color w:val="003D4C"/>
        </w:rPr>
        <w:t>BOSTON</w:t>
      </w:r>
      <w:r>
        <w:rPr>
          <w:sz w:val="20"/>
          <w:szCs w:val="20"/>
          <w:color w:val="auto"/>
        </w:rPr>
        <w:tab/>
      </w:r>
      <w:r>
        <w:rPr>
          <w:rFonts w:ascii="Arial" w:cs="Arial" w:eastAsia="Arial" w:hAnsi="Arial"/>
          <w:sz w:val="12"/>
          <w:szCs w:val="12"/>
          <w:color w:val="003D4C"/>
        </w:rPr>
        <w:t>BRUSSELS</w:t>
      </w:r>
      <w:r>
        <w:rPr>
          <w:sz w:val="20"/>
          <w:szCs w:val="20"/>
          <w:color w:val="auto"/>
        </w:rPr>
        <w:tab/>
      </w:r>
      <w:r>
        <w:rPr>
          <w:rFonts w:ascii="Arial" w:cs="Arial" w:eastAsia="Arial" w:hAnsi="Arial"/>
          <w:sz w:val="12"/>
          <w:szCs w:val="12"/>
          <w:color w:val="003D4C"/>
        </w:rPr>
        <w:t>HONG KONG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color w:val="003D4C"/>
        </w:rPr>
        <w:t>LONDON</w:t>
      </w:r>
      <w:r>
        <w:rPr>
          <w:sz w:val="20"/>
          <w:szCs w:val="20"/>
          <w:color w:val="auto"/>
        </w:rPr>
        <w:tab/>
      </w:r>
      <w:r>
        <w:rPr>
          <w:rFonts w:ascii="Arial" w:cs="Arial" w:eastAsia="Arial" w:hAnsi="Arial"/>
          <w:sz w:val="12"/>
          <w:szCs w:val="12"/>
          <w:color w:val="003D4C"/>
        </w:rPr>
        <w:t>LOS ANGELES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Arial" w:cs="Arial" w:eastAsia="Arial" w:hAnsi="Arial"/>
          <w:sz w:val="12"/>
          <w:szCs w:val="12"/>
          <w:color w:val="003D4C"/>
        </w:rPr>
        <w:t>NEW YORK</w:t>
      </w:r>
      <w:r>
        <w:rPr>
          <w:sz w:val="20"/>
          <w:szCs w:val="20"/>
          <w:color w:val="auto"/>
        </w:rPr>
        <w:tab/>
      </w:r>
      <w:r>
        <w:rPr>
          <w:rFonts w:ascii="Arial" w:cs="Arial" w:eastAsia="Arial" w:hAnsi="Arial"/>
          <w:sz w:val="11"/>
          <w:szCs w:val="11"/>
          <w:color w:val="003D4C"/>
        </w:rPr>
        <w:t>PALO ALTO</w:t>
      </w:r>
    </w:p>
    <w:p>
      <w:pPr>
        <w:spacing w:after="0" w:line="48" w:lineRule="exact"/>
        <w:rPr>
          <w:sz w:val="20"/>
          <w:szCs w:val="20"/>
          <w:color w:val="auto"/>
        </w:rPr>
      </w:pPr>
    </w:p>
    <w:p>
      <w:pPr>
        <w:sectPr>
          <w:pgSz w:w="11900" w:h="16838" w:orient="portrait"/>
          <w:cols w:equalWidth="0" w:num="3">
            <w:col w:w="5640" w:space="280"/>
            <w:col w:w="1680" w:space="260"/>
            <w:col w:w="3380"/>
          </w:cols>
          <w:pgMar w:left="320" w:top="1440" w:right="339" w:bottom="1440" w:gutter="0" w:footer="0" w:header="0"/>
          <w:type w:val="continuous"/>
        </w:sectPr>
      </w:pPr>
    </w:p>
    <w:p>
      <w:pPr>
        <w:jc w:val="center"/>
        <w:ind w:right="-19"/>
        <w:spacing w:after="0"/>
        <w:tabs>
          <w:tab w:leader="none" w:pos="220" w:val="left"/>
          <w:tab w:leader="none" w:pos="220" w:val="left"/>
          <w:tab w:leader="none" w:pos="220" w:val="left"/>
          <w:tab w:leader="none" w:pos="220" w:val="left"/>
          <w:tab w:leader="none" w:pos="220" w:val="left"/>
        </w:tabs>
        <w:rPr>
          <w:sz w:val="20"/>
          <w:szCs w:val="20"/>
          <w:color w:val="auto"/>
        </w:rPr>
      </w:pPr>
      <w:r>
        <w:rPr>
          <w:rFonts w:ascii="Arial" w:cs="Arial" w:eastAsia="Arial" w:hAnsi="Arial"/>
          <w:sz w:val="12"/>
          <w:szCs w:val="12"/>
          <w:color w:val="003D4C"/>
        </w:rPr>
        <w:t>SAN DIEGO</w:t>
      </w:r>
      <w:r>
        <w:rPr>
          <w:sz w:val="20"/>
          <w:szCs w:val="20"/>
          <w:color w:val="auto"/>
        </w:rPr>
        <w:tab/>
      </w:r>
      <w:r>
        <w:rPr>
          <w:rFonts w:ascii="Arial" w:cs="Arial" w:eastAsia="Arial" w:hAnsi="Arial"/>
          <w:sz w:val="12"/>
          <w:szCs w:val="12"/>
          <w:color w:val="003D4C"/>
        </w:rPr>
        <w:t>SAN FRANCISCO</w:t>
      </w:r>
      <w:r>
        <w:rPr>
          <w:sz w:val="20"/>
          <w:szCs w:val="20"/>
          <w:color w:val="auto"/>
        </w:rPr>
        <w:tab/>
      </w:r>
      <w:r>
        <w:rPr>
          <w:rFonts w:ascii="Arial" w:cs="Arial" w:eastAsia="Arial" w:hAnsi="Arial"/>
          <w:sz w:val="12"/>
          <w:szCs w:val="12"/>
          <w:color w:val="003D4C"/>
        </w:rPr>
        <w:t>SEATTLE</w:t>
      </w:r>
      <w:r>
        <w:rPr>
          <w:sz w:val="20"/>
          <w:szCs w:val="20"/>
          <w:color w:val="auto"/>
        </w:rPr>
        <w:tab/>
      </w:r>
      <w:r>
        <w:rPr>
          <w:rFonts w:ascii="Arial" w:cs="Arial" w:eastAsia="Arial" w:hAnsi="Arial"/>
          <w:sz w:val="12"/>
          <w:szCs w:val="12"/>
          <w:color w:val="003D4C"/>
        </w:rPr>
        <w:t>SHANGHAI</w:t>
      </w:r>
      <w:r>
        <w:rPr>
          <w:sz w:val="20"/>
          <w:szCs w:val="20"/>
          <w:color w:val="auto"/>
        </w:rPr>
        <w:tab/>
      </w:r>
      <w:r>
        <w:rPr>
          <w:rFonts w:ascii="Arial" w:cs="Arial" w:eastAsia="Arial" w:hAnsi="Arial"/>
          <w:sz w:val="12"/>
          <w:szCs w:val="12"/>
          <w:color w:val="003D4C"/>
        </w:rPr>
        <w:t>WASHINGTON, DC</w:t>
      </w:r>
      <w:r>
        <w:rPr>
          <w:sz w:val="20"/>
          <w:szCs w:val="20"/>
          <w:color w:val="auto"/>
        </w:rPr>
        <w:tab/>
      </w:r>
      <w:r>
        <w:rPr>
          <w:rFonts w:ascii="Arial" w:cs="Arial" w:eastAsia="Arial" w:hAnsi="Arial"/>
          <w:sz w:val="12"/>
          <w:szCs w:val="12"/>
          <w:color w:val="003D4C"/>
        </w:rPr>
        <w:t>WILMINGTON, DE</w:t>
      </w:r>
    </w:p>
    <w:p>
      <w:pPr>
        <w:sectPr>
          <w:pgSz w:w="11900" w:h="16838" w:orient="portrait"/>
          <w:cols w:equalWidth="0" w:num="1">
            <w:col w:w="11240"/>
          </w:cols>
          <w:pgMar w:left="320" w:top="1440" w:right="339" w:bottom="1440" w:gutter="0" w:footer="0" w:header="0"/>
          <w:type w:val="continuous"/>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980" w:type="dxa"/>
            <w:vAlign w:val="bottom"/>
            <w:gridSpan w:val="4"/>
          </w:tcPr>
          <w:p>
            <w:pPr>
              <w:spacing w:after="0"/>
              <w:rPr>
                <w:sz w:val="20"/>
                <w:szCs w:val="20"/>
                <w:color w:val="auto"/>
              </w:rPr>
            </w:pPr>
            <w:r>
              <w:rPr>
                <w:rFonts w:ascii="Arial" w:cs="Arial" w:eastAsia="Arial" w:hAnsi="Arial"/>
                <w:sz w:val="18"/>
                <w:szCs w:val="18"/>
                <w:b w:val="1"/>
                <w:bCs w:val="1"/>
                <w:color w:val="auto"/>
              </w:rPr>
              <w:t>Subsidiaries as of July 22, 2021*</w:t>
            </w:r>
          </w:p>
        </w:tc>
      </w:tr>
      <w:tr>
        <w:trPr>
          <w:trHeight w:val="20"/>
        </w:trPr>
        <w:tc>
          <w:tcPr>
            <w:tcW w:w="3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1"/>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Nautilus Subsidiary, Inc.</w:t>
            </w: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509"/>
        </w:trPr>
        <w:tc>
          <w:tcPr>
            <w:tcW w:w="3200" w:type="dxa"/>
            <w:vAlign w:val="bottom"/>
          </w:tcPr>
          <w:p>
            <w:pPr>
              <w:spacing w:after="0"/>
              <w:rPr>
                <w:sz w:val="20"/>
                <w:szCs w:val="20"/>
                <w:color w:val="auto"/>
              </w:rPr>
            </w:pPr>
            <w:r>
              <w:rPr>
                <w:rFonts w:ascii="Arial" w:cs="Arial" w:eastAsia="Arial" w:hAnsi="Arial"/>
                <w:sz w:val="21"/>
                <w:szCs w:val="21"/>
                <w:color w:val="auto"/>
              </w:rPr>
              <w:t>__________________</w:t>
            </w: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ind w:left="640" w:right="320" w:hanging="316"/>
        <w:spacing w:after="0" w:line="250" w:lineRule="auto"/>
        <w:tabs>
          <w:tab w:leader="none" w:pos="629"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121"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CONSENT OF INDEPENDENT REGISTERED PUBLIC ACCOUNTING FIRM</w:t>
      </w:r>
    </w:p>
    <w:p>
      <w:pPr>
        <w:spacing w:after="0" w:line="245" w:lineRule="exact"/>
        <w:rPr>
          <w:sz w:val="20"/>
          <w:szCs w:val="20"/>
          <w:color w:val="auto"/>
        </w:rPr>
      </w:pPr>
    </w:p>
    <w:p>
      <w:pPr>
        <w:ind w:right="320"/>
        <w:spacing w:after="0" w:line="263" w:lineRule="auto"/>
        <w:rPr>
          <w:sz w:val="20"/>
          <w:szCs w:val="20"/>
          <w:color w:val="auto"/>
        </w:rPr>
      </w:pPr>
      <w:r>
        <w:rPr>
          <w:rFonts w:ascii="Arial" w:cs="Arial" w:eastAsia="Arial" w:hAnsi="Arial"/>
          <w:sz w:val="19"/>
          <w:szCs w:val="19"/>
          <w:color w:val="auto"/>
        </w:rPr>
        <w:t>We hereby consent to the use in this Registration Statement on Form S-1 of Nautilus Biotechnology, Inc. of our report dated March 26, 2021 relating to the financial statements, which appear in this Registration Statement. We also consent to the reference to us under the heading "Experts" in such Registration Statement.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Seattle, Washington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July 22, 2021</w:t>
      </w:r>
    </w:p>
    <w:p>
      <w:pPr>
        <w:sectPr>
          <w:pgSz w:w="11900" w:h="16838" w:orient="portrait"/>
          <w:cols w:equalWidth="0" w:num="1">
            <w:col w:w="11240"/>
          </w:cols>
          <w:pgMar w:left="320" w:top="121"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We hereby consent to the use in the Prospectus constituting a part of this Registration Statement on Form S-1 of our report dated March 26, 2021 relating to the financial statements of Nautilus Biotechnology, Inc. (f/k/a ARYA Sciences Acquisition Corp III) which is contained in that Prospectus, and to the reference to our Firm under the caption “Experts” in the Prospectus.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WithumSmith+Brown, PC</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1"/>
          <w:szCs w:val="21"/>
          <w:color w:val="auto"/>
        </w:rPr>
        <w:t>New York, New York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21"/>
          <w:szCs w:val="21"/>
          <w:color w:val="auto"/>
        </w:rPr>
        <w:t>July 22,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1)"/>
      <w:numFmt w:val="lowerRoman"/>
      <w:start w:val="3"/>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1)"/>
      <w:numFmt w:val="lowerRoman"/>
      <w:start w:val="3"/>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1."/>
      <w:numFmt w:val="decimal"/>
      <w:start w:val="1"/>
    </w:lvl>
  </w:abstractNum>
  <w:abstractNum w:abstractNumId="42">
    <w:nsid w:val="57FC4FBB"/>
    <w:multiLevelType w:val="hybridMultilevel"/>
    <w:lvl w:ilvl="0">
      <w:lvlJc w:val="left"/>
      <w:lvlText w:val="%1."/>
      <w:numFmt w:val="decimal"/>
      <w:start w:val="2"/>
    </w:lvl>
  </w:abstractNum>
  <w:abstractNum w:abstractNumId="43">
    <w:nsid w:val="CC1016F"/>
    <w:multiLevelType w:val="hybridMultilevel"/>
    <w:lvl w:ilvl="0">
      <w:lvlJc w:val="left"/>
      <w:lvlText w:val="%1."/>
      <w:numFmt w:val="decimal"/>
      <w:start w:val="3"/>
    </w:lvl>
  </w:abstractNum>
  <w:abstractNum w:abstractNumId="44">
    <w:nsid w:val="43F18422"/>
    <w:multiLevelType w:val="hybridMultilevel"/>
    <w:lvl w:ilvl="0">
      <w:lvlJc w:val="left"/>
      <w:lvlText w:val="%1."/>
      <w:numFmt w:val="decimal"/>
      <w:start w:val="4"/>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1)"/>
      <w:numFmt w:val="decimal"/>
      <w:start w:val="1"/>
    </w:lvl>
  </w:abstractNum>
  <w:abstractNum w:abstractNumId="60">
    <w:nsid w:val="73A1821B"/>
    <w:multiLevelType w:val="hybridMultilevel"/>
    <w:lvl w:ilvl="0">
      <w:lvlJc w:val="left"/>
      <w:lvlText w:val="(%1)"/>
      <w:numFmt w:val="decimal"/>
      <w:start w:val="6"/>
    </w:lvl>
  </w:abstractNum>
  <w:abstractNum w:abstractNumId="61">
    <w:nsid w:val="7DE67713"/>
    <w:multiLevelType w:val="hybridMultilevel"/>
    <w:lvl w:ilvl="0">
      <w:lvlJc w:val="left"/>
      <w:lvlText w:val="(%1)"/>
      <w:numFmt w:val="decimal"/>
      <w:start w:val="1"/>
    </w:lvl>
  </w:abstractNum>
  <w:abstractNum w:abstractNumId="62">
    <w:nsid w:val="555C55B5"/>
    <w:multiLevelType w:val="hybridMultilevel"/>
    <w:lvl w:ilvl="0">
      <w:lvlJc w:val="left"/>
      <w:lvlText w:val="(%1)"/>
      <w:numFmt w:val="decimal"/>
      <w:start w:val="6"/>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1)"/>
      <w:numFmt w:val="decimal"/>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1)"/>
      <w:numFmt w:val="decimal"/>
      <w:start w:val="1"/>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1)"/>
      <w:numFmt w:val="decimal"/>
      <w:start w:val="1"/>
    </w:lvl>
  </w:abstractNum>
  <w:abstractNum w:abstractNumId="79">
    <w:nsid w:val="53584BCB"/>
    <w:multiLevelType w:val="hybridMultilevel"/>
    <w:lvl w:ilvl="0">
      <w:lvlJc w:val="left"/>
      <w:lvlText w:val="(%1)"/>
      <w:numFmt w:val="decimal"/>
      <w:start w:val="2"/>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1)"/>
      <w:numFmt w:val="decimal"/>
      <w:start w:val="1"/>
    </w:lvl>
  </w:abstractNum>
  <w:abstractNum w:abstractNumId="82">
    <w:nsid w:val="23D86AAC"/>
    <w:multiLevelType w:val="hybridMultilevel"/>
    <w:lvl w:ilvl="0">
      <w:lvlJc w:val="left"/>
      <w:lvlText w:val="(%1)"/>
      <w:numFmt w:val="decimal"/>
      <w:start w:val="14"/>
    </w:lvl>
  </w:abstractNum>
  <w:abstractNum w:abstractNumId="83">
    <w:nsid w:val="45E6D486"/>
    <w:multiLevelType w:val="hybridMultilevel"/>
    <w:lvl w:ilvl="0">
      <w:lvlJc w:val="left"/>
      <w:lvlText w:val="(%1)"/>
      <w:numFmt w:val="decimal"/>
      <w:start w:val="29"/>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1)"/>
      <w:numFmt w:val="lowerRoman"/>
      <w:start w:val="3"/>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1)"/>
      <w:numFmt w:val="decimal"/>
      <w:start w:val="3"/>
    </w:lvl>
  </w:abstractNum>
  <w:abstractNum w:abstractNumId="92">
    <w:nsid w:val="379E21B5"/>
    <w:multiLevelType w:val="hybridMultilevel"/>
    <w:lvl w:ilvl="0">
      <w:lvlJc w:val="left"/>
      <w:lvlText w:val="$"/>
      <w:numFmt w:val="bullet"/>
      <w:start w:val="1"/>
    </w:lvl>
  </w:abstractNum>
  <w:abstractNum w:abstractNumId="93">
    <w:nsid w:val="69E373"/>
    <w:multiLevelType w:val="hybridMultilevel"/>
    <w:lvl w:ilvl="0">
      <w:lvlJc w:val="left"/>
      <w:lvlText w:val="$"/>
      <w:numFmt w:val="bullet"/>
      <w:start w:val="1"/>
    </w:lvl>
  </w:abstractNum>
  <w:abstractNum w:abstractNumId="94">
    <w:nsid w:val="2C27173B"/>
    <w:multiLevelType w:val="hybridMultilevel"/>
    <w:lvl w:ilvl="0">
      <w:lvlJc w:val="left"/>
      <w:lvlText w:val="$"/>
      <w:numFmt w:val="bullet"/>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1)"/>
      <w:numFmt w:val="lowerRoman"/>
      <w:start w:val="3"/>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1)"/>
      <w:numFmt w:val="lowerRoman"/>
      <w:start w:val="1"/>
    </w:lvl>
  </w:abstractNum>
  <w:abstractNum w:abstractNumId="102">
    <w:nsid w:val="5B25ACE2"/>
    <w:multiLevelType w:val="hybridMultilevel"/>
    <w:lvl w:ilvl="0">
      <w:lvlJc w:val="left"/>
      <w:lvlText w:val="(%1)"/>
      <w:numFmt w:val="lowerRoman"/>
      <w:start w:val="3"/>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1."/>
      <w:numFmt w:val="decimal"/>
      <w:start w:val="1"/>
    </w:lvl>
  </w:abstractNum>
  <w:abstractNum w:abstractNumId="105">
    <w:nsid w:val="53B0A9E"/>
    <w:multiLevelType w:val="hybridMultilevel"/>
    <w:lvl w:ilvl="0">
      <w:lvlJc w:val="left"/>
      <w:lvlText w:val="%1."/>
      <w:numFmt w:val="decimal"/>
      <w:start w:val="2"/>
    </w:lvl>
  </w:abstractNum>
  <w:abstractNum w:abstractNumId="106">
    <w:nsid w:val="34FD6B4F"/>
    <w:multiLevelType w:val="hybridMultilevel"/>
    <w:lvl w:ilvl="0">
      <w:lvlJc w:val="left"/>
      <w:lvlText w:val="%1."/>
      <w:numFmt w:val="decimal"/>
      <w:start w:val="3"/>
    </w:lvl>
  </w:abstractNum>
  <w:abstractNum w:abstractNumId="107">
    <w:nsid w:val="5915FF32"/>
    <w:multiLevelType w:val="hybridMultilevel"/>
    <w:lvl w:ilvl="0">
      <w:lvlJc w:val="left"/>
      <w:lvlText w:val="%1."/>
      <w:numFmt w:val="decimal"/>
      <w:start w:val="4"/>
    </w:lvl>
  </w:abstractNum>
  <w:abstractNum w:abstractNumId="108">
    <w:nsid w:val="56438D15"/>
    <w:multiLevelType w:val="hybridMultilevel"/>
    <w:lvl w:ilvl="0">
      <w:lvlJc w:val="left"/>
      <w:lvlText w:val="%1."/>
      <w:numFmt w:val="decimal"/>
      <w:start w:val="6"/>
    </w:lvl>
  </w:abstractNum>
  <w:abstractNum w:abstractNumId="109">
    <w:nsid w:val="519E3149"/>
    <w:multiLevelType w:val="hybridMultilevel"/>
    <w:lvl w:ilvl="0">
      <w:lvlJc w:val="left"/>
      <w:lvlText w:val="%1."/>
      <w:numFmt w:val="decimal"/>
      <w:start w:val="7"/>
    </w:lvl>
  </w:abstractNum>
  <w:abstractNum w:abstractNumId="110">
    <w:nsid w:val="2C6E4AFD"/>
    <w:multiLevelType w:val="hybridMultilevel"/>
    <w:lvl w:ilvl="0">
      <w:lvlJc w:val="left"/>
      <w:lvlText w:val="%1."/>
      <w:numFmt w:val="decimal"/>
      <w:start w:val="8"/>
    </w:lvl>
  </w:abstractNum>
  <w:abstractNum w:abstractNumId="111">
    <w:nsid w:val="17A1B582"/>
    <w:multiLevelType w:val="hybridMultilevel"/>
    <w:lvl w:ilvl="0">
      <w:lvlJc w:val="left"/>
      <w:lvlText w:val="%1."/>
      <w:numFmt w:val="decimal"/>
      <w:start w:val="9"/>
    </w:lvl>
  </w:abstractNum>
  <w:abstractNum w:abstractNumId="112">
    <w:nsid w:val="4DF72E4E"/>
    <w:multiLevelType w:val="hybridMultilevel"/>
    <w:lvl w:ilvl="0">
      <w:lvlJc w:val="left"/>
      <w:lvlText w:val="%1."/>
      <w:numFmt w:val="decimal"/>
      <w:start w:val="10"/>
    </w:lvl>
  </w:abstractNum>
  <w:abstractNum w:abstractNumId="113">
    <w:nsid w:val="5046B5A9"/>
    <w:multiLevelType w:val="hybridMultilevel"/>
    <w:lvl w:ilvl="0">
      <w:lvlJc w:val="left"/>
      <w:lvlText w:val="%1."/>
      <w:numFmt w:val="decimal"/>
      <w:start w:val="11"/>
    </w:lvl>
  </w:abstractNum>
  <w:abstractNum w:abstractNumId="114">
    <w:nsid w:val="5D888A08"/>
    <w:multiLevelType w:val="hybridMultilevel"/>
    <w:lvl w:ilvl="0">
      <w:lvlJc w:val="left"/>
      <w:lvlText w:val="%1."/>
      <w:numFmt w:val="decimal"/>
      <w:start w:val="1"/>
    </w:lvl>
  </w:abstractNum>
  <w:abstractNum w:abstractNumId="115">
    <w:nsid w:val="2A082C70"/>
    <w:multiLevelType w:val="hybridMultilevel"/>
    <w:lvl w:ilvl="0">
      <w:lvlJc w:val="left"/>
      <w:lvlText w:val="%1."/>
      <w:numFmt w:val="decimal"/>
      <w:start w:val="2"/>
    </w:lvl>
  </w:abstractNum>
  <w:abstractNum w:abstractNumId="116">
    <w:nsid w:val="5EC6AFD4"/>
    <w:multiLevelType w:val="hybridMultilevel"/>
    <w:lvl w:ilvl="0">
      <w:lvlJc w:val="left"/>
      <w:lvlText w:val="%1."/>
      <w:numFmt w:val="decimal"/>
      <w:start w:val="3"/>
    </w:lvl>
  </w:abstractNum>
  <w:abstractNum w:abstractNumId="117">
    <w:nsid w:val="19E21BB2"/>
    <w:multiLevelType w:val="hybridMultilevel"/>
    <w:lvl w:ilvl="0">
      <w:lvlJc w:val="left"/>
      <w:lvlText w:val="%1."/>
      <w:numFmt w:val="decimal"/>
      <w:start w:val="4"/>
    </w:lvl>
  </w:abstractNum>
  <w:abstractNum w:abstractNumId="118">
    <w:nsid w:val="75E0858A"/>
    <w:multiLevelType w:val="hybridMultilevel"/>
    <w:lvl w:ilvl="0">
      <w:lvlJc w:val="left"/>
      <w:lvlText w:val="%1."/>
      <w:numFmt w:val="decimal"/>
      <w:start w:val="6"/>
    </w:lvl>
  </w:abstractNum>
  <w:abstractNum w:abstractNumId="119">
    <w:nsid w:val="57A61A29"/>
    <w:multiLevelType w:val="hybridMultilevel"/>
    <w:lvl w:ilvl="0">
      <w:lvlJc w:val="left"/>
      <w:lvlText w:val="%1."/>
      <w:numFmt w:val="decimal"/>
      <w:start w:val="7"/>
    </w:lvl>
  </w:abstractNum>
  <w:abstractNum w:abstractNumId="120">
    <w:nsid w:val="5399C654"/>
    <w:multiLevelType w:val="hybridMultilevel"/>
    <w:lvl w:ilvl="0">
      <w:lvlJc w:val="left"/>
      <w:lvlText w:val="%1."/>
      <w:numFmt w:val="decimal"/>
      <w:start w:val="8"/>
    </w:lvl>
  </w:abstractNum>
  <w:abstractNum w:abstractNumId="121">
    <w:nsid w:val="20EE1348"/>
    <w:multiLevelType w:val="hybridMultilevel"/>
    <w:lvl w:ilvl="0">
      <w:lvlJc w:val="left"/>
      <w:lvlText w:val="%1."/>
      <w:numFmt w:val="decimal"/>
      <w:start w:val="9"/>
    </w:lvl>
  </w:abstractNum>
  <w:abstractNum w:abstractNumId="122">
    <w:nsid w:val="4427069A"/>
    <w:multiLevelType w:val="hybridMultilevel"/>
    <w:lvl w:ilvl="0">
      <w:lvlJc w:val="left"/>
      <w:lvlText w:val="%1."/>
      <w:numFmt w:val="decimal"/>
      <w:start w:val="10"/>
    </w:lvl>
  </w:abstractNum>
  <w:abstractNum w:abstractNumId="123">
    <w:nsid w:val="B37E80A"/>
    <w:multiLevelType w:val="hybridMultilevel"/>
    <w:lvl w:ilvl="0">
      <w:lvlJc w:val="left"/>
      <w:lvlText w:val="%1."/>
      <w:numFmt w:val="decimal"/>
      <w:start w:val="11"/>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1."/>
      <w:numFmt w:val="upperLetter"/>
      <w:start w:val="1"/>
    </w:lvl>
  </w:abstractNum>
  <w:abstractNum w:abstractNumId="127">
    <w:nsid w:val="BFFAE18"/>
    <w:multiLevelType w:val="hybridMultilevel"/>
    <w:lvl w:ilvl="0">
      <w:lvlJc w:val="left"/>
      <w:lvlText w:val="%1."/>
      <w:numFmt w:val="upperLetter"/>
      <w:start w:val="9"/>
    </w:lvl>
  </w:abstractNum>
  <w:abstractNum w:abstractNumId="128">
    <w:nsid w:val="E3E47A8"/>
    <w:multiLevelType w:val="hybridMultilevel"/>
    <w:lvl w:ilvl="0">
      <w:lvlJc w:val="left"/>
      <w:lvlText w:val="*"/>
      <w:numFmt w:val="bullet"/>
      <w:start w:val="1"/>
    </w:lvl>
  </w:abstractNum>
  <w:abstractNum w:abstractNumId="129">
    <w:nsid w:val="2E48F044"/>
    <w:multiLevelType w:val="hybridMultilevel"/>
    <w:lvl w:ilvl="0">
      <w:lvlJc w:val="left"/>
      <w:lvlText w:val="•"/>
      <w:numFmt w:val="bullet"/>
      <w:start w:val="1"/>
    </w:lvl>
  </w:abstractNum>
  <w:abstractNum w:abstractNumId="130">
    <w:nsid w:val="49D0FEAC"/>
    <w:multiLevelType w:val="hybridMultilevel"/>
    <w:lvl w:ilvl="0">
      <w:lvlJc w:val="left"/>
      <w:lvlText w:val="†"/>
      <w:numFmt w:val="bullet"/>
      <w:start w:val="1"/>
    </w:lvl>
    <w:lvl w:ilvl="1">
      <w:lvlJc w:val="left"/>
      <w:lvlText w:val="(%2)"/>
      <w:numFmt w:val="lowerLetter"/>
      <w:start w:val="2"/>
    </w:lvl>
  </w:abstractNum>
  <w:abstractNum w:abstractNumId="131">
    <w:nsid w:val="4BEE5A5B"/>
    <w:multiLevelType w:val="hybridMultilevel"/>
    <w:lvl w:ilvl="0">
      <w:lvlJc w:val="left"/>
      <w:lvlText w:val="(%1)"/>
      <w:numFmt w:val="lowerRoman"/>
      <w:start w:val="1"/>
    </w:lvl>
  </w:abstractNum>
  <w:abstractNum w:abstractNumId="132">
    <w:nsid w:val="5551B9F3"/>
    <w:multiLevelType w:val="hybridMultilevel"/>
    <w:lvl w:ilvl="0">
      <w:lvlJc w:val="left"/>
      <w:lvlText w:val="(%1)"/>
      <w:numFmt w:val="lowerRoman"/>
      <w:start w:val="3"/>
    </w:lvl>
  </w:abstractNum>
  <w:abstractNum w:abstractNumId="133">
    <w:nsid w:val="24F6AB8E"/>
    <w:multiLevelType w:val="hybridMultilevel"/>
    <w:lvl w:ilvl="0">
      <w:lvlJc w:val="left"/>
      <w:lvlText w:val="(%1)"/>
      <w:numFmt w:val="decimal"/>
      <w:start w:val="2"/>
    </w:lvl>
  </w:abstractNum>
  <w:abstractNum w:abstractNumId="134">
    <w:nsid w:val="634C574C"/>
    <w:multiLevelType w:val="hybridMultilevel"/>
    <w:lvl w:ilvl="0">
      <w:lvlJc w:val="left"/>
      <w:lvlText w:val="(%1)"/>
      <w:numFmt w:val="upperLetter"/>
      <w:start w:val="1"/>
    </w:lvl>
  </w:abstractNum>
  <w:abstractNum w:abstractNumId="135">
    <w:nsid w:val="24E99DD7"/>
    <w:multiLevelType w:val="hybridMultilevel"/>
    <w:lvl w:ilvl="0">
      <w:lvlJc w:val="left"/>
      <w:lvlText w:val="(%1)"/>
      <w:numFmt w:val="lowerRoman"/>
      <w:start w:val="2"/>
    </w:lvl>
  </w:abstractNum>
  <w:abstractNum w:abstractNumId="136">
    <w:nsid w:val="2A31B62D"/>
    <w:multiLevelType w:val="hybridMultilevel"/>
    <w:lvl w:ilvl="0">
      <w:lvlJc w:val="left"/>
      <w:lvlText w:val="(%1)"/>
      <w:numFmt w:val="decimal"/>
      <w:start w:val="5"/>
    </w:lvl>
  </w:abstractNum>
  <w:abstractNum w:abstractNumId="137">
    <w:nsid w:val="1849C29B"/>
    <w:multiLevelType w:val="hybridMultilevel"/>
    <w:lvl w:ilvl="0">
      <w:lvlJc w:val="left"/>
      <w:lvlText w:val="(%1)"/>
      <w:numFmt w:val="lowerRoman"/>
      <w:start w:val="1"/>
    </w:lvl>
  </w:abstractNum>
  <w:abstractNum w:abstractNumId="138">
    <w:nsid w:val="7DFF9D09"/>
    <w:multiLevelType w:val="hybridMultilevel"/>
    <w:lvl w:ilvl="0">
      <w:lvlJc w:val="left"/>
      <w:lvlText w:val="(%1)"/>
      <w:numFmt w:val="lowerLetter"/>
      <w:start w:val="2"/>
    </w:lvl>
  </w:abstractNum>
  <w:abstractNum w:abstractNumId="139">
    <w:nsid w:val="754342"/>
    <w:multiLevelType w:val="hybridMultilevel"/>
    <w:lvl w:ilvl="0">
      <w:lvlJc w:val="left"/>
      <w:lvlText w:val="(%1)"/>
      <w:numFmt w:val="decimal"/>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7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jpeg"/><Relationship Id="rId387" Type="http://schemas.openxmlformats.org/officeDocument/2006/relationships/image" Target="media/image353.jpeg"/><Relationship Id="rId353" Type="http://schemas.openxmlformats.org/officeDocument/2006/relationships/hyperlink" Target="https://www.sec.gov/Archives/edgar/data/1808805/000114036121003650/brhc10019858_ex2-1.htm" TargetMode="External"/><Relationship Id="rId354" Type="http://schemas.openxmlformats.org/officeDocument/2006/relationships/hyperlink" Target="https://www.sec.gov/Archives/edgar/data/1808805/000162828021011892/exhibit31-form8xkclosing.htm" TargetMode="External"/><Relationship Id="rId355" Type="http://schemas.openxmlformats.org/officeDocument/2006/relationships/hyperlink" Target="https://www.sec.gov/Archives/edgar/data/1808805/000162828021011892/exhibit32-form8xkclosing.htm" TargetMode="External"/><Relationship Id="rId356" Type="http://schemas.openxmlformats.org/officeDocument/2006/relationships/hyperlink" Target="https://www.sec.gov/Archives/edgar/data/1808805/000162828021011892/exhibit41-super8xkclosing.htm" TargetMode="External"/><Relationship Id="rId357" Type="http://schemas.openxmlformats.org/officeDocument/2006/relationships/hyperlink" Target="https://www.sec.gov/Archives/edgar/data/1808805/000114036121003650/brhc10019858_ex10-3.htm" TargetMode="External"/><Relationship Id="rId358" Type="http://schemas.openxmlformats.org/officeDocument/2006/relationships/hyperlink" Target="https://www.sec.gov/Archives/edgar/data/1808805/000114036121003650/brhc10019858_ex10-2.htm" TargetMode="External"/><Relationship Id="rId359" Type="http://schemas.openxmlformats.org/officeDocument/2006/relationships/hyperlink" Target="https://www.sec.gov/Archives/edgar/data/1808805/000162828021011892/exhibit104-form8xkclosing.htm" TargetMode="External"/><Relationship Id="rId360" Type="http://schemas.openxmlformats.org/officeDocument/2006/relationships/hyperlink" Target="https://www.sec.gov/Archives/edgar/data/1808805/000162828021011892/exhibit105-form8xkclosing.htm" TargetMode="External"/><Relationship Id="rId361" Type="http://schemas.openxmlformats.org/officeDocument/2006/relationships/hyperlink" Target="https://www.sec.gov/Archives/edgar/data/1808805/000162828021005786/exhibit107-sx4.htm" TargetMode="External"/><Relationship Id="rId362" Type="http://schemas.openxmlformats.org/officeDocument/2006/relationships/hyperlink" Target="https://www.sec.gov/Archives/edgar/data/1808805/000162828021005786/exhibit108-sx4.htm" TargetMode="External"/><Relationship Id="rId363" Type="http://schemas.openxmlformats.org/officeDocument/2006/relationships/hyperlink" Target="https://www.sec.gov/Archives/edgar/data/1808805/000162828021005786/exhibit109-sx4.htm" TargetMode="External"/><Relationship Id="rId364" Type="http://schemas.openxmlformats.org/officeDocument/2006/relationships/hyperlink" Target="https://www.sec.gov/Archives/edgar/data/1808805/000162828021005786/exhibit1011-sx4.htm" TargetMode="External"/><Relationship Id="rId365" Type="http://schemas.openxmlformats.org/officeDocument/2006/relationships/hyperlink" Target="https://www.sec.gov/Archives/edgar/data/1808805/000162828021007512/exhibit1012-sx4a2.htm" TargetMode="External"/><Relationship Id="rId366" Type="http://schemas.openxmlformats.org/officeDocument/2006/relationships/hyperlink" Target="https://www.sec.gov/Archives/edgar/data/1808805/000162828021007512/exhibit1013-sx4a2.htm" TargetMode="External"/><Relationship Id="rId367" Type="http://schemas.openxmlformats.org/officeDocument/2006/relationships/hyperlink" Target="https://www.sec.gov/Archives/edgar/data/1808805/000162828021007512/exhibit1015-sx4a2.htm" TargetMode="External"/><Relationship Id="rId368" Type="http://schemas.openxmlformats.org/officeDocument/2006/relationships/hyperlink" Target="https://www.sec.gov/Archives/edgar/data/1808805/000162828021007512/exhibit1014-sx4a2.htm" TargetMode="External"/><Relationship Id="rId369" Type="http://schemas.openxmlformats.org/officeDocument/2006/relationships/hyperlink" Target="https://www.sec.gov/Archives/edgar/data/1808805/000162828021007512/exhibit1016-sx4a2.htm" TargetMode="External"/><Relationship Id="rId371" Type="http://schemas.openxmlformats.org/officeDocument/2006/relationships/hyperlink" Target="https://www.sec.gov/Archives/edgar/data/1808805/000162828021007512/exhibit1017-sx4a2.htm" TargetMode="External"/><Relationship Id="rId372" Type="http://schemas.openxmlformats.org/officeDocument/2006/relationships/hyperlink" Target="https://www.sec.gov/Archives/edgar/data/1808805/000162828021007512/exhibit1018-sx4a2.htm" TargetMode="External"/><Relationship Id="rId373" Type="http://schemas.openxmlformats.org/officeDocument/2006/relationships/hyperlink" Target="https://www.sec.gov/Archives/edgar/data/1808805/000162828021007512/exhibit1019-sx4a2.htm" TargetMode="External"/><Relationship Id="rId374" Type="http://schemas.openxmlformats.org/officeDocument/2006/relationships/hyperlink" Target="https://www.sec.gov/Archives/edgar/data/1808805/000162828021007512/exhibit1021-sx4a2.htm" TargetMode="External"/><Relationship Id="rId375" Type="http://schemas.openxmlformats.org/officeDocument/2006/relationships/hyperlink" Target="https://www.sec.gov/Archives/edgar/data/1808805/000162828021007512/exhibit1020-sx4a2.htm" TargetMode="External"/><Relationship Id="rId376" Type="http://schemas.openxmlformats.org/officeDocument/2006/relationships/hyperlink" Target="https://www.sec.gov/Archives/edgar/data/1808805/000162828021007512/exhibit1022-sx4a2.htm" TargetMode="External"/><Relationship Id="rId377" Type="http://schemas.openxmlformats.org/officeDocument/2006/relationships/hyperlink" Target="https://www.sec.gov/Archives/edgar/data/1808805/000162828021007512/exhibit1023-sx4a2.htm" TargetMode="External"/><Relationship Id="rId378" Type="http://schemas.openxmlformats.org/officeDocument/2006/relationships/hyperlink" Target="https://www.sec.gov/Archives/edgar/data/1808805/000162828021007512/exhibit1024-sx4a2.htm" TargetMode="External"/><Relationship Id="rId379" Type="http://schemas.openxmlformats.org/officeDocument/2006/relationships/hyperlink" Target="https://www.sec.gov/Archives/edgar/data/1808805/000162828021007512/exhibit1025-sx4a2.htm" TargetMode="External"/><Relationship Id="rId380" Type="http://schemas.openxmlformats.org/officeDocument/2006/relationships/hyperlink" Target="https://www.sec.gov/Archives/edgar/data/1808805/000162828021011892/exhibit161-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2021-07-22T16:18:16Z</dcterms:created>
  <dcterms:modified xsi:type="dcterms:W3CDTF">2021-07-22T16:18:16Z</dcterms:modified>
</cp:coreProperties>
</file>