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3" w:lineRule="exact"/>
        <w:rPr>
          <w:sz w:val="24"/>
          <w:szCs w:val="24"/>
          <w:color w:val="auto"/>
        </w:rPr>
      </w:pPr>
    </w:p>
    <w:p>
      <w:pPr>
        <w:jc w:val="right"/>
        <w:ind w:right="419"/>
        <w:spacing w:after="0"/>
        <w:rPr>
          <w:sz w:val="20"/>
          <w:szCs w:val="20"/>
          <w:color w:val="auto"/>
        </w:rPr>
      </w:pPr>
      <w:r>
        <w:rPr>
          <w:rFonts w:ascii="Arial" w:cs="Arial" w:eastAsia="Arial" w:hAnsi="Arial"/>
          <w:sz w:val="17"/>
          <w:szCs w:val="17"/>
          <w:b w:val="1"/>
          <w:bCs w:val="1"/>
          <w:color w:val="auto"/>
        </w:rPr>
        <w:t>Filed pursuant to Rule 424(b)(4)</w:t>
      </w:r>
    </w:p>
    <w:p>
      <w:pPr>
        <w:spacing w:after="0" w:line="14" w:lineRule="exact"/>
        <w:rPr>
          <w:sz w:val="24"/>
          <w:szCs w:val="24"/>
          <w:color w:val="auto"/>
        </w:rPr>
      </w:pPr>
    </w:p>
    <w:p>
      <w:pPr>
        <w:jc w:val="right"/>
        <w:ind w:right="419"/>
        <w:spacing w:after="0"/>
        <w:rPr>
          <w:sz w:val="20"/>
          <w:szCs w:val="20"/>
          <w:color w:val="auto"/>
        </w:rPr>
      </w:pPr>
      <w:r>
        <w:rPr>
          <w:rFonts w:ascii="Arial" w:cs="Arial" w:eastAsia="Arial" w:hAnsi="Arial"/>
          <w:sz w:val="17"/>
          <w:szCs w:val="17"/>
          <w:b w:val="1"/>
          <w:bCs w:val="1"/>
          <w:color w:val="auto"/>
        </w:rPr>
        <w:t>Registration Nos. 333-239986 and 333-241828</w:t>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400"/>
        <w:spacing w:after="0"/>
        <w:rPr>
          <w:sz w:val="20"/>
          <w:szCs w:val="20"/>
          <w:color w:val="auto"/>
        </w:rPr>
      </w:pPr>
      <w:r>
        <w:rPr>
          <w:rFonts w:ascii="Arial" w:cs="Arial" w:eastAsia="Arial" w:hAnsi="Arial"/>
          <w:sz w:val="17"/>
          <w:szCs w:val="17"/>
          <w:b w:val="1"/>
          <w:bCs w:val="1"/>
          <w:color w:val="auto"/>
        </w:rPr>
        <w:t>PROSPECTUS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$130,000,000</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ARYA Sciences Acquisition Corp III</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13,000,000 Class A Ordinary Shares</w:t>
      </w:r>
    </w:p>
    <w:p>
      <w:pPr>
        <w:spacing w:after="0" w:line="124" w:lineRule="exact"/>
        <w:rPr>
          <w:sz w:val="24"/>
          <w:szCs w:val="24"/>
          <w:color w:val="auto"/>
        </w:rPr>
      </w:pPr>
    </w:p>
    <w:p>
      <w:pPr>
        <w:ind w:left="400" w:right="519"/>
        <w:spacing w:after="0" w:line="231" w:lineRule="auto"/>
        <w:rPr>
          <w:sz w:val="20"/>
          <w:szCs w:val="20"/>
          <w:color w:val="auto"/>
        </w:rPr>
      </w:pPr>
      <w:r>
        <w:rPr>
          <w:rFonts w:ascii="Arial" w:cs="Arial" w:eastAsia="Arial" w:hAnsi="Arial"/>
          <w:sz w:val="16"/>
          <w:szCs w:val="16"/>
          <w:color w:val="auto"/>
        </w:rPr>
        <w:t>ARYA Sciences Acquisition Corp III is a newly organized blank check company incorporated as a Cayman Islands exempted company and formed for the purpose of effecting a merger, share exchange, asset acquisition, share purchase, reorganization or similar business combination with one or more businesses or entities, which we refer to as our initial business combination. We have not selected any business combination target and we have not, nor has anyone on our behalf, initiated any substantive discussions, directly or indirectly, with any business combination target.</w:t>
      </w:r>
    </w:p>
    <w:p>
      <w:pPr>
        <w:spacing w:after="0" w:line="98" w:lineRule="exact"/>
        <w:rPr>
          <w:sz w:val="24"/>
          <w:szCs w:val="24"/>
          <w:color w:val="auto"/>
        </w:rPr>
      </w:pPr>
    </w:p>
    <w:p>
      <w:pPr>
        <w:ind w:left="400" w:right="519"/>
        <w:spacing w:after="0" w:line="249" w:lineRule="auto"/>
        <w:rPr>
          <w:sz w:val="20"/>
          <w:szCs w:val="20"/>
          <w:color w:val="auto"/>
        </w:rPr>
      </w:pPr>
      <w:r>
        <w:rPr>
          <w:rFonts w:ascii="Arial" w:cs="Arial" w:eastAsia="Arial" w:hAnsi="Arial"/>
          <w:sz w:val="15"/>
          <w:szCs w:val="15"/>
          <w:color w:val="auto"/>
        </w:rPr>
        <w:t>This is an initial public offering of our Class A ordinary shares, par value $0.0001 per share, which we refer to as our public shares, at an initial public offering price per share of $10.00. The underwriters have a 45-day option from the date of this prospectus to purchase up to 1,950,000 additional public shares to cover over-allotments, if any. Unlike other initial public offerings of special purpose acquisition companies (“SPAC IPOs”), investors in this offering will not receive warrants that would become exercisable following completion of our initial business combination.</w:t>
      </w:r>
    </w:p>
    <w:p>
      <w:pPr>
        <w:spacing w:after="0" w:line="104" w:lineRule="exact"/>
        <w:rPr>
          <w:sz w:val="24"/>
          <w:szCs w:val="24"/>
          <w:color w:val="auto"/>
        </w:rPr>
      </w:pPr>
    </w:p>
    <w:p>
      <w:pPr>
        <w:ind w:left="400" w:right="459"/>
        <w:spacing w:after="0" w:line="233"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subject to the limitations as described herein. If we do not consummate an initial business combination within 24 months from the closing of this offering, we will redeem 100% of the public shares for cash, subject to applicable law and certain conditions as described herein.</w:t>
      </w:r>
    </w:p>
    <w:p>
      <w:pPr>
        <w:spacing w:after="0" w:line="109" w:lineRule="exact"/>
        <w:rPr>
          <w:sz w:val="24"/>
          <w:szCs w:val="24"/>
          <w:color w:val="auto"/>
        </w:rPr>
      </w:pPr>
    </w:p>
    <w:p>
      <w:pPr>
        <w:ind w:left="400" w:right="459"/>
        <w:spacing w:after="0" w:line="231" w:lineRule="auto"/>
        <w:rPr>
          <w:sz w:val="20"/>
          <w:szCs w:val="20"/>
          <w:color w:val="auto"/>
        </w:rPr>
      </w:pPr>
      <w:r>
        <w:rPr>
          <w:rFonts w:ascii="Arial" w:cs="Arial" w:eastAsia="Arial" w:hAnsi="Arial"/>
          <w:sz w:val="16"/>
          <w:szCs w:val="16"/>
          <w:color w:val="auto"/>
        </w:rPr>
        <w:t>Our sponsor, ARYA Sciences Holdings III, has agreed to purchase 460,000 Class A ordinary shares (or 499,000 Class A ordinary shares if the underwriters’ over-allotment option is exercised in full), at a price of $10.00 per share in a private placement to occur concurrently with the closing of this offering for an aggregate purchase price of $4,600,000 (or $4,990,000 if the over-allotment option is exercised in full) that will close simultaneously with the closing of this offering. The private placement shares are identical to the Class A ordinary shares sold in this offering, subject to certain limited exceptions as described in this prospectus.</w:t>
      </w:r>
    </w:p>
    <w:p>
      <w:pPr>
        <w:spacing w:after="0" w:line="98" w:lineRule="exact"/>
        <w:rPr>
          <w:sz w:val="24"/>
          <w:szCs w:val="24"/>
          <w:color w:val="auto"/>
        </w:rPr>
      </w:pPr>
    </w:p>
    <w:p>
      <w:pPr>
        <w:ind w:left="400" w:right="519"/>
        <w:spacing w:after="0" w:line="233" w:lineRule="auto"/>
        <w:rPr>
          <w:sz w:val="20"/>
          <w:szCs w:val="20"/>
          <w:color w:val="auto"/>
        </w:rPr>
      </w:pPr>
      <w:r>
        <w:rPr>
          <w:rFonts w:ascii="Arial" w:cs="Arial" w:eastAsia="Arial" w:hAnsi="Arial"/>
          <w:sz w:val="16"/>
          <w:szCs w:val="16"/>
          <w:color w:val="auto"/>
        </w:rPr>
        <w:t>Our initial shareholders currently own 3,737,500 Class B ordinary shares (up to 487,500 of which are subject to forfeiture) which will automatically convert into Class A ordinary shares at the time of our initial business combination as described herein. Prior to the completion of our initial business combination, only holders of our Class B ordinary shares will be entitled to vote on the election of directors.</w:t>
      </w:r>
    </w:p>
    <w:p>
      <w:pPr>
        <w:spacing w:after="0" w:line="109" w:lineRule="exact"/>
        <w:rPr>
          <w:sz w:val="24"/>
          <w:szCs w:val="24"/>
          <w:color w:val="auto"/>
        </w:rPr>
      </w:pPr>
    </w:p>
    <w:p>
      <w:pPr>
        <w:ind w:left="400" w:right="459"/>
        <w:spacing w:after="0" w:line="247" w:lineRule="auto"/>
        <w:rPr>
          <w:sz w:val="20"/>
          <w:szCs w:val="20"/>
          <w:color w:val="auto"/>
        </w:rPr>
      </w:pPr>
      <w:r>
        <w:rPr>
          <w:rFonts w:ascii="Arial" w:cs="Arial" w:eastAsia="Arial" w:hAnsi="Arial"/>
          <w:sz w:val="15"/>
          <w:szCs w:val="15"/>
          <w:color w:val="auto"/>
        </w:rPr>
        <w:t>Our sponsor has indicated an interest to purchase up to an aggregate of $25,000,000 of our ordinary shares in a private placement that would occur concurrently with the consummation of our initial business combination. The capital from such private placement would be used as part of the consideration to the sellers in our initial business combination, and any excess capital from such private placement would be used for working capital in the post-business combination company.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Such investment would be made on terms and conditions determined at the time of the business combination.</w:t>
      </w:r>
    </w:p>
    <w:p>
      <w:pPr>
        <w:spacing w:after="0" w:line="105" w:lineRule="exact"/>
        <w:rPr>
          <w:sz w:val="24"/>
          <w:szCs w:val="24"/>
          <w:color w:val="auto"/>
        </w:rPr>
      </w:pPr>
    </w:p>
    <w:p>
      <w:pPr>
        <w:ind w:left="400" w:right="499"/>
        <w:spacing w:after="0" w:line="237" w:lineRule="auto"/>
        <w:rPr>
          <w:sz w:val="20"/>
          <w:szCs w:val="20"/>
          <w:color w:val="auto"/>
        </w:rPr>
      </w:pPr>
      <w:r>
        <w:rPr>
          <w:rFonts w:ascii="Arial" w:cs="Arial" w:eastAsia="Arial" w:hAnsi="Arial"/>
          <w:sz w:val="16"/>
          <w:szCs w:val="16"/>
          <w:color w:val="auto"/>
        </w:rPr>
        <w:t>Prior to this offering, there has been no public market for our Class A ordinary shares. We have been approved to list our Class A ordinary shares on The Nasdaq Capital Market, or Nasdaq, under the symbol “ARYA.”</w:t>
      </w:r>
    </w:p>
    <w:p>
      <w:pPr>
        <w:spacing w:after="0" w:line="49" w:lineRule="exact"/>
        <w:rPr>
          <w:sz w:val="24"/>
          <w:szCs w:val="24"/>
          <w:color w:val="auto"/>
        </w:rPr>
      </w:pPr>
    </w:p>
    <w:p>
      <w:pPr>
        <w:ind w:left="400" w:right="499"/>
        <w:spacing w:after="0" w:line="237"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We are an “emerging growth company” and “smaller reporting company” under applicable federal securities laws and will be subject to reduced public company reporting requirements. Investing in our securities involves a high degree of risk. See “Risk Factors” beginning on page </w:t>
      </w:r>
      <w:hyperlink w:anchor="page30">
        <w:r>
          <w:rPr>
            <w:rFonts w:ascii="Arial" w:cs="Arial" w:eastAsia="Arial" w:hAnsi="Arial"/>
            <w:sz w:val="16"/>
            <w:szCs w:val="16"/>
            <w:b w:val="1"/>
            <w:bCs w:val="1"/>
            <w:u w:val="single" w:color="auto"/>
            <w:color w:val="0000EE"/>
          </w:rPr>
          <w:t>28</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for a discussion of information that should be considered in connection with an investment in our securities. Investors will not be entitled to protections normally afforded to investors in Rule 419 blank check offerings.</w:t>
      </w:r>
    </w:p>
    <w:p>
      <w:pPr>
        <w:spacing w:after="0" w:line="84" w:lineRule="exact"/>
        <w:rPr>
          <w:sz w:val="24"/>
          <w:szCs w:val="24"/>
          <w:color w:val="auto"/>
        </w:rPr>
      </w:pPr>
    </w:p>
    <w:p>
      <w:pPr>
        <w:ind w:left="400" w:right="439"/>
        <w:spacing w:after="0" w:line="234" w:lineRule="auto"/>
        <w:rPr>
          <w:sz w:val="20"/>
          <w:szCs w:val="20"/>
          <w:color w:val="auto"/>
        </w:rPr>
      </w:pPr>
      <w:r>
        <w:rPr>
          <w:rFonts w:ascii="Arial" w:cs="Arial" w:eastAsia="Arial" w:hAnsi="Arial"/>
          <w:sz w:val="16"/>
          <w:szCs w:val="16"/>
          <w:color w:val="auto"/>
        </w:rPr>
        <w:t>Neither the U.S.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57150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19" w:lineRule="exact"/>
        <w:rPr>
          <w:sz w:val="24"/>
          <w:szCs w:val="24"/>
          <w:color w:val="auto"/>
        </w:rPr>
      </w:pPr>
    </w:p>
    <w:tbl>
      <w:tblPr>
        <w:tblLayout w:type="fixed"/>
        <w:tblInd w:w="40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6"/>
                <w:szCs w:val="16"/>
                <w:color w:val="auto"/>
              </w:rPr>
            </w:pPr>
          </w:p>
        </w:tc>
        <w:tc>
          <w:tcPr>
            <w:tcW w:w="860" w:type="dxa"/>
            <w:vAlign w:val="bottom"/>
          </w:tcPr>
          <w:p>
            <w:pPr>
              <w:jc w:val="right"/>
              <w:ind w:right="285"/>
              <w:spacing w:after="0"/>
              <w:rPr>
                <w:sz w:val="20"/>
                <w:szCs w:val="20"/>
                <w:color w:val="auto"/>
              </w:rPr>
            </w:pPr>
            <w:r>
              <w:rPr>
                <w:rFonts w:ascii="Arial" w:cs="Arial" w:eastAsia="Arial" w:hAnsi="Arial"/>
                <w:sz w:val="14"/>
                <w:szCs w:val="14"/>
                <w:b w:val="1"/>
                <w:bCs w:val="1"/>
                <w:color w:val="auto"/>
              </w:rPr>
              <w:t>Total</w:t>
            </w:r>
          </w:p>
        </w:tc>
      </w:tr>
      <w:tr>
        <w:trPr>
          <w:trHeight w:val="39"/>
        </w:trPr>
        <w:tc>
          <w:tcPr>
            <w:tcW w:w="626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r>
      <w:tr>
        <w:trPr>
          <w:trHeight w:val="250"/>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$130,000,000</w:t>
            </w:r>
          </w:p>
        </w:tc>
      </w:tr>
      <w:tr>
        <w:trPr>
          <w:trHeight w:val="230"/>
        </w:trPr>
        <w:tc>
          <w:tcPr>
            <w:tcW w:w="6260" w:type="dxa"/>
            <w:vAlign w:val="bottom"/>
          </w:tcPr>
          <w:p>
            <w:pPr>
              <w:spacing w:after="0" w:line="230"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6"/>
                <w:szCs w:val="26"/>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41"/>
              <w:spacing w:after="0"/>
              <w:rPr>
                <w:sz w:val="20"/>
                <w:szCs w:val="20"/>
                <w:color w:val="auto"/>
              </w:rPr>
            </w:pPr>
            <w:r>
              <w:rPr>
                <w:rFonts w:ascii="Arial" w:cs="Arial" w:eastAsia="Arial" w:hAnsi="Arial"/>
                <w:sz w:val="16"/>
                <w:szCs w:val="16"/>
                <w:color w:val="auto"/>
              </w:rPr>
              <w:t>0.55</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7,150,000</w:t>
            </w:r>
          </w:p>
        </w:tc>
      </w:tr>
      <w:tr>
        <w:trPr>
          <w:trHeight w:val="203"/>
        </w:trPr>
        <w:tc>
          <w:tcPr>
            <w:tcW w:w="6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9.45</w:t>
            </w: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$122,850,000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4677410</wp:posOffset>
            </wp:positionH>
            <wp:positionV relativeFrom="paragraph">
              <wp:posOffset>-454025</wp:posOffset>
            </wp:positionV>
            <wp:extent cx="1200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-454025</wp:posOffset>
            </wp:positionV>
            <wp:extent cx="68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 w:lineRule="exact"/>
        <w:rPr>
          <w:sz w:val="24"/>
          <w:szCs w:val="24"/>
          <w:color w:val="auto"/>
        </w:rPr>
      </w:pPr>
    </w:p>
    <w:p>
      <w:pPr>
        <w:ind w:left="760" w:right="699" w:hanging="360"/>
        <w:spacing w:after="0" w:line="242" w:lineRule="auto"/>
        <w:tabs>
          <w:tab w:leader="none" w:pos="760"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Includes $0.35 per share, or $4,550,000 in the aggregate (or $5,232,500 in the aggregate if the underwriters’ over-allotment option is exercised in full), payable to the underwriters for deferred underwriting commissions to be placed in a trust account located in the United States as described herein and released to the underwriters only upon the consummation of an initial business combination. See also “Underwriting” beginning on page </w:t>
      </w:r>
      <w:hyperlink w:anchor="page133">
        <w:r>
          <w:rPr>
            <w:rFonts w:ascii="Arial" w:cs="Arial" w:eastAsia="Arial" w:hAnsi="Arial"/>
            <w:sz w:val="12"/>
            <w:szCs w:val="12"/>
            <w:u w:val="single" w:color="auto"/>
            <w:color w:val="0000EE"/>
          </w:rPr>
          <w:t>131</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for a description of compensation and other items of value payable to the underwriters.</w:t>
      </w:r>
    </w:p>
    <w:p>
      <w:pPr>
        <w:spacing w:after="0" w:line="90" w:lineRule="exact"/>
        <w:rPr>
          <w:sz w:val="24"/>
          <w:szCs w:val="24"/>
          <w:color w:val="auto"/>
        </w:rPr>
      </w:pPr>
    </w:p>
    <w:p>
      <w:pPr>
        <w:ind w:left="400" w:right="699"/>
        <w:spacing w:after="0" w:line="233" w:lineRule="auto"/>
        <w:rPr>
          <w:sz w:val="20"/>
          <w:szCs w:val="20"/>
          <w:color w:val="auto"/>
        </w:rPr>
      </w:pPr>
      <w:r>
        <w:rPr>
          <w:rFonts w:ascii="Arial" w:cs="Arial" w:eastAsia="Arial" w:hAnsi="Arial"/>
          <w:sz w:val="16"/>
          <w:szCs w:val="16"/>
          <w:color w:val="auto"/>
        </w:rPr>
        <w:t>Of the proceeds we receive from this offering and the sale of the private placement shares described in this prospectus, $130 million, or $149.5 million if the underwriters’ over-allotment option is exercised in full ($10.00 per share in either case), will be deposited into a trust account located in the United States with Continental Stock Transfer &amp; Trust Company acting as trustee.</w:t>
      </w:r>
    </w:p>
    <w:p>
      <w:pPr>
        <w:spacing w:after="0" w:line="69" w:lineRule="exact"/>
        <w:rPr>
          <w:sz w:val="24"/>
          <w:szCs w:val="24"/>
          <w:color w:val="auto"/>
        </w:rPr>
      </w:pPr>
    </w:p>
    <w:p>
      <w:pPr>
        <w:ind w:left="400" w:right="579"/>
        <w:spacing w:after="0" w:line="237" w:lineRule="auto"/>
        <w:rPr>
          <w:sz w:val="20"/>
          <w:szCs w:val="20"/>
          <w:color w:val="auto"/>
        </w:rPr>
      </w:pPr>
      <w:r>
        <w:rPr>
          <w:rFonts w:ascii="Arial" w:cs="Arial" w:eastAsia="Arial" w:hAnsi="Arial"/>
          <w:sz w:val="16"/>
          <w:szCs w:val="16"/>
          <w:color w:val="auto"/>
        </w:rPr>
        <w:t>The underwriters are offering the shares for sale on a firm commitment basis. The underwriters expect to deliver the shares to the purchasers on or about August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177165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Joint Book-Running Managers</w:t>
      </w:r>
    </w:p>
    <w:p>
      <w:pPr>
        <w:spacing w:after="0" w:line="203" w:lineRule="exact"/>
        <w:rPr>
          <w:sz w:val="24"/>
          <w:szCs w:val="24"/>
          <w:color w:val="auto"/>
        </w:rPr>
      </w:pPr>
    </w:p>
    <w:p>
      <w:pPr>
        <w:ind w:left="1880"/>
        <w:spacing w:after="0"/>
        <w:tabs>
          <w:tab w:leader="none" w:pos="5000" w:val="left"/>
        </w:tabs>
        <w:rPr>
          <w:sz w:val="20"/>
          <w:szCs w:val="20"/>
          <w:color w:val="auto"/>
        </w:rPr>
      </w:pPr>
      <w:r>
        <w:rPr>
          <w:rFonts w:ascii="Arial" w:cs="Arial" w:eastAsia="Arial" w:hAnsi="Arial"/>
          <w:sz w:val="25"/>
          <w:szCs w:val="25"/>
          <w:b w:val="1"/>
          <w:bCs w:val="1"/>
          <w:color w:val="auto"/>
        </w:rPr>
        <w:t>Jefferies</w:t>
      </w:r>
      <w:r>
        <w:rPr>
          <w:sz w:val="20"/>
          <w:szCs w:val="20"/>
          <w:color w:val="auto"/>
        </w:rPr>
        <w:tab/>
      </w:r>
      <w:r>
        <w:rPr>
          <w:rFonts w:ascii="Arial" w:cs="Arial" w:eastAsia="Arial" w:hAnsi="Arial"/>
          <w:sz w:val="25"/>
          <w:szCs w:val="25"/>
          <w:b w:val="1"/>
          <w:bCs w:val="1"/>
          <w:color w:val="auto"/>
        </w:rPr>
        <w:t>Goldman Sachs &amp; Co.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102870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ectPr>
          <w:pgSz w:w="11900" w:h="16838" w:orient="portrait"/>
          <w:cols w:equalWidth="0" w:num="1">
            <w:col w:w="9019"/>
          </w:cols>
          <w:pgMar w:left="1440" w:top="225" w:right="1440" w:bottom="318" w:gutter="0" w:footer="0" w:header="0"/>
        </w:sectPr>
      </w:pP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August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106680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5" w:right="1440" w:bottom="318"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5760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gridSpan w:val="3"/>
          </w:tcPr>
          <w:p>
            <w:pPr>
              <w:jc w:val="cente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0"/>
        </w:trPr>
        <w:tc>
          <w:tcPr>
            <w:tcW w:w="1120" w:type="dxa"/>
            <w:vAlign w:val="bottom"/>
            <w:tcBorders>
              <w:bottom w:val="single" w:sz="8" w:color="CCEEFF"/>
            </w:tcBorders>
          </w:tcPr>
          <w:p>
            <w:pPr>
              <w:spacing w:after="0"/>
              <w:rPr>
                <w:sz w:val="6"/>
                <w:szCs w:val="6"/>
                <w:color w:val="auto"/>
              </w:rPr>
            </w:pPr>
          </w:p>
        </w:tc>
        <w:tc>
          <w:tcPr>
            <w:tcW w:w="6400" w:type="dxa"/>
            <w:vAlign w:val="bottom"/>
            <w:tcBorders>
              <w:bottom w:val="single" w:sz="8" w:color="CCEEFF"/>
            </w:tcBorders>
          </w:tcPr>
          <w:p>
            <w:pPr>
              <w:spacing w:after="0"/>
              <w:rPr>
                <w:sz w:val="6"/>
                <w:szCs w:val="6"/>
                <w:color w:val="auto"/>
              </w:rPr>
            </w:pPr>
          </w:p>
        </w:tc>
        <w:tc>
          <w:tcPr>
            <w:tcW w:w="12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720" w:type="dxa"/>
            <w:vAlign w:val="bottom"/>
            <w:gridSpan w:val="3"/>
            <w:shd w:val="clear" w:color="auto" w:fill="CCEEFF"/>
          </w:tcPr>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SUMMARY</w:t>
              </w:r>
            </w:hyperlink>
          </w:p>
        </w:tc>
        <w:tc>
          <w:tcPr>
            <w:tcW w:w="360" w:type="dxa"/>
            <w:vAlign w:val="bottom"/>
            <w:gridSpan w:val="3"/>
            <w:shd w:val="clear" w:color="auto" w:fill="CCEEFF"/>
          </w:tcPr>
          <w:p>
            <w:pPr>
              <w:jc w:val="right"/>
              <w:ind w:right="60"/>
              <w:spacing w:after="0"/>
              <w:rPr>
                <w:rFonts w:ascii="Arial" w:cs="Arial" w:eastAsia="Arial" w:hAnsi="Arial"/>
                <w:sz w:val="17"/>
                <w:szCs w:val="17"/>
                <w:color w:val="0000EE"/>
              </w:rPr>
            </w:pPr>
            <w:hyperlink w:anchor="page3">
              <w:r>
                <w:rPr>
                  <w:rFonts w:ascii="Arial" w:cs="Arial" w:eastAsia="Arial" w:hAnsi="Arial"/>
                  <w:sz w:val="17"/>
                  <w:szCs w:val="17"/>
                  <w:color w:val="0000EE"/>
                </w:rPr>
                <w:t>1</w:t>
              </w:r>
            </w:hyperlink>
          </w:p>
        </w:tc>
        <w:tc>
          <w:tcPr>
            <w:tcW w:w="0" w:type="dxa"/>
            <w:vAlign w:val="bottom"/>
          </w:tcPr>
          <w:p>
            <w:pPr>
              <w:spacing w:after="0"/>
              <w:rPr>
                <w:sz w:val="1"/>
                <w:szCs w:val="1"/>
                <w:color w:val="auto"/>
              </w:rPr>
            </w:pPr>
          </w:p>
        </w:tc>
      </w:tr>
      <w:tr>
        <w:trPr>
          <w:trHeight w:val="74"/>
        </w:trPr>
        <w:tc>
          <w:tcPr>
            <w:tcW w:w="1120" w:type="dxa"/>
            <w:vAlign w:val="bottom"/>
            <w:tcBorders>
              <w:top w:val="single" w:sz="8" w:color="CCEEFF"/>
            </w:tcBorders>
            <w:shd w:val="clear" w:color="auto" w:fill="CCEEFF"/>
          </w:tcPr>
          <w:p>
            <w:pPr>
              <w:spacing w:after="0"/>
              <w:rPr>
                <w:sz w:val="6"/>
                <w:szCs w:val="6"/>
                <w:color w:val="auto"/>
              </w:rPr>
            </w:pPr>
          </w:p>
        </w:tc>
        <w:tc>
          <w:tcPr>
            <w:tcW w:w="640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8720" w:type="dxa"/>
            <w:vAlign w:val="bottom"/>
            <w:gridSpan w:val="3"/>
          </w:tcPr>
          <w:p>
            <w:pPr>
              <w:spacing w:after="0"/>
              <w:rPr>
                <w:rFonts w:ascii="Arial" w:cs="Arial" w:eastAsia="Arial" w:hAnsi="Arial"/>
                <w:sz w:val="17"/>
                <w:szCs w:val="17"/>
                <w:u w:val="single" w:color="auto"/>
                <w:color w:val="0000EE"/>
              </w:rPr>
            </w:pPr>
            <w:hyperlink w:anchor="page29">
              <w:r>
                <w:rPr>
                  <w:rFonts w:ascii="Arial" w:cs="Arial" w:eastAsia="Arial" w:hAnsi="Arial"/>
                  <w:sz w:val="17"/>
                  <w:szCs w:val="17"/>
                  <w:u w:val="single" w:color="auto"/>
                  <w:color w:val="0000EE"/>
                </w:rPr>
                <w:t>SUMMARY FINANCIAL DATA</w:t>
              </w:r>
            </w:hyperlink>
          </w:p>
        </w:tc>
        <w:tc>
          <w:tcPr>
            <w:tcW w:w="300" w:type="dxa"/>
            <w:vAlign w:val="bottom"/>
            <w:gridSpan w:val="2"/>
          </w:tcPr>
          <w:p>
            <w:pPr>
              <w:jc w:val="right"/>
              <w:spacing w:after="0"/>
              <w:rPr>
                <w:rFonts w:ascii="Arial" w:cs="Arial" w:eastAsia="Arial" w:hAnsi="Arial"/>
                <w:sz w:val="17"/>
                <w:szCs w:val="17"/>
                <w:u w:val="single" w:color="auto"/>
                <w:color w:val="0000EE"/>
              </w:rPr>
            </w:pPr>
            <w:hyperlink w:anchor="page29">
              <w:r>
                <w:rPr>
                  <w:rFonts w:ascii="Arial" w:cs="Arial" w:eastAsia="Arial" w:hAnsi="Arial"/>
                  <w:sz w:val="17"/>
                  <w:szCs w:val="17"/>
                  <w:u w:val="single" w:color="auto"/>
                  <w:color w:val="0000EE"/>
                </w:rPr>
                <w:t>27</w:t>
              </w:r>
            </w:hyperlink>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1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872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RISK FACTORS</w:t>
              </w:r>
            </w:hyperlink>
          </w:p>
        </w:tc>
        <w:tc>
          <w:tcPr>
            <w:tcW w:w="30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28</w:t>
              </w:r>
            </w:hyperlink>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720" w:type="dxa"/>
            <w:vAlign w:val="bottom"/>
            <w:gridSpan w:val="3"/>
          </w:tcPr>
          <w:p>
            <w:pPr>
              <w:spacing w:after="0"/>
              <w:rPr>
                <w:rFonts w:ascii="Arial" w:cs="Arial" w:eastAsia="Arial" w:hAnsi="Arial"/>
                <w:sz w:val="17"/>
                <w:szCs w:val="17"/>
                <w:u w:val="single" w:color="auto"/>
                <w:color w:val="0000EE"/>
              </w:rPr>
            </w:pPr>
            <w:hyperlink w:anchor="page59">
              <w:r>
                <w:rPr>
                  <w:rFonts w:ascii="Arial" w:cs="Arial" w:eastAsia="Arial" w:hAnsi="Arial"/>
                  <w:sz w:val="17"/>
                  <w:szCs w:val="17"/>
                  <w:u w:val="single" w:color="auto"/>
                  <w:color w:val="0000EE"/>
                </w:rPr>
                <w:t>CAUTIONARY NOTE REGARDING FORWARD-LOOKING STATEMENTS</w:t>
              </w:r>
            </w:hyperlink>
          </w:p>
        </w:tc>
        <w:tc>
          <w:tcPr>
            <w:tcW w:w="300" w:type="dxa"/>
            <w:vAlign w:val="bottom"/>
            <w:gridSpan w:val="2"/>
          </w:tcPr>
          <w:p>
            <w:pPr>
              <w:jc w:val="right"/>
              <w:spacing w:after="0"/>
              <w:rPr>
                <w:rFonts w:ascii="Arial" w:cs="Arial" w:eastAsia="Arial" w:hAnsi="Arial"/>
                <w:sz w:val="17"/>
                <w:szCs w:val="17"/>
                <w:u w:val="single" w:color="auto"/>
                <w:color w:val="0000EE"/>
              </w:rPr>
            </w:pPr>
            <w:hyperlink w:anchor="page59">
              <w:r>
                <w:rPr>
                  <w:rFonts w:ascii="Arial" w:cs="Arial" w:eastAsia="Arial" w:hAnsi="Arial"/>
                  <w:sz w:val="17"/>
                  <w:szCs w:val="17"/>
                  <w:u w:val="single" w:color="auto"/>
                  <w:color w:val="0000EE"/>
                </w:rPr>
                <w:t>57</w:t>
              </w:r>
            </w:hyperlink>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1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872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60">
              <w:r>
                <w:rPr>
                  <w:rFonts w:ascii="Arial" w:cs="Arial" w:eastAsia="Arial" w:hAnsi="Arial"/>
                  <w:sz w:val="17"/>
                  <w:szCs w:val="17"/>
                  <w:u w:val="single" w:color="auto"/>
                  <w:color w:val="0000EE"/>
                </w:rPr>
                <w:t>USE OF PROCEEDS</w:t>
              </w:r>
            </w:hyperlink>
          </w:p>
        </w:tc>
        <w:tc>
          <w:tcPr>
            <w:tcW w:w="30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rPr>
            </w:pPr>
            <w:hyperlink w:anchor="page60">
              <w:r>
                <w:rPr>
                  <w:rFonts w:ascii="Arial" w:cs="Arial" w:eastAsia="Arial" w:hAnsi="Arial"/>
                  <w:sz w:val="17"/>
                  <w:szCs w:val="17"/>
                  <w:u w:val="single" w:color="auto"/>
                  <w:color w:val="0000EE"/>
                </w:rPr>
                <w:t>58</w:t>
              </w:r>
            </w:hyperlink>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720" w:type="dxa"/>
            <w:vAlign w:val="bottom"/>
            <w:gridSpan w:val="3"/>
          </w:tcPr>
          <w:p>
            <w:pPr>
              <w:spacing w:after="0"/>
              <w:rPr>
                <w:rFonts w:ascii="Arial" w:cs="Arial" w:eastAsia="Arial" w:hAnsi="Arial"/>
                <w:sz w:val="17"/>
                <w:szCs w:val="17"/>
                <w:u w:val="single" w:color="auto"/>
                <w:color w:val="0000EE"/>
              </w:rPr>
            </w:pPr>
            <w:hyperlink w:anchor="page63">
              <w:r>
                <w:rPr>
                  <w:rFonts w:ascii="Arial" w:cs="Arial" w:eastAsia="Arial" w:hAnsi="Arial"/>
                  <w:sz w:val="17"/>
                  <w:szCs w:val="17"/>
                  <w:u w:val="single" w:color="auto"/>
                  <w:color w:val="0000EE"/>
                </w:rPr>
                <w:t>DIVIDEND POLICY</w:t>
              </w:r>
            </w:hyperlink>
          </w:p>
        </w:tc>
        <w:tc>
          <w:tcPr>
            <w:tcW w:w="300" w:type="dxa"/>
            <w:vAlign w:val="bottom"/>
            <w:gridSpan w:val="2"/>
          </w:tcPr>
          <w:p>
            <w:pPr>
              <w:jc w:val="right"/>
              <w:spacing w:after="0"/>
              <w:rPr>
                <w:rFonts w:ascii="Arial" w:cs="Arial" w:eastAsia="Arial" w:hAnsi="Arial"/>
                <w:sz w:val="17"/>
                <w:szCs w:val="17"/>
                <w:u w:val="single" w:color="auto"/>
                <w:color w:val="0000EE"/>
              </w:rPr>
            </w:pPr>
            <w:hyperlink w:anchor="page63">
              <w:r>
                <w:rPr>
                  <w:rFonts w:ascii="Arial" w:cs="Arial" w:eastAsia="Arial" w:hAnsi="Arial"/>
                  <w:sz w:val="17"/>
                  <w:szCs w:val="17"/>
                  <w:u w:val="single" w:color="auto"/>
                  <w:color w:val="0000EE"/>
                </w:rPr>
                <w:t>61</w:t>
              </w:r>
            </w:hyperlink>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1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872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DILUTION</w:t>
              </w:r>
            </w:hyperlink>
          </w:p>
        </w:tc>
        <w:tc>
          <w:tcPr>
            <w:tcW w:w="30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62</w:t>
              </w:r>
            </w:hyperlink>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720" w:type="dxa"/>
            <w:vAlign w:val="bottom"/>
            <w:gridSpan w:val="3"/>
          </w:tcPr>
          <w:p>
            <w:pPr>
              <w:spacing w:after="0"/>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CAPITALIZATION</w:t>
              </w:r>
            </w:hyperlink>
          </w:p>
        </w:tc>
        <w:tc>
          <w:tcPr>
            <w:tcW w:w="300" w:type="dxa"/>
            <w:vAlign w:val="bottom"/>
            <w:gridSpan w:val="2"/>
          </w:tcPr>
          <w:p>
            <w:pPr>
              <w:jc w:val="right"/>
              <w:spacing w:after="0"/>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64</w:t>
              </w:r>
            </w:hyperlink>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1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720" w:type="dxa"/>
            <w:vAlign w:val="bottom"/>
            <w:gridSpan w:val="3"/>
            <w:shd w:val="clear" w:color="auto" w:fill="CCEEFF"/>
          </w:tcPr>
          <w:p>
            <w:pPr>
              <w:spacing w:after="0"/>
              <w:rPr>
                <w:rFonts w:ascii="Arial" w:cs="Arial" w:eastAsia="Arial" w:hAnsi="Arial"/>
                <w:sz w:val="17"/>
                <w:szCs w:val="17"/>
                <w:color w:val="0000EE"/>
              </w:rPr>
            </w:pPr>
            <w:hyperlink w:anchor="page67">
              <w:r>
                <w:rPr>
                  <w:rFonts w:ascii="Arial" w:cs="Arial" w:eastAsia="Arial" w:hAnsi="Arial"/>
                  <w:sz w:val="17"/>
                  <w:szCs w:val="17"/>
                  <w:color w:val="0000EE"/>
                </w:rPr>
                <w:t>MANAGEMENT’S DISCUSSION AND ANALYSIS OF FINANCIAL CONDITION AND RESULTS OF</w:t>
              </w:r>
            </w:hyperlink>
          </w:p>
        </w:tc>
        <w:tc>
          <w:tcPr>
            <w:tcW w:w="300" w:type="dxa"/>
            <w:vAlign w:val="bottom"/>
            <w:gridSpan w:val="2"/>
            <w:vMerge w:val="restart"/>
            <w:shd w:val="clear" w:color="auto" w:fill="CCEEFF"/>
          </w:tcPr>
          <w:p>
            <w:pPr>
              <w:jc w:val="right"/>
              <w:spacing w:after="0"/>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65</w:t>
              </w:r>
            </w:hyperlink>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520" w:type="dxa"/>
            <w:vAlign w:val="bottom"/>
            <w:tcBorders>
              <w:top w:val="single" w:sz="8" w:color="0000EE"/>
            </w:tcBorders>
            <w:gridSpan w:val="2"/>
            <w:shd w:val="clear" w:color="auto" w:fill="CCEEFF"/>
          </w:tcPr>
          <w:p>
            <w:pPr>
              <w:spacing w:after="0" w:line="169" w:lineRule="exact"/>
              <w:rPr>
                <w:rFonts w:ascii="Arial" w:cs="Arial" w:eastAsia="Arial" w:hAnsi="Arial"/>
                <w:sz w:val="17"/>
                <w:szCs w:val="17"/>
                <w:color w:val="0000EE"/>
              </w:rPr>
            </w:pPr>
            <w:hyperlink w:anchor="page67">
              <w:r>
                <w:rPr>
                  <w:rFonts w:ascii="Arial" w:cs="Arial" w:eastAsia="Arial" w:hAnsi="Arial"/>
                  <w:sz w:val="17"/>
                  <w:szCs w:val="17"/>
                  <w:color w:val="0000EE"/>
                </w:rPr>
                <w:t>OPERATIONS</w:t>
              </w:r>
            </w:hyperlink>
          </w:p>
        </w:tc>
        <w:tc>
          <w:tcPr>
            <w:tcW w:w="12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gridSpan w:val="2"/>
            <w:vMerge w:val="continue"/>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120" w:type="dxa"/>
            <w:vAlign w:val="bottom"/>
            <w:tcBorders>
              <w:top w:val="single" w:sz="8" w:color="0000EE"/>
            </w:tcBorders>
            <w:shd w:val="clear" w:color="auto" w:fill="CCEEFF"/>
          </w:tcPr>
          <w:p>
            <w:pPr>
              <w:spacing w:after="0"/>
              <w:rPr>
                <w:sz w:val="6"/>
                <w:szCs w:val="6"/>
                <w:color w:val="auto"/>
              </w:rPr>
            </w:pPr>
          </w:p>
        </w:tc>
        <w:tc>
          <w:tcPr>
            <w:tcW w:w="640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8720" w:type="dxa"/>
            <w:vAlign w:val="bottom"/>
            <w:gridSpan w:val="3"/>
          </w:tcPr>
          <w:p>
            <w:pPr>
              <w:spacing w:after="0"/>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PROPOSED BUSINESS</w:t>
              </w:r>
            </w:hyperlink>
          </w:p>
        </w:tc>
        <w:tc>
          <w:tcPr>
            <w:tcW w:w="300" w:type="dxa"/>
            <w:vAlign w:val="bottom"/>
            <w:gridSpan w:val="2"/>
          </w:tcPr>
          <w:p>
            <w:pPr>
              <w:jc w:val="right"/>
              <w:spacing w:after="0"/>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70</w:t>
              </w:r>
            </w:hyperlink>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1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872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97">
              <w:r>
                <w:rPr>
                  <w:rFonts w:ascii="Arial" w:cs="Arial" w:eastAsia="Arial" w:hAnsi="Arial"/>
                  <w:sz w:val="17"/>
                  <w:szCs w:val="17"/>
                  <w:u w:val="single" w:color="auto"/>
                  <w:color w:val="0000EE"/>
                </w:rPr>
                <w:t>MANAGEMENT</w:t>
              </w:r>
            </w:hyperlink>
          </w:p>
        </w:tc>
        <w:tc>
          <w:tcPr>
            <w:tcW w:w="30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rPr>
            </w:pPr>
            <w:hyperlink w:anchor="page97">
              <w:r>
                <w:rPr>
                  <w:rFonts w:ascii="Arial" w:cs="Arial" w:eastAsia="Arial" w:hAnsi="Arial"/>
                  <w:sz w:val="17"/>
                  <w:szCs w:val="17"/>
                  <w:u w:val="single" w:color="auto"/>
                  <w:color w:val="0000EE"/>
                </w:rPr>
                <w:t>95</w:t>
              </w:r>
            </w:hyperlink>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720" w:type="dxa"/>
            <w:vAlign w:val="bottom"/>
            <w:gridSpan w:val="3"/>
          </w:tcPr>
          <w:p>
            <w:pPr>
              <w:spacing w:after="0"/>
              <w:rPr>
                <w:rFonts w:ascii="Arial" w:cs="Arial" w:eastAsia="Arial" w:hAnsi="Arial"/>
                <w:sz w:val="17"/>
                <w:szCs w:val="17"/>
                <w:u w:val="single" w:color="auto"/>
                <w:color w:val="0000EE"/>
              </w:rPr>
            </w:pPr>
            <w:hyperlink w:anchor="page106">
              <w:r>
                <w:rPr>
                  <w:rFonts w:ascii="Arial" w:cs="Arial" w:eastAsia="Arial" w:hAnsi="Arial"/>
                  <w:sz w:val="17"/>
                  <w:szCs w:val="17"/>
                  <w:u w:val="single" w:color="auto"/>
                  <w:color w:val="0000EE"/>
                </w:rPr>
                <w:t>PRINCIPAL SHAREHOLDERS</w:t>
              </w:r>
            </w:hyperlink>
          </w:p>
        </w:tc>
        <w:tc>
          <w:tcPr>
            <w:tcW w:w="300" w:type="dxa"/>
            <w:vAlign w:val="bottom"/>
            <w:gridSpan w:val="2"/>
          </w:tcPr>
          <w:p>
            <w:pPr>
              <w:jc w:val="right"/>
              <w:spacing w:after="0"/>
              <w:rPr>
                <w:rFonts w:ascii="Arial" w:cs="Arial" w:eastAsia="Arial" w:hAnsi="Arial"/>
                <w:sz w:val="17"/>
                <w:szCs w:val="17"/>
                <w:u w:val="single" w:color="auto"/>
                <w:color w:val="0000EE"/>
                <w:w w:val="98"/>
              </w:rPr>
            </w:pPr>
            <w:hyperlink w:anchor="page106">
              <w:r>
                <w:rPr>
                  <w:rFonts w:ascii="Arial" w:cs="Arial" w:eastAsia="Arial" w:hAnsi="Arial"/>
                  <w:sz w:val="17"/>
                  <w:szCs w:val="17"/>
                  <w:u w:val="single" w:color="auto"/>
                  <w:color w:val="0000EE"/>
                  <w:w w:val="98"/>
                </w:rPr>
                <w:t>104</w:t>
              </w:r>
            </w:hyperlink>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1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872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108">
              <w:r>
                <w:rPr>
                  <w:rFonts w:ascii="Arial" w:cs="Arial" w:eastAsia="Arial" w:hAnsi="Arial"/>
                  <w:sz w:val="17"/>
                  <w:szCs w:val="17"/>
                  <w:u w:val="single" w:color="auto"/>
                  <w:color w:val="0000EE"/>
                </w:rPr>
                <w:t>CERTAIN RELATIONSHIPS AND RELATED PARTY TRANSACTIONS</w:t>
              </w:r>
            </w:hyperlink>
          </w:p>
        </w:tc>
        <w:tc>
          <w:tcPr>
            <w:tcW w:w="30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w w:val="98"/>
              </w:rPr>
            </w:pPr>
            <w:hyperlink w:anchor="page108">
              <w:r>
                <w:rPr>
                  <w:rFonts w:ascii="Arial" w:cs="Arial" w:eastAsia="Arial" w:hAnsi="Arial"/>
                  <w:sz w:val="17"/>
                  <w:szCs w:val="17"/>
                  <w:u w:val="single" w:color="auto"/>
                  <w:color w:val="0000EE"/>
                  <w:w w:val="98"/>
                </w:rPr>
                <w:t>106</w:t>
              </w:r>
            </w:hyperlink>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720" w:type="dxa"/>
            <w:vAlign w:val="bottom"/>
            <w:gridSpan w:val="3"/>
          </w:tcPr>
          <w:p>
            <w:pPr>
              <w:spacing w:after="0"/>
              <w:rPr>
                <w:rFonts w:ascii="Arial" w:cs="Arial" w:eastAsia="Arial" w:hAnsi="Arial"/>
                <w:sz w:val="17"/>
                <w:szCs w:val="17"/>
                <w:u w:val="single" w:color="auto"/>
                <w:color w:val="0000EE"/>
              </w:rPr>
            </w:pPr>
            <w:hyperlink w:anchor="page110">
              <w:r>
                <w:rPr>
                  <w:rFonts w:ascii="Arial" w:cs="Arial" w:eastAsia="Arial" w:hAnsi="Arial"/>
                  <w:sz w:val="17"/>
                  <w:szCs w:val="17"/>
                  <w:u w:val="single" w:color="auto"/>
                  <w:color w:val="0000EE"/>
                </w:rPr>
                <w:t>DESCRIPTION OF SECURITIES</w:t>
              </w:r>
            </w:hyperlink>
          </w:p>
        </w:tc>
        <w:tc>
          <w:tcPr>
            <w:tcW w:w="300" w:type="dxa"/>
            <w:vAlign w:val="bottom"/>
            <w:gridSpan w:val="2"/>
          </w:tcPr>
          <w:p>
            <w:pPr>
              <w:jc w:val="right"/>
              <w:spacing w:after="0"/>
              <w:rPr>
                <w:rFonts w:ascii="Arial" w:cs="Arial" w:eastAsia="Arial" w:hAnsi="Arial"/>
                <w:sz w:val="17"/>
                <w:szCs w:val="17"/>
                <w:u w:val="single" w:color="auto"/>
                <w:color w:val="0000EE"/>
                <w:w w:val="98"/>
              </w:rPr>
            </w:pPr>
            <w:hyperlink w:anchor="page110">
              <w:r>
                <w:rPr>
                  <w:rFonts w:ascii="Arial" w:cs="Arial" w:eastAsia="Arial" w:hAnsi="Arial"/>
                  <w:sz w:val="17"/>
                  <w:szCs w:val="17"/>
                  <w:u w:val="single" w:color="auto"/>
                  <w:color w:val="0000EE"/>
                  <w:w w:val="98"/>
                </w:rPr>
                <w:t>108</w:t>
              </w:r>
            </w:hyperlink>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1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872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125">
              <w:r>
                <w:rPr>
                  <w:rFonts w:ascii="Arial" w:cs="Arial" w:eastAsia="Arial" w:hAnsi="Arial"/>
                  <w:sz w:val="17"/>
                  <w:szCs w:val="17"/>
                  <w:u w:val="single" w:color="auto"/>
                  <w:color w:val="0000EE"/>
                </w:rPr>
                <w:t>TAXATION</w:t>
              </w:r>
            </w:hyperlink>
          </w:p>
        </w:tc>
        <w:tc>
          <w:tcPr>
            <w:tcW w:w="30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w w:val="98"/>
              </w:rPr>
            </w:pPr>
            <w:hyperlink w:anchor="page125">
              <w:r>
                <w:rPr>
                  <w:rFonts w:ascii="Arial" w:cs="Arial" w:eastAsia="Arial" w:hAnsi="Arial"/>
                  <w:sz w:val="17"/>
                  <w:szCs w:val="17"/>
                  <w:u w:val="single" w:color="auto"/>
                  <w:color w:val="0000EE"/>
                  <w:w w:val="98"/>
                </w:rPr>
                <w:t>123</w:t>
              </w:r>
            </w:hyperlink>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720" w:type="dxa"/>
            <w:vAlign w:val="bottom"/>
            <w:gridSpan w:val="3"/>
          </w:tcPr>
          <w:p>
            <w:pPr>
              <w:spacing w:after="0"/>
              <w:rPr>
                <w:rFonts w:ascii="Arial" w:cs="Arial" w:eastAsia="Arial" w:hAnsi="Arial"/>
                <w:sz w:val="17"/>
                <w:szCs w:val="17"/>
                <w:u w:val="single" w:color="auto"/>
                <w:color w:val="0000EE"/>
              </w:rPr>
            </w:pPr>
            <w:hyperlink w:anchor="page133">
              <w:r>
                <w:rPr>
                  <w:rFonts w:ascii="Arial" w:cs="Arial" w:eastAsia="Arial" w:hAnsi="Arial"/>
                  <w:sz w:val="17"/>
                  <w:szCs w:val="17"/>
                  <w:u w:val="single" w:color="auto"/>
                  <w:color w:val="0000EE"/>
                </w:rPr>
                <w:t>UNDERWRITING</w:t>
              </w:r>
            </w:hyperlink>
          </w:p>
        </w:tc>
        <w:tc>
          <w:tcPr>
            <w:tcW w:w="300" w:type="dxa"/>
            <w:vAlign w:val="bottom"/>
            <w:gridSpan w:val="2"/>
          </w:tcPr>
          <w:p>
            <w:pPr>
              <w:jc w:val="right"/>
              <w:spacing w:after="0"/>
              <w:rPr>
                <w:rFonts w:ascii="Arial" w:cs="Arial" w:eastAsia="Arial" w:hAnsi="Arial"/>
                <w:sz w:val="17"/>
                <w:szCs w:val="17"/>
                <w:u w:val="single" w:color="auto"/>
                <w:color w:val="0000EE"/>
                <w:w w:val="98"/>
              </w:rPr>
            </w:pPr>
            <w:hyperlink w:anchor="page133">
              <w:r>
                <w:rPr>
                  <w:rFonts w:ascii="Arial" w:cs="Arial" w:eastAsia="Arial" w:hAnsi="Arial"/>
                  <w:sz w:val="17"/>
                  <w:szCs w:val="17"/>
                  <w:u w:val="single" w:color="auto"/>
                  <w:color w:val="0000EE"/>
                  <w:w w:val="98"/>
                </w:rPr>
                <w:t>131</w:t>
              </w:r>
            </w:hyperlink>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1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872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141">
              <w:r>
                <w:rPr>
                  <w:rFonts w:ascii="Arial" w:cs="Arial" w:eastAsia="Arial" w:hAnsi="Arial"/>
                  <w:sz w:val="17"/>
                  <w:szCs w:val="17"/>
                  <w:u w:val="single" w:color="auto"/>
                  <w:color w:val="0000EE"/>
                </w:rPr>
                <w:t>LEGAL MATTERS</w:t>
              </w:r>
            </w:hyperlink>
          </w:p>
        </w:tc>
        <w:tc>
          <w:tcPr>
            <w:tcW w:w="30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w w:val="98"/>
              </w:rPr>
            </w:pPr>
            <w:hyperlink w:anchor="page141">
              <w:r>
                <w:rPr>
                  <w:rFonts w:ascii="Arial" w:cs="Arial" w:eastAsia="Arial" w:hAnsi="Arial"/>
                  <w:sz w:val="17"/>
                  <w:szCs w:val="17"/>
                  <w:u w:val="single" w:color="auto"/>
                  <w:color w:val="0000EE"/>
                  <w:w w:val="98"/>
                </w:rPr>
                <w:t>139</w:t>
              </w:r>
            </w:hyperlink>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720" w:type="dxa"/>
            <w:vAlign w:val="bottom"/>
            <w:gridSpan w:val="3"/>
          </w:tcPr>
          <w:p>
            <w:pPr>
              <w:spacing w:after="0"/>
              <w:rPr>
                <w:rFonts w:ascii="Arial" w:cs="Arial" w:eastAsia="Arial" w:hAnsi="Arial"/>
                <w:sz w:val="17"/>
                <w:szCs w:val="17"/>
                <w:u w:val="single" w:color="auto"/>
                <w:color w:val="0000EE"/>
              </w:rPr>
            </w:pPr>
            <w:hyperlink w:anchor="page141">
              <w:r>
                <w:rPr>
                  <w:rFonts w:ascii="Arial" w:cs="Arial" w:eastAsia="Arial" w:hAnsi="Arial"/>
                  <w:sz w:val="17"/>
                  <w:szCs w:val="17"/>
                  <w:u w:val="single" w:color="auto"/>
                  <w:color w:val="0000EE"/>
                </w:rPr>
                <w:t>EXPERTS</w:t>
              </w:r>
            </w:hyperlink>
          </w:p>
        </w:tc>
        <w:tc>
          <w:tcPr>
            <w:tcW w:w="300" w:type="dxa"/>
            <w:vAlign w:val="bottom"/>
            <w:gridSpan w:val="2"/>
          </w:tcPr>
          <w:p>
            <w:pPr>
              <w:jc w:val="right"/>
              <w:spacing w:after="0"/>
              <w:rPr>
                <w:rFonts w:ascii="Arial" w:cs="Arial" w:eastAsia="Arial" w:hAnsi="Arial"/>
                <w:sz w:val="17"/>
                <w:szCs w:val="17"/>
                <w:u w:val="single" w:color="auto"/>
                <w:color w:val="0000EE"/>
                <w:w w:val="98"/>
              </w:rPr>
            </w:pPr>
            <w:hyperlink w:anchor="page141">
              <w:r>
                <w:rPr>
                  <w:rFonts w:ascii="Arial" w:cs="Arial" w:eastAsia="Arial" w:hAnsi="Arial"/>
                  <w:sz w:val="17"/>
                  <w:szCs w:val="17"/>
                  <w:u w:val="single" w:color="auto"/>
                  <w:color w:val="0000EE"/>
                  <w:w w:val="98"/>
                </w:rPr>
                <w:t>139</w:t>
              </w:r>
            </w:hyperlink>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1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872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141">
              <w:r>
                <w:rPr>
                  <w:rFonts w:ascii="Arial" w:cs="Arial" w:eastAsia="Arial" w:hAnsi="Arial"/>
                  <w:sz w:val="17"/>
                  <w:szCs w:val="17"/>
                  <w:u w:val="single" w:color="auto"/>
                  <w:color w:val="0000EE"/>
                </w:rPr>
                <w:t>WHERE YOU CAN FIND ADDITIONAL INFORMATION</w:t>
              </w:r>
            </w:hyperlink>
          </w:p>
        </w:tc>
        <w:tc>
          <w:tcPr>
            <w:tcW w:w="30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w w:val="98"/>
              </w:rPr>
            </w:pPr>
            <w:hyperlink w:anchor="page141">
              <w:r>
                <w:rPr>
                  <w:rFonts w:ascii="Arial" w:cs="Arial" w:eastAsia="Arial" w:hAnsi="Arial"/>
                  <w:sz w:val="17"/>
                  <w:szCs w:val="17"/>
                  <w:u w:val="single" w:color="auto"/>
                  <w:color w:val="0000EE"/>
                  <w:w w:val="98"/>
                </w:rPr>
                <w:t>139</w:t>
              </w:r>
            </w:hyperlink>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720" w:type="dxa"/>
            <w:vAlign w:val="bottom"/>
            <w:tcBorders>
              <w:bottom w:val="single" w:sz="8" w:color="auto"/>
            </w:tcBorders>
            <w:gridSpan w:val="3"/>
          </w:tcPr>
          <w:p>
            <w:pPr>
              <w:spacing w:after="0"/>
              <w:rPr>
                <w:rFonts w:ascii="Arial" w:cs="Arial" w:eastAsia="Arial" w:hAnsi="Arial"/>
                <w:sz w:val="17"/>
                <w:szCs w:val="17"/>
                <w:u w:val="single" w:color="auto"/>
                <w:color w:val="0000EE"/>
              </w:rPr>
            </w:pPr>
            <w:hyperlink w:anchor="page142">
              <w:r>
                <w:rPr>
                  <w:rFonts w:ascii="Arial" w:cs="Arial" w:eastAsia="Arial" w:hAnsi="Arial"/>
                  <w:sz w:val="17"/>
                  <w:szCs w:val="17"/>
                  <w:u w:val="single" w:color="auto"/>
                  <w:color w:val="0000EE"/>
                </w:rPr>
                <w:t>INDEX TO FINANCIAL STATEMENTS</w:t>
              </w:r>
            </w:hyperlink>
          </w:p>
        </w:tc>
        <w:tc>
          <w:tcPr>
            <w:tcW w:w="360" w:type="dxa"/>
            <w:vAlign w:val="bottom"/>
            <w:tcBorders>
              <w:bottom w:val="single" w:sz="8" w:color="auto"/>
            </w:tcBorders>
            <w:gridSpan w:val="3"/>
          </w:tcPr>
          <w:p>
            <w:pPr>
              <w:jc w:val="center"/>
              <w:spacing w:after="0"/>
              <w:rPr>
                <w:rFonts w:ascii="Arial" w:cs="Arial" w:eastAsia="Arial" w:hAnsi="Arial"/>
                <w:sz w:val="17"/>
                <w:szCs w:val="17"/>
                <w:u w:val="single" w:color="auto"/>
                <w:color w:val="0000EE"/>
              </w:rPr>
            </w:pPr>
            <w:hyperlink w:anchor="page142">
              <w:r>
                <w:rPr>
                  <w:rFonts w:ascii="Arial" w:cs="Arial" w:eastAsia="Arial" w:hAnsi="Arial"/>
                  <w:sz w:val="17"/>
                  <w:szCs w:val="17"/>
                  <w:u w:val="single" w:color="auto"/>
                  <w:color w:val="0000EE"/>
                </w:rPr>
                <w:t>F-1</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-4225290</wp:posOffset>
            </wp:positionV>
            <wp:extent cx="102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b w:val="1"/>
          <w:bCs w:val="1"/>
          <w:color w:val="auto"/>
        </w:rPr>
        <w:t>We are responsible for the information contained in this prospectus. We have not authorized anyone to provide you with different information, and neither we nor the underwriters take any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35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0565" cy="635635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SUMMARY</w:t>
      </w:r>
    </w:p>
    <w:p>
      <w:pPr>
        <w:spacing w:after="0" w:line="156" w:lineRule="exact"/>
        <w:rPr>
          <w:sz w:val="20"/>
          <w:szCs w:val="20"/>
          <w:color w:val="auto"/>
        </w:rPr>
      </w:pPr>
    </w:p>
    <w:p>
      <w:pPr>
        <w:jc w:val="both"/>
        <w:ind w:left="240" w:right="399"/>
        <w:spacing w:after="0" w:line="248" w:lineRule="auto"/>
        <w:rPr>
          <w:sz w:val="20"/>
          <w:szCs w:val="20"/>
          <w:color w:val="auto"/>
        </w:rPr>
      </w:pPr>
      <w:r>
        <w:rPr>
          <w:rFonts w:ascii="Arial" w:cs="Arial" w:eastAsia="Arial" w:hAnsi="Arial"/>
          <w:sz w:val="17"/>
          <w:szCs w:val="17"/>
          <w:i w:val="1"/>
          <w:iCs w:val="1"/>
          <w:color w:val="auto"/>
        </w:rPr>
        <w:t>This summary only highlights the more detailed information appearing elsewhere in this prospectus. You should read this entire prospectus carefully, including the information under “Risk Factors” and our financial statements and the related notes included elsewhere in this prospectus, before investing.</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Unless otherwise stated in this prospectus or the context otherwise requires, references to:</w:t>
      </w:r>
    </w:p>
    <w:p>
      <w:pPr>
        <w:spacing w:after="0" w:line="102" w:lineRule="exact"/>
        <w:rPr>
          <w:sz w:val="20"/>
          <w:szCs w:val="20"/>
          <w:color w:val="auto"/>
        </w:rPr>
      </w:pPr>
    </w:p>
    <w:p>
      <w:pPr>
        <w:ind w:left="820" w:right="279"/>
        <w:spacing w:after="0" w:line="243" w:lineRule="auto"/>
        <w:rPr>
          <w:sz w:val="20"/>
          <w:szCs w:val="20"/>
          <w:color w:val="auto"/>
        </w:rPr>
      </w:pPr>
      <w:r>
        <w:rPr>
          <w:rFonts w:ascii="Arial" w:cs="Arial" w:eastAsia="Arial" w:hAnsi="Arial"/>
          <w:sz w:val="17"/>
          <w:szCs w:val="17"/>
          <w:color w:val="auto"/>
        </w:rPr>
        <w:t>“Companies Law” are to the Companies Law (2020 Revision) of the Cayman Islands as the same may be amended from time to time;</w:t>
      </w:r>
    </w:p>
    <w:p>
      <w:pPr>
        <w:spacing w:after="0" w:line="90" w:lineRule="exact"/>
        <w:rPr>
          <w:sz w:val="20"/>
          <w:szCs w:val="20"/>
          <w:color w:val="auto"/>
        </w:rPr>
      </w:pPr>
    </w:p>
    <w:p>
      <w:pPr>
        <w:ind w:left="820" w:right="699"/>
        <w:spacing w:after="0" w:line="243" w:lineRule="auto"/>
        <w:rPr>
          <w:sz w:val="20"/>
          <w:szCs w:val="20"/>
          <w:color w:val="auto"/>
        </w:rPr>
      </w:pPr>
      <w:r>
        <w:rPr>
          <w:rFonts w:ascii="Arial" w:cs="Arial" w:eastAsia="Arial" w:hAnsi="Arial"/>
          <w:sz w:val="17"/>
          <w:szCs w:val="17"/>
          <w:color w:val="auto"/>
        </w:rPr>
        <w:t>“company,” “we,” “us,” “our,” or “our company” are to ARYA Sciences Acquisition Corp III, a Cayman Islands exempted company;</w:t>
      </w:r>
    </w:p>
    <w:p>
      <w:pPr>
        <w:spacing w:after="0" w:line="90" w:lineRule="exact"/>
        <w:rPr>
          <w:sz w:val="20"/>
          <w:szCs w:val="20"/>
          <w:color w:val="auto"/>
        </w:rPr>
      </w:pPr>
    </w:p>
    <w:p>
      <w:pPr>
        <w:ind w:left="820" w:right="859"/>
        <w:spacing w:after="0" w:line="243" w:lineRule="auto"/>
        <w:rPr>
          <w:sz w:val="20"/>
          <w:szCs w:val="20"/>
          <w:color w:val="auto"/>
        </w:rPr>
      </w:pPr>
      <w:r>
        <w:rPr>
          <w:rFonts w:ascii="Arial" w:cs="Arial" w:eastAsia="Arial" w:hAnsi="Arial"/>
          <w:sz w:val="17"/>
          <w:szCs w:val="17"/>
          <w:color w:val="auto"/>
        </w:rPr>
        <w:t>“founders” are to Joseph Edelman, Adam Stone, Michael Altman and Konstantin Poukalov, senior executives of Perceptive Advisors;</w:t>
      </w:r>
    </w:p>
    <w:p>
      <w:pPr>
        <w:spacing w:after="0" w:line="90" w:lineRule="exact"/>
        <w:rPr>
          <w:sz w:val="20"/>
          <w:szCs w:val="20"/>
          <w:color w:val="auto"/>
        </w:rPr>
      </w:pPr>
    </w:p>
    <w:p>
      <w:pPr>
        <w:ind w:left="820" w:right="339"/>
        <w:spacing w:after="0" w:line="236" w:lineRule="auto"/>
        <w:rPr>
          <w:sz w:val="20"/>
          <w:szCs w:val="20"/>
          <w:color w:val="auto"/>
        </w:rPr>
      </w:pPr>
      <w:r>
        <w:rPr>
          <w:rFonts w:ascii="Arial" w:cs="Arial" w:eastAsia="Arial" w:hAnsi="Arial"/>
          <w:sz w:val="17"/>
          <w:szCs w:val="17"/>
          <w:color w:val="auto"/>
        </w:rPr>
        <w:t>“founder shares” are to our Class B ordinary shares initially issued to our sponsor in a private placement prior to this offering and the Class A ordinary shares that will be issued upon the automatic conversion of the Class B ordinary shares at the time of our initial business combination (for the avoidance of doubt, such Class A ordinary shares will not be “public shares”);</w:t>
      </w:r>
    </w:p>
    <w:p>
      <w:pPr>
        <w:spacing w:after="0" w:line="95" w:lineRule="exact"/>
        <w:rPr>
          <w:sz w:val="20"/>
          <w:szCs w:val="20"/>
          <w:color w:val="auto"/>
        </w:rPr>
      </w:pPr>
    </w:p>
    <w:p>
      <w:pPr>
        <w:ind w:left="820" w:right="299"/>
        <w:spacing w:after="0" w:line="243" w:lineRule="auto"/>
        <w:rPr>
          <w:sz w:val="20"/>
          <w:szCs w:val="20"/>
          <w:color w:val="auto"/>
        </w:rPr>
      </w:pPr>
      <w:r>
        <w:rPr>
          <w:rFonts w:ascii="Arial" w:cs="Arial" w:eastAsia="Arial" w:hAnsi="Arial"/>
          <w:sz w:val="17"/>
          <w:szCs w:val="17"/>
          <w:color w:val="auto"/>
        </w:rPr>
        <w:t>“initial shareholders” are to our sponsor and each other holder of founder shares upon the consummation of this offering;</w:t>
      </w:r>
    </w:p>
    <w:p>
      <w:pPr>
        <w:spacing w:after="0" w:line="90" w:lineRule="exact"/>
        <w:rPr>
          <w:sz w:val="20"/>
          <w:szCs w:val="20"/>
          <w:color w:val="auto"/>
        </w:rPr>
      </w:pPr>
    </w:p>
    <w:p>
      <w:pPr>
        <w:ind w:left="820" w:right="179"/>
        <w:spacing w:after="0" w:line="243" w:lineRule="auto"/>
        <w:rPr>
          <w:sz w:val="20"/>
          <w:szCs w:val="20"/>
          <w:color w:val="auto"/>
        </w:rPr>
      </w:pPr>
      <w:r>
        <w:rPr>
          <w:rFonts w:ascii="Arial" w:cs="Arial" w:eastAsia="Arial" w:hAnsi="Arial"/>
          <w:sz w:val="17"/>
          <w:szCs w:val="17"/>
          <w:color w:val="auto"/>
        </w:rPr>
        <w:t>“management” or “our management team” are to our executive officers and directors (including our director nominees who will become directors at the consummation of this offering);</w:t>
      </w:r>
    </w:p>
    <w:p>
      <w:pPr>
        <w:spacing w:after="0" w:line="90" w:lineRule="exact"/>
        <w:rPr>
          <w:sz w:val="20"/>
          <w:szCs w:val="20"/>
          <w:color w:val="auto"/>
        </w:rPr>
      </w:pPr>
    </w:p>
    <w:p>
      <w:pPr>
        <w:ind w:left="820" w:right="1779"/>
        <w:spacing w:after="0" w:line="364" w:lineRule="auto"/>
        <w:rPr>
          <w:sz w:val="20"/>
          <w:szCs w:val="20"/>
          <w:color w:val="auto"/>
        </w:rPr>
      </w:pPr>
      <w:r>
        <w:rPr>
          <w:rFonts w:ascii="Arial" w:cs="Arial" w:eastAsia="Arial" w:hAnsi="Arial"/>
          <w:sz w:val="17"/>
          <w:szCs w:val="17"/>
          <w:color w:val="auto"/>
        </w:rPr>
        <w:t>“ordinary shares” are to our Class A ordinary shares and our Class B ordinary shares; “Perceptive Advisors” are to Perceptive Advisors, LLC, an affiliate of our sponsor;</w:t>
      </w:r>
    </w:p>
    <w:p>
      <w:pPr>
        <w:spacing w:after="0" w:line="1" w:lineRule="exact"/>
        <w:rPr>
          <w:sz w:val="20"/>
          <w:szCs w:val="20"/>
          <w:color w:val="auto"/>
        </w:rPr>
      </w:pPr>
    </w:p>
    <w:p>
      <w:pPr>
        <w:ind w:left="820" w:right="279"/>
        <w:spacing w:after="0" w:line="236" w:lineRule="auto"/>
        <w:rPr>
          <w:sz w:val="20"/>
          <w:szCs w:val="20"/>
          <w:color w:val="auto"/>
        </w:rPr>
      </w:pPr>
      <w:r>
        <w:rPr>
          <w:rFonts w:ascii="Arial" w:cs="Arial" w:eastAsia="Arial" w:hAnsi="Arial"/>
          <w:sz w:val="17"/>
          <w:szCs w:val="17"/>
          <w:color w:val="auto"/>
        </w:rPr>
        <w:t>“private placement shares” are to the Class A ordinary shares to be issued to our sponsor in a private placement simultaneously with the closing of this offering (which private placement shares are identical to the shares sold in this offering, subject to certain limited exceptions as described in this prospectus) and upon conversion of working capital loans;</w:t>
      </w:r>
    </w:p>
    <w:p>
      <w:pPr>
        <w:spacing w:after="0" w:line="95" w:lineRule="exact"/>
        <w:rPr>
          <w:sz w:val="20"/>
          <w:szCs w:val="20"/>
          <w:color w:val="auto"/>
        </w:rPr>
      </w:pPr>
    </w:p>
    <w:p>
      <w:pPr>
        <w:jc w:val="both"/>
        <w:ind w:left="820" w:right="199"/>
        <w:spacing w:after="0" w:line="236" w:lineRule="auto"/>
        <w:rPr>
          <w:sz w:val="20"/>
          <w:szCs w:val="20"/>
          <w:color w:val="auto"/>
        </w:rPr>
      </w:pPr>
      <w:r>
        <w:rPr>
          <w:rFonts w:ascii="Arial" w:cs="Arial" w:eastAsia="Arial" w:hAnsi="Arial"/>
          <w:sz w:val="17"/>
          <w:szCs w:val="17"/>
          <w:color w:val="auto"/>
        </w:rPr>
        <w:t xml:space="preserve">“public shareholders” are to the holders of our public shares, including our sponsor and management team to the extent our sponsor and/or members of our management team purchase public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our sponsor’s and each member of our management team’s status as a “public shareholder” will only exist with respect to such public shares;</w:t>
      </w:r>
    </w:p>
    <w:p>
      <w:pPr>
        <w:spacing w:after="0" w:line="95" w:lineRule="exact"/>
        <w:rPr>
          <w:sz w:val="20"/>
          <w:szCs w:val="20"/>
          <w:color w:val="auto"/>
        </w:rPr>
      </w:pPr>
    </w:p>
    <w:p>
      <w:pPr>
        <w:jc w:val="both"/>
        <w:ind w:left="820" w:right="179"/>
        <w:spacing w:after="0" w:line="243" w:lineRule="auto"/>
        <w:rPr>
          <w:sz w:val="20"/>
          <w:szCs w:val="20"/>
          <w:color w:val="auto"/>
        </w:rPr>
      </w:pPr>
      <w:r>
        <w:rPr>
          <w:rFonts w:ascii="Arial" w:cs="Arial" w:eastAsia="Arial" w:hAnsi="Arial"/>
          <w:sz w:val="17"/>
          <w:szCs w:val="17"/>
          <w:color w:val="auto"/>
        </w:rPr>
        <w:t>“public shares” are to our Class A ordinary shares to be sold in this offering (whether they are purchased in this offering or thereafter in the open market); and</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“sponsor” are to ARYA Sciences Holdings III, a Cayman Islands exempted limited company.</w:t>
      </w:r>
    </w:p>
    <w:p>
      <w:pPr>
        <w:spacing w:after="0" w:line="169" w:lineRule="exact"/>
        <w:rPr>
          <w:sz w:val="20"/>
          <w:szCs w:val="20"/>
          <w:color w:val="auto"/>
        </w:rPr>
      </w:pPr>
    </w:p>
    <w:p>
      <w:pPr>
        <w:ind w:left="240" w:right="379"/>
        <w:spacing w:after="0" w:line="235" w:lineRule="auto"/>
        <w:rPr>
          <w:sz w:val="20"/>
          <w:szCs w:val="20"/>
          <w:color w:val="auto"/>
        </w:rPr>
      </w:pPr>
      <w:r>
        <w:rPr>
          <w:rFonts w:ascii="Arial" w:cs="Arial" w:eastAsia="Arial" w:hAnsi="Arial"/>
          <w:sz w:val="17"/>
          <w:szCs w:val="17"/>
          <w:color w:val="auto"/>
        </w:rPr>
        <w:t>Any forfeiture or transfer of shares described in this prospectus will take effect as a surrender of shares for no consideration of such shares as a matter of Cayman Islands law. Any conversion of the Class B ordinary shares described in this prospectus will take effect as a compulsory redemption of Class B ordinary shares and an issuance of Class A ordinary shares as a matter of Cayman Islands law. Any share dividends described in this prospectus will take effect as share capitalizations as a matter of Cayman Islands law.</w:t>
      </w:r>
    </w:p>
    <w:p>
      <w:pPr>
        <w:spacing w:after="0" w:line="163" w:lineRule="exact"/>
        <w:rPr>
          <w:sz w:val="20"/>
          <w:szCs w:val="20"/>
          <w:color w:val="auto"/>
        </w:rPr>
      </w:pPr>
    </w:p>
    <w:p>
      <w:pPr>
        <w:ind w:left="240" w:right="479"/>
        <w:spacing w:after="0" w:line="243" w:lineRule="auto"/>
        <w:rPr>
          <w:sz w:val="20"/>
          <w:szCs w:val="20"/>
          <w:color w:val="auto"/>
        </w:rPr>
      </w:pPr>
      <w:r>
        <w:rPr>
          <w:rFonts w:ascii="Arial" w:cs="Arial" w:eastAsia="Arial" w:hAnsi="Arial"/>
          <w:sz w:val="17"/>
          <w:szCs w:val="17"/>
          <w:color w:val="auto"/>
        </w:rPr>
        <w:t>Unless we tell you otherwise, the information in this prospectus assumes that the underwriters will not exercise their over-allotment option.</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8021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0565" cy="680212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General</w:t>
      </w:r>
    </w:p>
    <w:p>
      <w:pPr>
        <w:spacing w:after="0" w:line="174" w:lineRule="exact"/>
        <w:rPr>
          <w:sz w:val="20"/>
          <w:szCs w:val="20"/>
          <w:color w:val="auto"/>
        </w:rPr>
      </w:pPr>
    </w:p>
    <w:p>
      <w:pPr>
        <w:ind w:left="240" w:right="199"/>
        <w:spacing w:after="0" w:line="234" w:lineRule="auto"/>
        <w:rPr>
          <w:sz w:val="20"/>
          <w:szCs w:val="20"/>
          <w:color w:val="auto"/>
        </w:rPr>
      </w:pPr>
      <w:r>
        <w:rPr>
          <w:rFonts w:ascii="Arial" w:cs="Arial" w:eastAsia="Arial" w:hAnsi="Arial"/>
          <w:sz w:val="17"/>
          <w:szCs w:val="17"/>
          <w:color w:val="auto"/>
        </w:rPr>
        <w:t>We are a newly organized blank check company incorporated in March 27, 2020 as a Cayman Islands exempted company formed for the purpose of effecting a merger, share exchange, asset acquisition, share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initiated any substantive discussions, directly or indirectly, with any business combination target. We have generated no operating revenues to date and we do not expect that we will generate operating revenues until we consummate our initial business combination.</w:t>
      </w:r>
    </w:p>
    <w:p>
      <w:pPr>
        <w:spacing w:after="0" w:line="163" w:lineRule="exact"/>
        <w:rPr>
          <w:sz w:val="20"/>
          <w:szCs w:val="20"/>
          <w:color w:val="auto"/>
        </w:rPr>
      </w:pPr>
    </w:p>
    <w:p>
      <w:pPr>
        <w:ind w:left="240" w:right="199"/>
        <w:spacing w:after="0" w:line="234" w:lineRule="auto"/>
        <w:rPr>
          <w:sz w:val="20"/>
          <w:szCs w:val="20"/>
          <w:color w:val="auto"/>
        </w:rPr>
      </w:pPr>
      <w:r>
        <w:rPr>
          <w:rFonts w:ascii="Arial" w:cs="Arial" w:eastAsia="Arial" w:hAnsi="Arial"/>
          <w:sz w:val="17"/>
          <w:szCs w:val="17"/>
          <w:color w:val="auto"/>
        </w:rPr>
        <w:t>While we may pursue an acquisition opportunity in any business, industry, sector or geographical location, we intend to focus on industries that complement our management team’s background, and to capitalize on the ability of our management team to identify and acquire a business, focusing on the healthcare or healthcare related industries. In particular, we will target North American or European companies in the life sciences and medical technology sectors where our management has extensive investment experience. We may pursue a transaction in which our shareholders immediately prior to the completion of our initial business combination would collectively own a minority interest in the post-business combination company.</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Our Founders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sponsor is an affiliate of Perceptive Advisors, a leading life sciences focused investment firm with over</w:t>
      </w:r>
    </w:p>
    <w:p>
      <w:pPr>
        <w:ind w:left="240" w:right="179"/>
        <w:spacing w:after="0" w:line="233" w:lineRule="auto"/>
        <w:rPr>
          <w:sz w:val="20"/>
          <w:szCs w:val="20"/>
          <w:color w:val="auto"/>
        </w:rPr>
      </w:pPr>
      <w:r>
        <w:rPr>
          <w:rFonts w:ascii="Arial" w:cs="Arial" w:eastAsia="Arial" w:hAnsi="Arial"/>
          <w:sz w:val="17"/>
          <w:szCs w:val="17"/>
          <w:color w:val="auto"/>
        </w:rPr>
        <w:t>$7 billion of regulatory assets under management as of December 31, 2019. Since its launch in 1999, Perceptive Advisors has focused exclusively on the healthcare industry. Our founders are the founder and management of Perceptive Advisors. Joseph Edelman, our Chairman, founded Perceptive Advisors in 1999. Adam Stone, our Chief Executive Officer, is the Chief Investment Officer of Perceptive Advisors, Michael Altman, our Chief Financial Officer, is a Managing Director at Perceptive Advisors and Konstantin Poukalov, our Chief Business Officer, is a Managing Director at Perceptive Advisors. Perceptive Advisors’ investment activity is focused on identifying both private and public companies in the life sciences and medical technology sectors and currently has investments in over 150 companies. The team at Perceptive Advisors consists of trained scientists, physicians and financial analysts who are passionately committed to identifying innovation that can drive critical change to current treatment paradigms. Perceptive Advisors invests across the capital structure and throughout a company’s growth cycle which provides access to a broad universe of management teams and companies seeking flexible capital solutions. Perceptive Advisors is also an active investor in pre-IPO financing rounds known as “crossovers.” Perceptive Advisors has invested in over 75 private companies since 2013 and in 2019 met with over 200 private companies in evaluation of private growth financing rounds, crossovers, and pre-IPO analysis. We have not selected any business combination target and we have not, nor has anyone on our behalf, initiated any substantive discussions, directly or indirectly, with any business combination target.</w:t>
      </w:r>
    </w:p>
    <w:p>
      <w:pPr>
        <w:spacing w:after="0" w:line="2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Our Board of Directors and Management</w:t>
      </w:r>
    </w:p>
    <w:p>
      <w:pPr>
        <w:spacing w:after="0" w:line="188" w:lineRule="exact"/>
        <w:rPr>
          <w:sz w:val="20"/>
          <w:szCs w:val="20"/>
          <w:color w:val="auto"/>
        </w:rPr>
      </w:pPr>
    </w:p>
    <w:p>
      <w:pPr>
        <w:ind w:left="240" w:right="219"/>
        <w:spacing w:after="0" w:line="234" w:lineRule="auto"/>
        <w:rPr>
          <w:sz w:val="20"/>
          <w:szCs w:val="20"/>
          <w:color w:val="auto"/>
        </w:rPr>
      </w:pPr>
      <w:r>
        <w:rPr>
          <w:rFonts w:ascii="Arial" w:cs="Arial" w:eastAsia="Arial" w:hAnsi="Arial"/>
          <w:sz w:val="17"/>
          <w:szCs w:val="17"/>
          <w:color w:val="auto"/>
        </w:rPr>
        <w:t>Joseph Edelman serves as the Chairman of our board of directors. Mr. Edelman is Founder, Chief Executive Officer and Portfolio Manager of Perceptive Advisors. He has also served as Chairman of the board of directors of ARYA Sciences Acquisition Corp II (Nasdaq: ARYB) since June 2020.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and a BA, magna cum laude, in psychology from the University of California SanDiego.</w:t>
      </w:r>
    </w:p>
    <w:p>
      <w:pPr>
        <w:spacing w:after="0" w:line="163" w:lineRule="exact"/>
        <w:rPr>
          <w:sz w:val="20"/>
          <w:szCs w:val="20"/>
          <w:color w:val="auto"/>
        </w:rPr>
      </w:pPr>
    </w:p>
    <w:p>
      <w:pPr>
        <w:ind w:left="240" w:right="359"/>
        <w:spacing w:after="0" w:line="238" w:lineRule="auto"/>
        <w:rPr>
          <w:sz w:val="20"/>
          <w:szCs w:val="20"/>
          <w:color w:val="auto"/>
        </w:rPr>
      </w:pPr>
      <w:r>
        <w:rPr>
          <w:rFonts w:ascii="Arial" w:cs="Arial" w:eastAsia="Arial" w:hAnsi="Arial"/>
          <w:sz w:val="17"/>
          <w:szCs w:val="17"/>
          <w:color w:val="auto"/>
        </w:rPr>
        <w:t>Adam Stone, our Chief Executive Officer, joined Perceptive Advisors in 2006 and has acted as Chief Investment Officer since 2012 and is a member of the internal investment committees of Perceptive Advisors’ credit opportunities and venture funds. Mr. Stone currently also serves on the boards of directors of ARYA Sciences</w:t>
      </w: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810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0565" cy="68103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40" w:right="199"/>
        <w:spacing w:after="0" w:line="235" w:lineRule="auto"/>
        <w:rPr>
          <w:sz w:val="20"/>
          <w:szCs w:val="20"/>
          <w:color w:val="auto"/>
        </w:rPr>
      </w:pPr>
      <w:r>
        <w:rPr>
          <w:rFonts w:ascii="Arial" w:cs="Arial" w:eastAsia="Arial" w:hAnsi="Arial"/>
          <w:sz w:val="17"/>
          <w:szCs w:val="17"/>
          <w:color w:val="auto"/>
        </w:rPr>
        <w:t>Acquisition Corp II (Nasdaq: ARYB) as well as Solid Biosciences (Nasdaq: SLDB), Renovia, and Xontogeny, which are portfolio companies of Perceptive Advisors. Following the consummation of the business combination of ARYA Sciences Acquisition Corp. with Immatics Biotechnologies GmbH in July 2020, Mr. Stone also serves on the supervisory board of Immatics N.V. (Nasdaq: IMTX). Prior to joining Perceptive Advisors, Mr. Stone was a Senior Analyst at Ursus Capital from 2001 to 2006 where he focused on biotechnology and specialty pharmaceuticals. Mr. Stone graduated, with honors, from Princeton University with a BA in molecular biology.</w:t>
      </w:r>
    </w:p>
    <w:p>
      <w:pPr>
        <w:spacing w:after="0" w:line="161" w:lineRule="exact"/>
        <w:rPr>
          <w:sz w:val="20"/>
          <w:szCs w:val="20"/>
          <w:color w:val="auto"/>
        </w:rPr>
      </w:pPr>
    </w:p>
    <w:p>
      <w:pPr>
        <w:ind w:left="240" w:right="239"/>
        <w:spacing w:after="0" w:line="234" w:lineRule="auto"/>
        <w:rPr>
          <w:sz w:val="20"/>
          <w:szCs w:val="20"/>
          <w:color w:val="auto"/>
        </w:rPr>
      </w:pPr>
      <w:r>
        <w:rPr>
          <w:rFonts w:ascii="Arial" w:cs="Arial" w:eastAsia="Arial" w:hAnsi="Arial"/>
          <w:sz w:val="17"/>
          <w:szCs w:val="17"/>
          <w:color w:val="auto"/>
        </w:rPr>
        <w:t>Michael Altman, CFA, our Chief Financial Officer, joined Perceptive Advisors in 2007, is a 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also serves on the board of directors of ARYA Sciences Acquisition Corp II (Nasdaq: ARYB). Prior to joining Perceptive Advisors, Mr. Altman was a trader and analyst at First New York Securities from 2005 to 2007. Mr. Altman graduated from the University of Vermont with a BS in Business Administration.</w:t>
      </w:r>
    </w:p>
    <w:p>
      <w:pPr>
        <w:spacing w:after="0" w:line="149" w:lineRule="exact"/>
        <w:rPr>
          <w:sz w:val="20"/>
          <w:szCs w:val="20"/>
          <w:color w:val="auto"/>
        </w:rPr>
      </w:pPr>
    </w:p>
    <w:p>
      <w:pPr>
        <w:ind w:left="240" w:right="179"/>
        <w:spacing w:after="0" w:line="233" w:lineRule="auto"/>
        <w:rPr>
          <w:sz w:val="20"/>
          <w:szCs w:val="20"/>
          <w:color w:val="auto"/>
        </w:rPr>
      </w:pPr>
      <w:r>
        <w:rPr>
          <w:rFonts w:ascii="Arial" w:cs="Arial" w:eastAsia="Arial" w:hAnsi="Arial"/>
          <w:sz w:val="17"/>
          <w:szCs w:val="17"/>
          <w:color w:val="auto"/>
        </w:rPr>
        <w:t>Konstantin Poukalov, our Chief Business Officer, joined Perceptive Advisors in 2019 and is a Managing Director at Perceptive Advisors focused on various strategies across the Perceptive platforms. Mr. Poukalov also serves as the Chief Business Officer of ARYA Sciences Acquisition Corp II (Nasdaq: ARYB) and on the boards of directors of Lyra Therapeutics (Nasdaq: LYRA), Landos Biopharma, Inc. and LianBio, which are portfolio companies of Perceptive Advisors. Prior to joining Perceptive, Mr. Poukalov served as Executive Vice President and Chief Financial Officer of Kadmon Holdings (NYSE: KDMN) from 2014 to 2018. From 2012 to 2014, Mr. Poukalov served as Kadmon's Vice President, Strategic Operations. Prior to joining Kadmon, Mr. Poukalov was a member of the healthcare investment banking group at Jefferies LLC from 2009 to 2012, focusing on companies across the life sciences and biotechnology sectors. Prior to Jefferies, Mr. Poukalov was a member of UBS Investment Bank, focusing on the healthcare industry, from 2006 to 2009. Mr. Poukalov graduated from Stony Brook University with a Bachelor of Engineering in Electrical Engineering.</w:t>
      </w:r>
    </w:p>
    <w:p>
      <w:pPr>
        <w:spacing w:after="0" w:line="167" w:lineRule="exact"/>
        <w:rPr>
          <w:sz w:val="20"/>
          <w:szCs w:val="20"/>
          <w:color w:val="auto"/>
        </w:rPr>
      </w:pPr>
    </w:p>
    <w:p>
      <w:pPr>
        <w:ind w:left="240" w:right="199"/>
        <w:spacing w:after="0" w:line="233" w:lineRule="auto"/>
        <w:rPr>
          <w:sz w:val="20"/>
          <w:szCs w:val="20"/>
          <w:color w:val="auto"/>
        </w:rPr>
      </w:pPr>
      <w:r>
        <w:rPr>
          <w:rFonts w:ascii="Arial" w:cs="Arial" w:eastAsia="Arial" w:hAnsi="Arial"/>
          <w:sz w:val="17"/>
          <w:szCs w:val="17"/>
          <w:color w:val="auto"/>
        </w:rPr>
        <w:t>Dr. Todd Wider has agreed to serve on our board of directors. Dr. Wider is an active, honorary member of the medical staff of Mount Sinai Hospital in New York, where he worked for over 20 years, and is a plastic and reconstructive surgeon who focused on cancer surgery. Dr. Wider has served on the board of directors of Abeona Therapeutics Inc. (Nasdaq: ABEO) since May 2015 and ARYA Sciences Acquisition CorpII (Nasdaq: ARYB) since June 2020. Dr. Wider also is the Executive Chairman of Emendo Biotherapeutics, which focuses on highly specific and differentiated gene editing. Dr. Wider previously consulted with a number of entities in the biotechnology space. Dr. Wider received an MD from Columbia College of Physicians and Surgeons, where he was Rudin Fellow, and an AB, with high honors and Phi Beta Kappa, from Princeton University. He did his residency in general surgery and plastic and reconstructive surgery at Columbia Presbyterian Medical Center, and postdoctoral fellowships in complex reconstructive surgery at Memorial Sloan Kettering Cancer Center, where he was Chief Microsurgery Fellow, and in craniofacial surgery at the University of Miami. Dr. Wider is also a principal in Wider Film Projects, a documentary film company focusing on producing films with sociopolitical resonance.</w:t>
      </w:r>
    </w:p>
    <w:p>
      <w:pPr>
        <w:spacing w:after="0" w:line="166" w:lineRule="exact"/>
        <w:rPr>
          <w:sz w:val="20"/>
          <w:szCs w:val="20"/>
          <w:color w:val="auto"/>
        </w:rPr>
      </w:pPr>
    </w:p>
    <w:p>
      <w:pPr>
        <w:ind w:left="240" w:right="239"/>
        <w:spacing w:after="0" w:line="222" w:lineRule="auto"/>
        <w:rPr>
          <w:sz w:val="20"/>
          <w:szCs w:val="20"/>
          <w:color w:val="auto"/>
        </w:rPr>
      </w:pPr>
      <w:r>
        <w:rPr>
          <w:rFonts w:ascii="Arial" w:cs="Arial" w:eastAsia="Arial" w:hAnsi="Arial"/>
          <w:sz w:val="17"/>
          <w:szCs w:val="17"/>
          <w:color w:val="auto"/>
        </w:rPr>
        <w:t>Bradley L. Campbell has agreed to serve on our board of directors. He has nearly 20 years of experience in the orphan drug industry and has served on the board of directors of Amicus Therapeutics, Inc. (Nasdaq: FOLD) (“Amicus”) since June 2018 and as President and Chief Operating Officer of Amicus since January 2015. In this capacity, Mr. Campbell leads the global commercial organization responsible for the commercialization of Galafold</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for the treatment of Fabry Disease. He also oversees the Technical Operations, Market Access, Program Management and Clinical Operations functions. Previously, Mr. Campbell served as Chief Operating Officer of Amicus from December 2013 to January 2015 and, prior thereto, as Chief Business Officer of Amicus from February 2012 to December 2013. From January 2010 to February 2012, Mr. Campbell served as Senior Vice President, Business Operations; from May 2007 to January 2010, as Vice President, Business Planning; and from April 2006 until May 2007, as Senior Director, Business Development of Amicus. Mr. Campbell also served as Senior Product Manager of Myozyme© for Pompe Disease and later as Business Director of Cardiovascular Gene Therapy at Genzyme Corporation from 2002 to 2006. Prior to joining Genzyme, Mr. Campbell worked in sales &amp;</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244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0565" cy="62445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40" w:right="279"/>
        <w:spacing w:after="0" w:line="236" w:lineRule="auto"/>
        <w:rPr>
          <w:sz w:val="20"/>
          <w:szCs w:val="20"/>
          <w:color w:val="auto"/>
        </w:rPr>
      </w:pPr>
      <w:r>
        <w:rPr>
          <w:rFonts w:ascii="Arial" w:cs="Arial" w:eastAsia="Arial" w:hAnsi="Arial"/>
          <w:sz w:val="17"/>
          <w:szCs w:val="17"/>
          <w:color w:val="auto"/>
        </w:rPr>
        <w:t>marketing for Bristol-Myers-Squibb and as a business strategy consultant for Marakon Associates. Currently, Mr. Campbell serves as a Director for the Alliance for Regenerative Medicine, and he previously served as a director of Progenics Pharmaceuticals, Inc. (Nasdaq: PGNX) from June 2016 to June 2020. Mr. Campbell holds a B.A. from Duke University and an MBA from Harvard Business School.</w:t>
      </w:r>
    </w:p>
    <w:p>
      <w:pPr>
        <w:spacing w:after="0" w:line="163" w:lineRule="exact"/>
        <w:rPr>
          <w:sz w:val="20"/>
          <w:szCs w:val="20"/>
          <w:color w:val="auto"/>
        </w:rPr>
      </w:pPr>
    </w:p>
    <w:p>
      <w:pPr>
        <w:ind w:left="240" w:right="179"/>
        <w:spacing w:after="0" w:line="233" w:lineRule="auto"/>
        <w:rPr>
          <w:sz w:val="20"/>
          <w:szCs w:val="20"/>
          <w:color w:val="auto"/>
        </w:rPr>
      </w:pPr>
      <w:r>
        <w:rPr>
          <w:rFonts w:ascii="Arial" w:cs="Arial" w:eastAsia="Arial" w:hAnsi="Arial"/>
          <w:sz w:val="17"/>
          <w:szCs w:val="17"/>
          <w:color w:val="auto"/>
        </w:rPr>
        <w:t>Saqib Islam has agreed to serve on our board of directors. Mr. Islam has served as the Chief Executive Officer and director of SpringWorks Therapeutics, Inc. (Nasdaq: SWTX) (“SpringWorks”) since August 2018. Previously, Mr. Islam served as the Chief Financial Officer and Chief Business Officer of SpringWorks since its formation in August 2017. Prior to joining SpringWorks, Mr. Islam served as Chief Business Officer at Moderna Therapeutics, Inc. from February 2016 to August 2017. Prior to Moderna, Mr. Islam was Executive Vice President, Chief Strategy and Portfolio Officer at Alexion Pharmaceuticals, Inc. from February 2013 to February 2016, where he was responsible for executing the company’s corporate growth strategies and contributed to its assessment and management of global operations. Prior to joining Alexion, Mr. Islam worked for more than 25 years in international business management with a focus on business development, strategic decision-making and planning and capital markets, previously holding Managing Director positions at Morgan Stanley and Credit Suisse. Mr. Islam has also served on the board of directors of Passage Bio, Inc. since March 2019. Mr. Islam holds a JD from Columbia Law School, where he was a Harlan Fiske Scholar, and a Bachelor’s degree from McGill University where he was a Faculty and University Scholar.</w:t>
      </w:r>
    </w:p>
    <w:p>
      <w:pPr>
        <w:spacing w:after="0" w:line="152" w:lineRule="exact"/>
        <w:rPr>
          <w:sz w:val="20"/>
          <w:szCs w:val="20"/>
          <w:color w:val="auto"/>
        </w:rPr>
      </w:pPr>
    </w:p>
    <w:p>
      <w:pPr>
        <w:ind w:left="240" w:right="339"/>
        <w:spacing w:after="0" w:line="238" w:lineRule="auto"/>
        <w:rPr>
          <w:sz w:val="20"/>
          <w:szCs w:val="20"/>
          <w:color w:val="auto"/>
        </w:rPr>
      </w:pPr>
      <w:r>
        <w:rPr>
          <w:rFonts w:ascii="Arial" w:cs="Arial" w:eastAsia="Arial" w:hAnsi="Arial"/>
          <w:sz w:val="17"/>
          <w:szCs w:val="17"/>
          <w:color w:val="auto"/>
        </w:rPr>
        <w:t>We believe our management team is well positioned to take advantage of the growing set of investment opportunities focused on the healthcare industry and that our contacts and relationships will allow us to generate an attractive transaction for our shareholders.</w:t>
      </w:r>
    </w:p>
    <w:p>
      <w:pPr>
        <w:spacing w:after="0" w:line="23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Experience with Special Purpose Acquisition Vehicles</w:t>
      </w:r>
    </w:p>
    <w:p>
      <w:pPr>
        <w:spacing w:after="0" w:line="174" w:lineRule="exact"/>
        <w:rPr>
          <w:sz w:val="20"/>
          <w:szCs w:val="20"/>
          <w:color w:val="auto"/>
        </w:rPr>
      </w:pPr>
    </w:p>
    <w:p>
      <w:pPr>
        <w:ind w:left="240" w:right="379"/>
        <w:spacing w:after="0" w:line="235" w:lineRule="auto"/>
        <w:rPr>
          <w:sz w:val="20"/>
          <w:szCs w:val="20"/>
          <w:color w:val="auto"/>
        </w:rPr>
      </w:pPr>
      <w:r>
        <w:rPr>
          <w:rFonts w:ascii="Arial" w:cs="Arial" w:eastAsia="Arial" w:hAnsi="Arial"/>
          <w:sz w:val="17"/>
          <w:szCs w:val="17"/>
          <w:color w:val="auto"/>
        </w:rPr>
        <w:t>Our management team has previous experience in the execution of public acquisition vehicles. In July 2020, ARYA Sciences Acquisition Corp. consummated its initial business combination with Immatics Biotechnologies GmbH (“Immatics”). The ordinary shares of the combined company, Immatics N.V., are traded on Nasdaq under the symbol “IMTX.” Mr. Stone continues to serve on the supervisory board of Immatics N.V. following the consummation of the business combination.</w:t>
      </w:r>
    </w:p>
    <w:p>
      <w:pPr>
        <w:spacing w:after="0" w:line="163" w:lineRule="exact"/>
        <w:rPr>
          <w:sz w:val="20"/>
          <w:szCs w:val="20"/>
          <w:color w:val="auto"/>
        </w:rPr>
      </w:pPr>
    </w:p>
    <w:p>
      <w:pPr>
        <w:ind w:left="240" w:right="259"/>
        <w:spacing w:after="0" w:line="235" w:lineRule="auto"/>
        <w:rPr>
          <w:sz w:val="20"/>
          <w:szCs w:val="20"/>
          <w:color w:val="auto"/>
        </w:rPr>
      </w:pPr>
      <w:r>
        <w:rPr>
          <w:rFonts w:ascii="Arial" w:cs="Arial" w:eastAsia="Arial" w:hAnsi="Arial"/>
          <w:sz w:val="17"/>
          <w:szCs w:val="17"/>
          <w:color w:val="auto"/>
        </w:rPr>
        <w:t>Further, Mr. Edelman is the Chairman of the board of directors of ARYA Sciences Acquisition Corp II, Mr. Stone is the Chief Executive Officer of ARYA Sciences Acquisition Corp II, Mr. Altman is the Chief Financial Officer of ARYA Sciences Acquisition Corp II and Mr. Poukalov is the Chief Business Officer of ARYA Sciences Acquisition Corp II. ARYA Sciences Acquisition Corp II is a special purpose acquisition company formed for substantially similar purposes as our company.</w:t>
      </w:r>
    </w:p>
    <w:p>
      <w:pPr>
        <w:spacing w:after="0" w:line="163" w:lineRule="exact"/>
        <w:rPr>
          <w:sz w:val="20"/>
          <w:szCs w:val="20"/>
          <w:color w:val="auto"/>
        </w:rPr>
      </w:pPr>
    </w:p>
    <w:p>
      <w:pPr>
        <w:ind w:left="240" w:right="279"/>
        <w:spacing w:after="0" w:line="235" w:lineRule="auto"/>
        <w:rPr>
          <w:sz w:val="20"/>
          <w:szCs w:val="20"/>
          <w:color w:val="auto"/>
        </w:rPr>
      </w:pPr>
      <w:r>
        <w:rPr>
          <w:rFonts w:ascii="Arial" w:cs="Arial" w:eastAsia="Arial" w:hAnsi="Arial"/>
          <w:sz w:val="17"/>
          <w:szCs w:val="17"/>
          <w:color w:val="auto"/>
        </w:rPr>
        <w:t>Our founders and our directors and officers, Perceptive Advisors, or its affiliates expect in the future to become affiliated with other public special public acquisition companies that may have acquisition objectives that are similar to ours. See “Risk Factors—Our officers and directors presently have, and any of them in the future may have additional, fiduciary or contractual obligations to other entities, including another blank check company, and, accordingly, may have conflicts of interest in determining to which entity a particular business opportunity should be presented.”</w:t>
      </w:r>
    </w:p>
    <w:p>
      <w:pPr>
        <w:spacing w:after="0" w:line="148" w:lineRule="exact"/>
        <w:rPr>
          <w:sz w:val="20"/>
          <w:szCs w:val="20"/>
          <w:color w:val="auto"/>
        </w:rPr>
      </w:pPr>
    </w:p>
    <w:p>
      <w:pPr>
        <w:ind w:left="240" w:right="279"/>
        <w:spacing w:after="0" w:line="235" w:lineRule="auto"/>
        <w:rPr>
          <w:sz w:val="20"/>
          <w:szCs w:val="20"/>
          <w:color w:val="auto"/>
        </w:rPr>
      </w:pPr>
      <w:r>
        <w:rPr>
          <w:rFonts w:ascii="Arial" w:cs="Arial" w:eastAsia="Arial" w:hAnsi="Arial"/>
          <w:sz w:val="17"/>
          <w:szCs w:val="17"/>
          <w:color w:val="auto"/>
        </w:rPr>
        <w:t>The past performance of the members of our management team or their affiliates, including ARYA Sciences Acquisition Corp. and Perceptive Advisors, is not a guarantee that we will be able to identify a suitable candidate for our initial business combination or of success with respect to any business combination we may consummate. You should not rely on the historical record or the performance of our management team, Perceptive Advisors or any of their affiliates’ or managed fund’s performance as indicative of our future performance.</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758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0565" cy="675894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Industry Opportunity</w:t>
      </w:r>
    </w:p>
    <w:p>
      <w:pPr>
        <w:spacing w:after="0" w:line="174" w:lineRule="exact"/>
        <w:rPr>
          <w:sz w:val="20"/>
          <w:szCs w:val="20"/>
          <w:color w:val="auto"/>
        </w:rPr>
      </w:pPr>
    </w:p>
    <w:p>
      <w:pPr>
        <w:ind w:left="240" w:right="199"/>
        <w:spacing w:after="0" w:line="234" w:lineRule="auto"/>
        <w:rPr>
          <w:sz w:val="20"/>
          <w:szCs w:val="20"/>
          <w:color w:val="auto"/>
        </w:rPr>
      </w:pPr>
      <w:r>
        <w:rPr>
          <w:rFonts w:ascii="Arial" w:cs="Arial" w:eastAsia="Arial" w:hAnsi="Arial"/>
          <w:sz w:val="17"/>
          <w:szCs w:val="17"/>
          <w:color w:val="auto"/>
        </w:rPr>
        <w:t>While we may acquire a business in any industry, our focus will be on the healthcare industry in the United States and other developed countries. We believe the healthcare industry, particularly the life sciences and medical technology sectors, represents an enormous and growing target market with a large number of potential target acquisition opportunities. In 2018, total U.S. national health expenditures exceeded $3.6 trillion, and the Center for Medicare and Medicaid Services estimated that total healthcare spending accounted for approximately 18% of total U.S. Gross Domestic Product. According to IBISWorld, in February 2020, the global biotechnology market is expected to grow almost 2.9% to over $294 million in revenue in 2020.</w:t>
      </w:r>
    </w:p>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The Current Life Sciences IPO Market</w:t>
      </w:r>
    </w:p>
    <w:p>
      <w:pPr>
        <w:spacing w:after="0" w:line="174" w:lineRule="exact"/>
        <w:rPr>
          <w:sz w:val="20"/>
          <w:szCs w:val="20"/>
          <w:color w:val="auto"/>
        </w:rPr>
      </w:pPr>
    </w:p>
    <w:p>
      <w:pPr>
        <w:ind w:left="240" w:right="219"/>
        <w:spacing w:after="0" w:line="235" w:lineRule="auto"/>
        <w:rPr>
          <w:sz w:val="20"/>
          <w:szCs w:val="20"/>
          <w:color w:val="auto"/>
        </w:rPr>
      </w:pPr>
      <w:r>
        <w:rPr>
          <w:rFonts w:ascii="Arial" w:cs="Arial" w:eastAsia="Arial" w:hAnsi="Arial"/>
          <w:sz w:val="17"/>
          <w:szCs w:val="17"/>
          <w:color w:val="auto"/>
        </w:rPr>
        <w:t>We believe that current dynamics in the life sciences and medical technology IPO market may enhance our ability to locate an attractive target. Over 200 life sciences and medical technology companies have gone public since 2016 in the United States. Despite the current level of IPO activity, according to IBISWorld, in February 2020 there were estimated to be approximately 9,500 biotechnology companies globally, only a fraction of which are publicly traded.</w:t>
      </w:r>
    </w:p>
    <w:p>
      <w:pPr>
        <w:spacing w:after="0" w:line="163" w:lineRule="exact"/>
        <w:rPr>
          <w:sz w:val="20"/>
          <w:szCs w:val="20"/>
          <w:color w:val="auto"/>
        </w:rPr>
      </w:pPr>
    </w:p>
    <w:p>
      <w:pPr>
        <w:ind w:left="240" w:right="179"/>
        <w:spacing w:after="0" w:line="235" w:lineRule="auto"/>
        <w:rPr>
          <w:sz w:val="20"/>
          <w:szCs w:val="20"/>
          <w:color w:val="auto"/>
        </w:rPr>
      </w:pPr>
      <w:r>
        <w:rPr>
          <w:rFonts w:ascii="Arial" w:cs="Arial" w:eastAsia="Arial" w:hAnsi="Arial"/>
          <w:sz w:val="17"/>
          <w:szCs w:val="17"/>
          <w:color w:val="auto"/>
        </w:rPr>
        <w:t>We also believe that the process for life sciences and medical technology IPO demand generation often produces offerings that are significantly oversubscribed but where a majority of the offering is allocated to the top ten investors, some of whom may be existing investors in these companies or are industry specialists. As a result, we believe that there may be numerous investors who have not been able to receive meaningful, or any, allocations in recent life sciences and medical technology IPOs who may be interested in a potential target opportunity that we identify.</w:t>
      </w:r>
    </w:p>
    <w:p>
      <w:pPr>
        <w:spacing w:after="0" w:line="161" w:lineRule="exact"/>
        <w:rPr>
          <w:sz w:val="20"/>
          <w:szCs w:val="20"/>
          <w:color w:val="auto"/>
        </w:rPr>
      </w:pPr>
    </w:p>
    <w:p>
      <w:pPr>
        <w:ind w:left="240" w:right="299"/>
        <w:spacing w:after="0" w:line="235" w:lineRule="auto"/>
        <w:rPr>
          <w:sz w:val="20"/>
          <w:szCs w:val="20"/>
          <w:color w:val="auto"/>
        </w:rPr>
      </w:pPr>
      <w:r>
        <w:rPr>
          <w:rFonts w:ascii="Arial" w:cs="Arial" w:eastAsia="Arial" w:hAnsi="Arial"/>
          <w:sz w:val="17"/>
          <w:szCs w:val="17"/>
          <w:color w:val="auto"/>
        </w:rPr>
        <w:t>We believe that life sciences and medical technology companies, at a certain stage in their development, will see material benefits from being publicly-traded, including greater access to capital, more liquid securities and increased customer awareness. An acquisition by a special purpose acquisition company with a management team that is well-known to, and respected by, life sciences founders, their current third-party investors and their management teams, we believe, can provide a more transparent and efficient mechanism to bring a private healthcare company to the public markets.</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Acquisition Strategy</w:t>
      </w:r>
    </w:p>
    <w:p>
      <w:pPr>
        <w:spacing w:after="0" w:line="188" w:lineRule="exact"/>
        <w:rPr>
          <w:sz w:val="20"/>
          <w:szCs w:val="20"/>
          <w:color w:val="auto"/>
        </w:rPr>
      </w:pPr>
    </w:p>
    <w:p>
      <w:pPr>
        <w:ind w:left="240" w:right="179"/>
        <w:spacing w:after="0" w:line="234" w:lineRule="auto"/>
        <w:rPr>
          <w:sz w:val="20"/>
          <w:szCs w:val="20"/>
          <w:color w:val="auto"/>
        </w:rPr>
      </w:pPr>
      <w:r>
        <w:rPr>
          <w:rFonts w:ascii="Arial" w:cs="Arial" w:eastAsia="Arial" w:hAnsi="Arial"/>
          <w:sz w:val="17"/>
          <w:szCs w:val="17"/>
          <w:color w:val="auto"/>
        </w:rPr>
        <w:t>We believe our management team is well positioned to identify unique opportunities in our target sectors. Our selection process will leverage our relationships with leading venture capitalists and growth equity funds, executives of private and public companies, as well as leading investment banking firms, which we believe should provide us with a key competitive advantage in sourcing potential business combination targets. Given our profile and dedicated industry approach, we anticipate that target business candidates may be brought to our attention from various unaffiliated sources, and in particular investors in other private and public companies in our networks. We also believe that Perceptive Advisors’ reputation, experience and track record of making investments in the healthcare space will make us a preferred partner for these potential targets.</w:t>
      </w:r>
    </w:p>
    <w:p>
      <w:pPr>
        <w:spacing w:after="0" w:line="149" w:lineRule="exact"/>
        <w:rPr>
          <w:sz w:val="20"/>
          <w:szCs w:val="20"/>
          <w:color w:val="auto"/>
        </w:rPr>
      </w:pPr>
    </w:p>
    <w:p>
      <w:pPr>
        <w:jc w:val="both"/>
        <w:ind w:left="240" w:right="379"/>
        <w:spacing w:after="0" w:line="238" w:lineRule="auto"/>
        <w:rPr>
          <w:sz w:val="20"/>
          <w:szCs w:val="20"/>
          <w:color w:val="auto"/>
        </w:rPr>
      </w:pPr>
      <w:r>
        <w:rPr>
          <w:rFonts w:ascii="Arial" w:cs="Arial" w:eastAsia="Arial" w:hAnsi="Arial"/>
          <w:sz w:val="17"/>
          <w:szCs w:val="17"/>
          <w:color w:val="auto"/>
        </w:rPr>
        <w:t>Consistent with our strategy, we have identified the following criteria to evaluate prospective target businesses. We may however, decide to enter into our initial business combination with a target business that does not meet these criteria. We intend to seek to acquire companies that we believe:</w:t>
      </w:r>
    </w:p>
    <w:p>
      <w:pPr>
        <w:spacing w:after="0" w:line="93" w:lineRule="exact"/>
        <w:rPr>
          <w:sz w:val="20"/>
          <w:szCs w:val="20"/>
          <w:color w:val="auto"/>
        </w:rPr>
      </w:pPr>
    </w:p>
    <w:p>
      <w:pPr>
        <w:ind w:left="820" w:right="699"/>
        <w:spacing w:after="0" w:line="243" w:lineRule="auto"/>
        <w:rPr>
          <w:sz w:val="20"/>
          <w:szCs w:val="20"/>
          <w:color w:val="auto"/>
        </w:rPr>
      </w:pPr>
      <w:r>
        <w:rPr>
          <w:rFonts w:ascii="Arial" w:cs="Arial" w:eastAsia="Arial" w:hAnsi="Arial"/>
          <w:sz w:val="17"/>
          <w:szCs w:val="17"/>
          <w:color w:val="auto"/>
        </w:rPr>
        <w:t>have a scientific or other competitive advantage in the markets in which they operate and which can benefit from access to additional capital as well as our industry relationships and expertise;</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are ready to be public, with strong management, corporate governance and reporting policies in place;</w:t>
      </w:r>
    </w:p>
    <w:p>
      <w:pPr>
        <w:spacing w:after="0" w:line="102" w:lineRule="exact"/>
        <w:rPr>
          <w:sz w:val="20"/>
          <w:szCs w:val="20"/>
          <w:color w:val="auto"/>
        </w:rPr>
      </w:pPr>
    </w:p>
    <w:p>
      <w:pPr>
        <w:ind w:left="820" w:right="359"/>
        <w:spacing w:after="0" w:line="243" w:lineRule="auto"/>
        <w:rPr>
          <w:sz w:val="20"/>
          <w:szCs w:val="20"/>
          <w:color w:val="auto"/>
        </w:rPr>
      </w:pPr>
      <w:r>
        <w:rPr>
          <w:rFonts w:ascii="Arial" w:cs="Arial" w:eastAsia="Arial" w:hAnsi="Arial"/>
          <w:sz w:val="17"/>
          <w:szCs w:val="17"/>
          <w:color w:val="auto"/>
        </w:rPr>
        <w:t>will likely be well received by public investors and are expected to have good access to the public capital markets;</w:t>
      </w: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896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0565" cy="68961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have significant embedded and/or underexploited growth opportunities;</w:t>
      </w:r>
    </w:p>
    <w:p>
      <w:pPr>
        <w:spacing w:after="0" w:line="102" w:lineRule="exact"/>
        <w:rPr>
          <w:sz w:val="20"/>
          <w:szCs w:val="20"/>
          <w:color w:val="auto"/>
        </w:rPr>
      </w:pPr>
    </w:p>
    <w:p>
      <w:pPr>
        <w:ind w:left="820" w:right="259"/>
        <w:spacing w:after="0" w:line="243" w:lineRule="auto"/>
        <w:rPr>
          <w:sz w:val="20"/>
          <w:szCs w:val="20"/>
          <w:color w:val="auto"/>
        </w:rPr>
      </w:pPr>
      <w:r>
        <w:rPr>
          <w:rFonts w:ascii="Arial" w:cs="Arial" w:eastAsia="Arial" w:hAnsi="Arial"/>
          <w:sz w:val="17"/>
          <w:szCs w:val="17"/>
          <w:color w:val="auto"/>
        </w:rPr>
        <w:t>exhibit unrecognized value or other characteristics that we believe have been misevaluated by the market based on our rigorous analysis and scientific and business due diligence review; and</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will offer attractive risk-adjusted equity returns for our shareholders.</w:t>
      </w:r>
    </w:p>
    <w:p>
      <w:pPr>
        <w:spacing w:after="0" w:line="169" w:lineRule="exact"/>
        <w:rPr>
          <w:sz w:val="20"/>
          <w:szCs w:val="20"/>
          <w:color w:val="auto"/>
        </w:rPr>
      </w:pPr>
    </w:p>
    <w:p>
      <w:pPr>
        <w:ind w:left="240" w:right="239"/>
        <w:spacing w:after="0" w:line="236" w:lineRule="auto"/>
        <w:rPr>
          <w:sz w:val="20"/>
          <w:szCs w:val="20"/>
          <w:color w:val="auto"/>
        </w:rPr>
      </w:pPr>
      <w:r>
        <w:rPr>
          <w:rFonts w:ascii="Arial" w:cs="Arial" w:eastAsia="Arial" w:hAnsi="Arial"/>
          <w:sz w:val="17"/>
          <w:szCs w:val="17"/>
          <w:color w:val="auto"/>
        </w:rPr>
        <w:t>We intend to focus on target businesses with valuations of $300 to $500 million or more and that have the potential to be $1 billion or more market capitalization companies. We may use other criteria as well. Any evaluation relating to the merits of a particular initial business combination may be based on these general criteria as well as other considerations, factors and criteria that our management may deem relevant.</w:t>
      </w:r>
    </w:p>
    <w:p>
      <w:pPr>
        <w:spacing w:after="0" w:line="2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Initial Business Combination</w:t>
      </w:r>
    </w:p>
    <w:p>
      <w:pPr>
        <w:spacing w:after="0" w:line="188" w:lineRule="exact"/>
        <w:rPr>
          <w:sz w:val="20"/>
          <w:szCs w:val="20"/>
          <w:color w:val="auto"/>
        </w:rPr>
      </w:pPr>
    </w:p>
    <w:p>
      <w:pPr>
        <w:ind w:left="240" w:right="219"/>
        <w:spacing w:after="0" w:line="233" w:lineRule="auto"/>
        <w:rPr>
          <w:sz w:val="20"/>
          <w:szCs w:val="20"/>
          <w:color w:val="auto"/>
        </w:rPr>
      </w:pPr>
      <w:r>
        <w:rPr>
          <w:rFonts w:ascii="Arial" w:cs="Arial" w:eastAsia="Arial" w:hAnsi="Arial"/>
          <w:sz w:val="17"/>
          <w:szCs w:val="17"/>
          <w:color w:val="auto"/>
        </w:rPr>
        <w:t>Our initial business combination must occur with one or more target businesses that together have an aggregate fair market value of at least 80% of the net assets held in the trust account (excluding the amount of deferred underwriting discounts held in trust and taxes payable on the interest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from an independent investment banking firm which is a member of the Financial Industry Regulatory Authority, Inc., or FINRA, or an independent valuation or accounting firm with respect to the satisfaction of such criteria. Our shareholders may not be provided with a copy of such opinion nor will they be able to rely on such opinion. While we consider it unlikely that our board will not be able to make an independent determination of the fair market value of a target business or businesses, it may be unable to do so if the board is less familiar or experienced with the target company’s business, there is a significant amount of uncertainty as to the value of the company’s assets or prospects, including if such company is at an early stage of development, operations or growth, or if the anticipated transaction involves a complex financial analysis or other specialized skills and the board determines that outside expertise would be helpful or necessary in conducting such analysis. Since any opinion, if obtained, would merely state that the fair market value of the target business meets the 80% of net assets threshold, unless such opinion includes material information regarding the valuation of a target business or the consideration to be provided, it is not anticipated that copies of such opinion would be distributed to our shareholders. However, if required under applicable law, any proxy statement that we deliver to shareholders and file with the SEC in connection with a proposed transaction will include such opinion.</w:t>
      </w:r>
    </w:p>
    <w:p>
      <w:pPr>
        <w:spacing w:after="0" w:line="147" w:lineRule="exact"/>
        <w:rPr>
          <w:sz w:val="20"/>
          <w:szCs w:val="20"/>
          <w:color w:val="auto"/>
        </w:rPr>
      </w:pPr>
    </w:p>
    <w:p>
      <w:pPr>
        <w:ind w:left="240" w:right="199"/>
        <w:spacing w:after="0"/>
        <w:rPr>
          <w:sz w:val="20"/>
          <w:szCs w:val="20"/>
          <w:color w:val="auto"/>
        </w:rPr>
      </w:pPr>
      <w:r>
        <w:rPr>
          <w:rFonts w:ascii="Arial" w:cs="Arial" w:eastAsia="Arial" w:hAnsi="Arial"/>
          <w:sz w:val="17"/>
          <w:szCs w:val="17"/>
          <w:color w:val="auto"/>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business in order to meet certain objectives of the target management team or shareholders or for other reasons, but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shareholders immediately prior to the completion of our initial business combination could own less than a majority of our issued and outstanding shares subsequent to our initial business combination.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If the business combination involves</w:t>
      </w: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37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0565" cy="63734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40" w:right="259"/>
        <w:spacing w:after="0" w:line="236" w:lineRule="auto"/>
        <w:rPr>
          <w:sz w:val="20"/>
          <w:szCs w:val="20"/>
          <w:color w:val="auto"/>
        </w:rPr>
      </w:pPr>
      <w:r>
        <w:rPr>
          <w:rFonts w:ascii="Arial" w:cs="Arial" w:eastAsia="Arial" w:hAnsi="Arial"/>
          <w:sz w:val="17"/>
          <w:szCs w:val="17"/>
          <w:color w:val="auto"/>
        </w:rPr>
        <w:t>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 In addition, we have agreed not to enter into a definitive agreement regarding an initial business combination without the prior consent of our sponsor.</w:t>
      </w:r>
    </w:p>
    <w:p>
      <w:pPr>
        <w:spacing w:after="0" w:line="163" w:lineRule="exact"/>
        <w:rPr>
          <w:sz w:val="20"/>
          <w:szCs w:val="20"/>
          <w:color w:val="auto"/>
        </w:rPr>
      </w:pPr>
    </w:p>
    <w:p>
      <w:pPr>
        <w:ind w:left="240" w:right="199"/>
        <w:spacing w:after="0" w:line="233" w:lineRule="auto"/>
        <w:rPr>
          <w:sz w:val="20"/>
          <w:szCs w:val="20"/>
          <w:color w:val="auto"/>
        </w:rPr>
      </w:pPr>
      <w:r>
        <w:rPr>
          <w:rFonts w:ascii="Arial" w:cs="Arial" w:eastAsia="Arial" w:hAnsi="Arial"/>
          <w:sz w:val="17"/>
          <w:szCs w:val="17"/>
          <w:color w:val="auto"/>
        </w:rPr>
        <w:t>In addition, our sponsor has indicated an interest to purchase up to an aggregate of $25,000,000 of our ordinary shares in a private placement that would occur concurrently with the consummation of our initial business combination.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If we sell shares to our sponsor (or any other investor) in connection with our initial business combination, the equity interest of investors in this offering in the combined company may be diluted and the market prices for our securities may be adversely affected. In addition, if the per share trading price of our ordinary shares is greater than the price per share paid in the private placement, the private placement will result in value dilution to you, in addition to the immediate dilution that you will experience in connection with the consummation of this offering. See “Dilution.”</w:t>
      </w:r>
    </w:p>
    <w:p>
      <w:pPr>
        <w:spacing w:after="0" w:line="2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Other Considerations</w:t>
      </w:r>
    </w:p>
    <w:p>
      <w:pPr>
        <w:spacing w:after="0" w:line="188" w:lineRule="exact"/>
        <w:rPr>
          <w:sz w:val="20"/>
          <w:szCs w:val="20"/>
          <w:color w:val="auto"/>
        </w:rPr>
      </w:pPr>
    </w:p>
    <w:p>
      <w:pPr>
        <w:ind w:left="240" w:right="179"/>
        <w:spacing w:after="0" w:line="234" w:lineRule="auto"/>
        <w:rPr>
          <w:sz w:val="20"/>
          <w:szCs w:val="20"/>
          <w:color w:val="auto"/>
        </w:rPr>
      </w:pPr>
      <w:r>
        <w:rPr>
          <w:rFonts w:ascii="Arial" w:cs="Arial" w:eastAsia="Arial" w:hAnsi="Arial"/>
          <w:sz w:val="17"/>
          <w:szCs w:val="17"/>
          <w:color w:val="auto"/>
        </w:rPr>
        <w:t>We are not prohibited from pursuing an initial business combination or subsequent transaction with a company that is affiliated with Perceptive Advisors or our sponsor, founders, officers or directors. In the event we seek to complete our initial business combination with a company that is affiliated with Perceptive Advisors, our sponsor or any of our founders, officers or directors, we, or a committee of independent directors, will obtain an opinion from an independent investment banking firm which is a member of FINRA or an independent valuation or accounting firm that such initial business combination or transaction is fair to our company from a financial point of view. We are not required to obtain such an opinion in any other context.</w:t>
      </w:r>
    </w:p>
    <w:p>
      <w:pPr>
        <w:spacing w:after="0" w:line="151" w:lineRule="exact"/>
        <w:rPr>
          <w:sz w:val="20"/>
          <w:szCs w:val="20"/>
          <w:color w:val="auto"/>
        </w:rPr>
      </w:pPr>
    </w:p>
    <w:p>
      <w:pPr>
        <w:ind w:left="240" w:right="219"/>
        <w:spacing w:after="0" w:line="235" w:lineRule="auto"/>
        <w:rPr>
          <w:sz w:val="20"/>
          <w:szCs w:val="20"/>
          <w:color w:val="auto"/>
        </w:rPr>
      </w:pPr>
      <w:r>
        <w:rPr>
          <w:rFonts w:ascii="Arial" w:cs="Arial" w:eastAsia="Arial" w:hAnsi="Arial"/>
          <w:sz w:val="17"/>
          <w:szCs w:val="17"/>
          <w:color w:val="auto"/>
        </w:rPr>
        <w:t>Affiliates of Perceptive Advisors and members of our board of directors will directly or indirectly own founder shares and private placement shares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or directors were to be included by a target business as a condition to any agreement with respect to our initial business combination.</w:t>
      </w:r>
    </w:p>
    <w:p>
      <w:pPr>
        <w:spacing w:after="0" w:line="161" w:lineRule="exact"/>
        <w:rPr>
          <w:sz w:val="20"/>
          <w:szCs w:val="20"/>
          <w:color w:val="auto"/>
        </w:rPr>
      </w:pPr>
    </w:p>
    <w:p>
      <w:pPr>
        <w:ind w:left="240" w:right="179"/>
        <w:spacing w:after="0" w:line="233" w:lineRule="auto"/>
        <w:rPr>
          <w:sz w:val="20"/>
          <w:szCs w:val="20"/>
          <w:color w:val="auto"/>
        </w:rPr>
      </w:pPr>
      <w:r>
        <w:rPr>
          <w:rFonts w:ascii="Arial" w:cs="Arial" w:eastAsia="Arial" w:hAnsi="Arial"/>
          <w:sz w:val="17"/>
          <w:szCs w:val="17"/>
          <w:color w:val="auto"/>
        </w:rPr>
        <w:t>We have not selected any business combination target and we have not, nor has anyone on our behalf, initiated any substantive discussions, directly or indirectly, with any business combination target. Perceptive Advisors is continuously made aware of potential business opportunities, one or more of which we may desire to pursue for a business combination, but we have not (nor has anyone on our behalf) contacted any prospective target business or had any substantive discussions, formal or otherwise, with respect to a business combination transaction with our company. We will not consider a business combination with any company that has already been identified to Perceptive Advisors as a suitable acquisition candidate for it, unless Perceptive Advisors, in its sole discretion, declines such potential business combination or makes available to our company a co-investment opportunity in accordance with Perceptive Advisors’ applicable existing and future policies and procedures. Additionally, we have not, nor has anyone on our behalf, taken any substantive measure, directly or indirectly, to identify or locate any suitable acquisition candidate for us, nor have we engaged or retained any agent or other representative to identify or locate any such acquisition candidate.</w:t>
      </w:r>
    </w:p>
    <w:p>
      <w:pPr>
        <w:spacing w:after="0" w:line="166" w:lineRule="exact"/>
        <w:rPr>
          <w:sz w:val="20"/>
          <w:szCs w:val="20"/>
          <w:color w:val="auto"/>
        </w:rPr>
      </w:pPr>
    </w:p>
    <w:p>
      <w:pPr>
        <w:ind w:left="240" w:right="279"/>
        <w:spacing w:after="0" w:line="236" w:lineRule="auto"/>
        <w:rPr>
          <w:sz w:val="20"/>
          <w:szCs w:val="20"/>
          <w:color w:val="auto"/>
        </w:rPr>
      </w:pPr>
      <w:r>
        <w:rPr>
          <w:rFonts w:ascii="Arial" w:cs="Arial" w:eastAsia="Arial" w:hAnsi="Arial"/>
          <w:sz w:val="17"/>
          <w:szCs w:val="17"/>
          <w:color w:val="auto"/>
        </w:rPr>
        <w:t>Perceptive Advisors may manage multiple investment vehicles and raise additional funds and/or successor funds in the future, which may be during the period in which we are seeking our initial business combination. These Perceptive Advisors investment entities may be seeking acquisition opportunities and related financing at any time. We may compete with any one or more of them on any given acquisition opportunity.</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758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0565" cy="67589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40" w:right="259"/>
        <w:spacing w:after="0" w:line="235" w:lineRule="auto"/>
        <w:rPr>
          <w:sz w:val="20"/>
          <w:szCs w:val="20"/>
          <w:color w:val="auto"/>
        </w:rPr>
      </w:pPr>
      <w:r>
        <w:rPr>
          <w:rFonts w:ascii="Arial" w:cs="Arial" w:eastAsia="Arial" w:hAnsi="Arial"/>
          <w:sz w:val="17"/>
          <w:szCs w:val="17"/>
          <w:color w:val="auto"/>
        </w:rPr>
        <w:t>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63" w:lineRule="exact"/>
        <w:rPr>
          <w:sz w:val="20"/>
          <w:szCs w:val="20"/>
          <w:color w:val="auto"/>
        </w:rPr>
      </w:pPr>
    </w:p>
    <w:p>
      <w:pPr>
        <w:ind w:left="240" w:right="179"/>
        <w:spacing w:after="0" w:line="233" w:lineRule="auto"/>
        <w:rPr>
          <w:sz w:val="20"/>
          <w:szCs w:val="20"/>
          <w:color w:val="auto"/>
        </w:rPr>
      </w:pPr>
      <w:r>
        <w:rPr>
          <w:rFonts w:ascii="Arial" w:cs="Arial" w:eastAsia="Arial" w:hAnsi="Arial"/>
          <w:sz w:val="17"/>
          <w:szCs w:val="17"/>
          <w:color w:val="auto"/>
        </w:rPr>
        <w:t>In addition, certain of our founders, officers and directors presently have, and any of them in the future may have additional, fiduciary and contractual duties to other entities, including without limitation, ARYA Sciences Acquisition Corp II and any future special purpose acquisition companies we expect they may be involved in and investment funds, accounts, co-investment vehicles and other entities managed by affiliates of Perceptive Advisors and certain companies in which Perceptive Advisors or such entities have invested. As a result, if any of our founders, officers or directors becomes aware of a business combination opportunity which is suitable for an entity to which he, she or it has then-current fiduciary or contractual obligations (including, without limitation, ARYA Sciences Acquisition Corp II and any future special purpose acquisition companies we expect they may be involved in and any Perceptive Advisors funds or other investment vehicles), then, subject to their fiduciary duties under Cayman Islands law, he or she will need to honor such fiduciary or contractual obligations to present such business combination opportunity to such entity, before we can pursue such opportunity. If these funds or investment entities decide to pursue any such opportunity, we may be precluded from pursuing the same. In addition, investment ideas generated within or presented to Perceptive Advisors or our founders may be suitable for both us and a current or future Perceptive Advisors fund, portfolio company or other investment entity and, subject to applicable fiduciary duties, will first be directed to such fund, portfolio company or other entity before being directed, if at all, to us. None of Perceptive Advisors, our founders or any members of our board of directors who are also employed by Perceptive Advisors or its affiliates have any obligation to present us with any opportunity for a potential business combination of which they become aware solely in their capacities as officers or executives of Perceptive Advisors.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However, we do not expect these duties to materially affect our ability to complete our initial business combination.</w:t>
      </w:r>
    </w:p>
    <w:p>
      <w:pPr>
        <w:spacing w:after="0" w:line="156" w:lineRule="exact"/>
        <w:rPr>
          <w:sz w:val="20"/>
          <w:szCs w:val="20"/>
          <w:color w:val="auto"/>
        </w:rPr>
      </w:pPr>
    </w:p>
    <w:p>
      <w:pPr>
        <w:ind w:left="240" w:right="219"/>
        <w:spacing w:after="0" w:line="233" w:lineRule="auto"/>
        <w:rPr>
          <w:sz w:val="20"/>
          <w:szCs w:val="20"/>
          <w:color w:val="auto"/>
        </w:rPr>
      </w:pPr>
      <w:r>
        <w:rPr>
          <w:rFonts w:ascii="Arial" w:cs="Arial" w:eastAsia="Arial" w:hAnsi="Arial"/>
          <w:sz w:val="17"/>
          <w:szCs w:val="17"/>
          <w:color w:val="auto"/>
        </w:rPr>
        <w:t>In addition, our founders,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In particular, certain of our officers and directors serve as an officer and/or director of ARYA Sciences Acquisition Corp II, which is a blank check company sponsored by an affiliate of Perceptive Advisors, and in the future we expect they may be officers and/or directors of other future special purpose acquisition companies. Moreover, our founders, officers and directors have, and will have in the future, time and attention requirements for current and future investment funds, accounts, co-investment vehicles and other entities managed by Perceptive Advisors. To the extent any conflict of interest arises between, on the one hand, us and, on the other hand, investments funds, accounts, co-investment vehicles and other entities managed by Perceptive Advisors (including, without limitation, arising as a result of certain of our founders, officers and directors being required to offer acquisition opportunities to such investment funds, accounts, co-investment vehicles and other entities), Perceptive Advisors and its affiliates will resolve such conflicts of interest in their sole discretion in accordance with their then existing fiduciary, contractual and other duties and there can be no assurance that such conflict of interest will be resolved in our favor.</w:t>
      </w:r>
    </w:p>
    <w:p>
      <w:pPr>
        <w:spacing w:after="0" w:line="164" w:lineRule="exact"/>
        <w:rPr>
          <w:sz w:val="20"/>
          <w:szCs w:val="20"/>
          <w:color w:val="auto"/>
        </w:rPr>
      </w:pPr>
    </w:p>
    <w:p>
      <w:pPr>
        <w:ind w:left="240" w:right="819"/>
        <w:spacing w:after="0" w:line="243" w:lineRule="auto"/>
        <w:rPr>
          <w:sz w:val="20"/>
          <w:szCs w:val="20"/>
          <w:color w:val="auto"/>
        </w:rPr>
      </w:pPr>
      <w:r>
        <w:rPr>
          <w:rFonts w:ascii="Arial" w:cs="Arial" w:eastAsia="Arial" w:hAnsi="Arial"/>
          <w:sz w:val="17"/>
          <w:szCs w:val="17"/>
          <w:color w:val="auto"/>
        </w:rPr>
        <w:t>Unlike other SPAC IPOs, investors in this offering will not receive warrants that would become exercisable following completion of our initial business combination.</w:t>
      </w:r>
    </w:p>
    <w:p>
      <w:pPr>
        <w:spacing w:after="0" w:line="22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Corporate Information</w:t>
      </w:r>
    </w:p>
    <w:p>
      <w:pPr>
        <w:spacing w:after="0" w:line="186" w:lineRule="exact"/>
        <w:rPr>
          <w:sz w:val="20"/>
          <w:szCs w:val="20"/>
          <w:color w:val="auto"/>
        </w:rPr>
      </w:pPr>
    </w:p>
    <w:p>
      <w:pPr>
        <w:ind w:left="240" w:right="359"/>
        <w:spacing w:after="0" w:line="204" w:lineRule="auto"/>
        <w:rPr>
          <w:sz w:val="20"/>
          <w:szCs w:val="20"/>
          <w:color w:val="auto"/>
        </w:rPr>
      </w:pPr>
      <w:r>
        <w:rPr>
          <w:rFonts w:ascii="Arial" w:cs="Arial" w:eastAsia="Arial" w:hAnsi="Arial"/>
          <w:sz w:val="17"/>
          <w:szCs w:val="17"/>
          <w:color w:val="auto"/>
        </w:rPr>
        <w:t>Our executive offices are located at 51 Astor Place,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10003. We maintain a corporate website at https://www.perceptivelife.com/arya3/. The information contained on or accessible through our corporate website or any other website that we may maintain is not part of this prospectus or the registration statements of which this prospectus forms a part.</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5490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0565" cy="549021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40" w:right="239"/>
        <w:spacing w:after="0" w:line="233" w:lineRule="auto"/>
        <w:rPr>
          <w:sz w:val="20"/>
          <w:szCs w:val="20"/>
          <w:color w:val="auto"/>
        </w:rPr>
      </w:pPr>
      <w:r>
        <w:rPr>
          <w:rFonts w:ascii="Arial" w:cs="Arial" w:eastAsia="Arial" w:hAnsi="Arial"/>
          <w:sz w:val="17"/>
          <w:szCs w:val="17"/>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expect to receive, after the effectiveness of the registration statements of which this prospectus forms a part, a tax exemption undertaking from the Cayman Islands government that, in accordance with Section 6 of the Tax Concessions Law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66" w:lineRule="exact"/>
        <w:rPr>
          <w:sz w:val="20"/>
          <w:szCs w:val="20"/>
          <w:color w:val="auto"/>
        </w:rPr>
      </w:pPr>
    </w:p>
    <w:p>
      <w:pPr>
        <w:ind w:left="240" w:right="199"/>
        <w:spacing w:after="0" w:line="233" w:lineRule="auto"/>
        <w:rPr>
          <w:sz w:val="20"/>
          <w:szCs w:val="20"/>
          <w:color w:val="auto"/>
        </w:rPr>
      </w:pPr>
      <w:r>
        <w:rPr>
          <w:rFonts w:ascii="Arial" w:cs="Arial" w:eastAsia="Arial" w:hAnsi="Arial"/>
          <w:sz w:val="17"/>
          <w:szCs w:val="17"/>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54" w:lineRule="exact"/>
        <w:rPr>
          <w:sz w:val="20"/>
          <w:szCs w:val="20"/>
          <w:color w:val="auto"/>
        </w:rPr>
      </w:pPr>
    </w:p>
    <w:p>
      <w:pPr>
        <w:ind w:left="240" w:right="239"/>
        <w:spacing w:after="0" w:line="23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63" w:lineRule="exact"/>
        <w:rPr>
          <w:sz w:val="20"/>
          <w:szCs w:val="20"/>
          <w:color w:val="auto"/>
        </w:rPr>
      </w:pPr>
    </w:p>
    <w:p>
      <w:pPr>
        <w:ind w:left="240" w:right="339"/>
        <w:spacing w:after="0" w:line="235"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 and (2) the date on which we have issued more than $1.0 billion in non-convertible debt during the prior three-year period. References herein to “emerging growth company” have the meaning associated with it in the JOBS Act.</w:t>
      </w:r>
    </w:p>
    <w:p>
      <w:pPr>
        <w:spacing w:after="0" w:line="161" w:lineRule="exact"/>
        <w:rPr>
          <w:sz w:val="20"/>
          <w:szCs w:val="20"/>
          <w:color w:val="auto"/>
        </w:rPr>
      </w:pPr>
    </w:p>
    <w:p>
      <w:pPr>
        <w:ind w:left="240" w:right="199"/>
        <w:spacing w:after="0" w:line="23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6649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0565" cy="666496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THE OFFERING</w:t>
      </w:r>
    </w:p>
    <w:p>
      <w:pPr>
        <w:spacing w:after="0" w:line="174" w:lineRule="exact"/>
        <w:rPr>
          <w:sz w:val="20"/>
          <w:szCs w:val="20"/>
          <w:color w:val="auto"/>
        </w:rPr>
      </w:pPr>
    </w:p>
    <w:p>
      <w:pPr>
        <w:ind w:left="240" w:right="199"/>
        <w:spacing w:after="0" w:line="235" w:lineRule="auto"/>
        <w:rPr>
          <w:sz w:val="20"/>
          <w:szCs w:val="20"/>
          <w:color w:val="auto"/>
        </w:rPr>
      </w:pPr>
      <w:r>
        <w:rPr>
          <w:rFonts w:ascii="Arial" w:cs="Arial" w:eastAsia="Arial" w:hAnsi="Arial"/>
          <w:sz w:val="17"/>
          <w:szCs w:val="17"/>
          <w:color w:val="auto"/>
        </w:rPr>
        <w:t>In deciding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of this prospectus.</w:t>
      </w:r>
    </w:p>
    <w:p>
      <w:pPr>
        <w:spacing w:after="0" w:line="117"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2820" w:type="dxa"/>
            <w:vAlign w:val="bottom"/>
          </w:tcPr>
          <w:p>
            <w:pPr>
              <w:spacing w:after="0"/>
              <w:rPr>
                <w:sz w:val="20"/>
                <w:szCs w:val="20"/>
                <w:color w:val="auto"/>
              </w:rPr>
            </w:pPr>
            <w:r>
              <w:rPr>
                <w:rFonts w:ascii="Arial" w:cs="Arial" w:eastAsia="Arial" w:hAnsi="Arial"/>
                <w:sz w:val="17"/>
                <w:szCs w:val="17"/>
                <w:b w:val="1"/>
                <w:bCs w:val="1"/>
                <w:color w:val="auto"/>
              </w:rPr>
              <w:t>Security offered</w:t>
            </w:r>
          </w:p>
        </w:tc>
        <w:tc>
          <w:tcPr>
            <w:tcW w:w="5780" w:type="dxa"/>
            <w:vAlign w:val="bottom"/>
          </w:tcPr>
          <w:p>
            <w:pPr>
              <w:ind w:left="1500"/>
              <w:spacing w:after="0"/>
              <w:rPr>
                <w:sz w:val="20"/>
                <w:szCs w:val="20"/>
                <w:color w:val="auto"/>
              </w:rPr>
            </w:pPr>
            <w:r>
              <w:rPr>
                <w:rFonts w:ascii="Arial" w:cs="Arial" w:eastAsia="Arial" w:hAnsi="Arial"/>
                <w:sz w:val="17"/>
                <w:szCs w:val="17"/>
                <w:color w:val="auto"/>
              </w:rPr>
              <w:t>13,000,000 Class A ordinary shares (or 14,950,000</w:t>
            </w:r>
          </w:p>
        </w:tc>
      </w:tr>
      <w:tr>
        <w:trPr>
          <w:trHeight w:val="189"/>
        </w:trPr>
        <w:tc>
          <w:tcPr>
            <w:tcW w:w="2820" w:type="dxa"/>
            <w:vAlign w:val="bottom"/>
          </w:tcPr>
          <w:p>
            <w:pPr>
              <w:spacing w:after="0"/>
              <w:rPr>
                <w:sz w:val="16"/>
                <w:szCs w:val="16"/>
                <w:color w:val="auto"/>
              </w:rPr>
            </w:pPr>
          </w:p>
        </w:tc>
        <w:tc>
          <w:tcPr>
            <w:tcW w:w="5780" w:type="dxa"/>
            <w:vAlign w:val="bottom"/>
          </w:tcPr>
          <w:p>
            <w:pPr>
              <w:ind w:left="1500"/>
              <w:spacing w:after="0" w:line="189" w:lineRule="exact"/>
              <w:rPr>
                <w:sz w:val="20"/>
                <w:szCs w:val="20"/>
                <w:color w:val="auto"/>
              </w:rPr>
            </w:pPr>
            <w:r>
              <w:rPr>
                <w:rFonts w:ascii="Arial" w:cs="Arial" w:eastAsia="Arial" w:hAnsi="Arial"/>
                <w:sz w:val="17"/>
                <w:szCs w:val="17"/>
                <w:color w:val="auto"/>
              </w:rPr>
              <w:t>Class A ordinary shares if the underwriters’ over-</w:t>
            </w:r>
          </w:p>
        </w:tc>
      </w:tr>
      <w:tr>
        <w:trPr>
          <w:trHeight w:val="205"/>
        </w:trPr>
        <w:tc>
          <w:tcPr>
            <w:tcW w:w="2820" w:type="dxa"/>
            <w:vAlign w:val="bottom"/>
          </w:tcPr>
          <w:p>
            <w:pPr>
              <w:spacing w:after="0"/>
              <w:rPr>
                <w:sz w:val="17"/>
                <w:szCs w:val="17"/>
                <w:color w:val="auto"/>
              </w:rPr>
            </w:pPr>
          </w:p>
        </w:tc>
        <w:tc>
          <w:tcPr>
            <w:tcW w:w="5780" w:type="dxa"/>
            <w:vAlign w:val="bottom"/>
          </w:tcPr>
          <w:p>
            <w:pPr>
              <w:ind w:left="1500"/>
              <w:spacing w:after="0"/>
              <w:rPr>
                <w:sz w:val="20"/>
                <w:szCs w:val="20"/>
                <w:color w:val="auto"/>
              </w:rPr>
            </w:pPr>
            <w:r>
              <w:rPr>
                <w:rFonts w:ascii="Arial" w:cs="Arial" w:eastAsia="Arial" w:hAnsi="Arial"/>
                <w:sz w:val="17"/>
                <w:szCs w:val="17"/>
                <w:color w:val="auto"/>
                <w:w w:val="99"/>
              </w:rPr>
              <w:t>allotment option is exercised in full), at $10.00 per share.</w:t>
            </w:r>
          </w:p>
        </w:tc>
      </w:tr>
    </w:tbl>
    <w:p>
      <w:pPr>
        <w:spacing w:after="0" w:line="113" w:lineRule="exact"/>
        <w:rPr>
          <w:sz w:val="20"/>
          <w:szCs w:val="20"/>
          <w:color w:val="auto"/>
        </w:rPr>
      </w:pPr>
    </w:p>
    <w:p>
      <w:pPr>
        <w:sectPr>
          <w:pgSz w:w="11900" w:h="16838" w:orient="portrait"/>
          <w:cols w:equalWidth="0" w:num="1">
            <w:col w:w="9059"/>
          </w:cols>
          <w:pgMar w:left="1400" w:top="265" w:right="1440" w:bottom="1440" w:gutter="0" w:footer="0" w:header="0"/>
        </w:sectPr>
      </w:pPr>
    </w:p>
    <w:p>
      <w:pPr>
        <w:ind w:left="240"/>
        <w:spacing w:after="0"/>
        <w:rPr>
          <w:sz w:val="20"/>
          <w:szCs w:val="20"/>
          <w:color w:val="auto"/>
        </w:rPr>
      </w:pPr>
      <w:r>
        <w:rPr>
          <w:rFonts w:ascii="Arial" w:cs="Arial" w:eastAsia="Arial" w:hAnsi="Arial"/>
          <w:sz w:val="17"/>
          <w:szCs w:val="17"/>
          <w:b w:val="1"/>
          <w:bCs w:val="1"/>
          <w:color w:val="auto"/>
        </w:rPr>
        <w:t>Nasdaq symbol</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Ordinary shares:</w:t>
      </w:r>
    </w:p>
    <w:p>
      <w:pPr>
        <w:spacing w:after="0" w:line="142" w:lineRule="exact"/>
        <w:rPr>
          <w:sz w:val="20"/>
          <w:szCs w:val="20"/>
          <w:color w:val="auto"/>
        </w:rPr>
      </w:pPr>
    </w:p>
    <w:p>
      <w:pPr>
        <w:ind w:left="420" w:right="140"/>
        <w:spacing w:after="0" w:line="439" w:lineRule="auto"/>
        <w:rPr>
          <w:sz w:val="20"/>
          <w:szCs w:val="20"/>
          <w:color w:val="auto"/>
        </w:rPr>
      </w:pPr>
      <w:r>
        <w:rPr>
          <w:rFonts w:ascii="Arial" w:cs="Arial" w:eastAsia="Arial" w:hAnsi="Arial"/>
          <w:sz w:val="17"/>
          <w:szCs w:val="17"/>
          <w:b w:val="1"/>
          <w:bCs w:val="1"/>
          <w:color w:val="auto"/>
        </w:rPr>
        <w:t>Number outstanding before this offering Number outstanding after this offering</w:t>
      </w:r>
    </w:p>
    <w:p>
      <w:pPr>
        <w:ind w:left="240"/>
        <w:spacing w:after="0"/>
        <w:rPr>
          <w:sz w:val="20"/>
          <w:szCs w:val="20"/>
          <w:color w:val="auto"/>
        </w:rPr>
      </w:pPr>
      <w:r>
        <w:rPr>
          <w:rFonts w:ascii="Arial" w:cs="Arial" w:eastAsia="Arial" w:hAnsi="Arial"/>
          <w:sz w:val="17"/>
          <w:szCs w:val="17"/>
          <w:b w:val="1"/>
          <w:bCs w:val="1"/>
          <w:color w:val="auto"/>
        </w:rPr>
        <w:t>Founder shares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Class A ordinary shares: “ARYA”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3,737,500</w:t>
      </w:r>
      <w:r>
        <w:rPr>
          <w:rFonts w:ascii="Arial" w:cs="Arial" w:eastAsia="Arial" w:hAnsi="Arial"/>
          <w:sz w:val="28"/>
          <w:szCs w:val="28"/>
          <w:color w:val="auto"/>
          <w:vertAlign w:val="superscript"/>
        </w:rPr>
        <w:t>(1)(2)</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16,710,000</w:t>
      </w:r>
      <w:r>
        <w:rPr>
          <w:rFonts w:ascii="Arial" w:cs="Arial" w:eastAsia="Arial" w:hAnsi="Arial"/>
          <w:sz w:val="14"/>
          <w:szCs w:val="14"/>
          <w:color w:val="auto"/>
        </w:rPr>
        <w:t>(1)(3)(4)(5)</w:t>
      </w:r>
    </w:p>
    <w:p>
      <w:pPr>
        <w:spacing w:after="0" w:line="116" w:lineRule="exact"/>
        <w:rPr>
          <w:sz w:val="20"/>
          <w:szCs w:val="20"/>
          <w:color w:val="auto"/>
        </w:rPr>
      </w:pPr>
    </w:p>
    <w:p>
      <w:pPr>
        <w:ind w:right="219"/>
        <w:spacing w:after="0" w:line="233" w:lineRule="auto"/>
        <w:rPr>
          <w:sz w:val="20"/>
          <w:szCs w:val="20"/>
          <w:color w:val="auto"/>
        </w:rPr>
      </w:pPr>
      <w:r>
        <w:rPr>
          <w:rFonts w:ascii="Arial" w:cs="Arial" w:eastAsia="Arial" w:hAnsi="Arial"/>
          <w:sz w:val="17"/>
          <w:szCs w:val="17"/>
          <w:color w:val="auto"/>
        </w:rPr>
        <w:t>On April 2, 2020, we issued to our sponsor 3,593,750 founder shares in exchange for a capital contribution of $25,000, or approximately $0.007 per share. In July 2020, our sponsor transferred 30,000 founder shares to each of Bradley L. Campbell, Saqib Islam and Todd Wider. Such shares will not be subject to forfeiture in the event the underwriters’ over-allotment option is not exercised. On August 6, 2020, we effected a share capitalization resulting in our initial shareholders holding 3,737,500 Class B ordinary shares.</w:t>
      </w:r>
    </w:p>
    <w:p>
      <w:pPr>
        <w:spacing w:after="0" w:line="100" w:lineRule="exact"/>
        <w:rPr>
          <w:sz w:val="20"/>
          <w:szCs w:val="20"/>
          <w:color w:val="auto"/>
        </w:rPr>
      </w:pPr>
    </w:p>
    <w:p>
      <w:pPr>
        <w:ind w:right="299"/>
        <w:spacing w:after="0" w:line="234" w:lineRule="auto"/>
        <w:rPr>
          <w:sz w:val="20"/>
          <w:szCs w:val="20"/>
          <w:color w:val="auto"/>
        </w:rPr>
      </w:pPr>
      <w:r>
        <w:rPr>
          <w:rFonts w:ascii="Arial" w:cs="Arial" w:eastAsia="Arial" w:hAnsi="Arial"/>
          <w:sz w:val="17"/>
          <w:szCs w:val="17"/>
          <w:color w:val="auto"/>
        </w:rPr>
        <w:t>Prior to the initial investment in the company of $25,000 by the sponsor, the company had no assets, tangible or intangible. The per share price of the founder shares was determined by dividing the amount contributed to the company by the number of founder shares issued. Up to 487,500 founder shares held by our sponsor are subject to forfeiture, depending on the extent to which the underwriter’s over-allotment option is exercised.</w:t>
      </w:r>
    </w:p>
    <w:p>
      <w:pPr>
        <w:spacing w:after="0" w:line="95" w:lineRule="exact"/>
        <w:rPr>
          <w:sz w:val="20"/>
          <w:szCs w:val="20"/>
          <w:color w:val="auto"/>
        </w:rPr>
      </w:pPr>
    </w:p>
    <w:p>
      <w:pPr>
        <w:ind w:right="279"/>
        <w:spacing w:after="0" w:line="243" w:lineRule="auto"/>
        <w:rPr>
          <w:sz w:val="20"/>
          <w:szCs w:val="20"/>
          <w:color w:val="auto"/>
        </w:rPr>
      </w:pPr>
      <w:r>
        <w:rPr>
          <w:rFonts w:ascii="Arial" w:cs="Arial" w:eastAsia="Arial" w:hAnsi="Arial"/>
          <w:sz w:val="17"/>
          <w:szCs w:val="17"/>
          <w:color w:val="auto"/>
        </w:rPr>
        <w:t>The founder shares are identical to the Class A ordinary shares being sold in this offering, except that:</w:t>
      </w:r>
    </w:p>
    <w:p>
      <w:pPr>
        <w:spacing w:after="0" w:line="84" w:lineRule="exact"/>
        <w:rPr>
          <w:sz w:val="20"/>
          <w:szCs w:val="20"/>
          <w:color w:val="auto"/>
        </w:rPr>
      </w:pPr>
    </w:p>
    <w:p>
      <w:pPr>
        <w:sectPr>
          <w:pgSz w:w="11900" w:h="16838" w:orient="portrait"/>
          <w:cols w:equalWidth="0" w:num="2">
            <w:col w:w="3840" w:space="720"/>
            <w:col w:w="4499"/>
          </w:cols>
          <w:pgMar w:left="1400" w:top="265" w:right="1440" w:bottom="1440" w:gutter="0" w:footer="0" w:header="0"/>
          <w:type w:val="continuous"/>
        </w:sectPr>
      </w:pPr>
    </w:p>
    <w:p>
      <w:pPr>
        <w:ind w:left="4560"/>
        <w:spacing w:after="0"/>
        <w:tabs>
          <w:tab w:leader="none" w:pos="49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only holders of the founder shares have the right to</w:t>
      </w:r>
    </w:p>
    <w:p>
      <w:pPr>
        <w:ind w:left="4920"/>
        <w:spacing w:after="0" w:line="232" w:lineRule="auto"/>
        <w:rPr>
          <w:sz w:val="20"/>
          <w:szCs w:val="20"/>
          <w:color w:val="auto"/>
        </w:rPr>
      </w:pPr>
      <w:r>
        <w:rPr>
          <w:rFonts w:ascii="Arial" w:cs="Arial" w:eastAsia="Arial" w:hAnsi="Arial"/>
          <w:sz w:val="17"/>
          <w:szCs w:val="17"/>
          <w:color w:val="auto"/>
        </w:rPr>
        <w:t>vote on the election of directors prior to the</w:t>
      </w:r>
    </w:p>
    <w:p>
      <w:pPr>
        <w:ind w:left="4920"/>
        <w:spacing w:after="0"/>
        <w:rPr>
          <w:sz w:val="20"/>
          <w:szCs w:val="20"/>
          <w:color w:val="auto"/>
        </w:rPr>
      </w:pPr>
      <w:r>
        <w:rPr>
          <w:rFonts w:ascii="Arial" w:cs="Arial" w:eastAsia="Arial" w:hAnsi="Arial"/>
          <w:sz w:val="17"/>
          <w:szCs w:val="17"/>
          <w:color w:val="auto"/>
        </w:rPr>
        <w:t>completion of our initial business combination and</w:t>
      </w:r>
    </w:p>
    <w:p>
      <w:pPr>
        <w:spacing w:after="0" w:line="129" w:lineRule="exact"/>
        <w:rPr>
          <w:sz w:val="20"/>
          <w:szCs w:val="20"/>
          <w:color w:val="auto"/>
        </w:rPr>
      </w:pPr>
    </w:p>
    <w:p>
      <w:pPr>
        <w:ind w:left="420" w:right="319" w:hanging="178"/>
        <w:spacing w:after="0" w:line="191" w:lineRule="auto"/>
        <w:tabs>
          <w:tab w:leader="none" w:pos="420" w:val="left"/>
        </w:tabs>
        <w:numPr>
          <w:ilvl w:val="0"/>
          <w:numId w:val="2"/>
        </w:numPr>
        <w:rPr>
          <w:rFonts w:ascii="Arial" w:cs="Arial" w:eastAsia="Arial" w:hAnsi="Arial"/>
          <w:sz w:val="20"/>
          <w:szCs w:val="20"/>
          <w:color w:val="auto"/>
          <w:vertAlign w:val="superscript"/>
        </w:rPr>
      </w:pPr>
      <w:r>
        <w:rPr>
          <w:rFonts w:ascii="Arial" w:cs="Arial" w:eastAsia="Arial" w:hAnsi="Arial"/>
          <w:sz w:val="13"/>
          <w:szCs w:val="13"/>
          <w:color w:val="auto"/>
        </w:rPr>
        <w:t>Founder shares are currently classified as Class B ordinary shares, which shares will automatically convert into Class A ordinary shares at the time of our initial business combination as described below adjacent to the caption “Founder shares conversion and anti-dilution rights” and in our amended and restated memorandum and articles of association.</w:t>
      </w:r>
    </w:p>
    <w:p>
      <w:pPr>
        <w:spacing w:after="0" w:line="1" w:lineRule="exact"/>
        <w:rPr>
          <w:rFonts w:ascii="Arial" w:cs="Arial" w:eastAsia="Arial" w:hAnsi="Arial"/>
          <w:sz w:val="20"/>
          <w:szCs w:val="20"/>
          <w:color w:val="auto"/>
          <w:vertAlign w:val="superscript"/>
        </w:rPr>
      </w:pPr>
    </w:p>
    <w:p>
      <w:pPr>
        <w:ind w:left="420" w:hanging="178"/>
        <w:spacing w:after="0" w:line="197" w:lineRule="auto"/>
        <w:tabs>
          <w:tab w:leader="none" w:pos="420" w:val="left"/>
        </w:tabs>
        <w:numPr>
          <w:ilvl w:val="0"/>
          <w:numId w:val="2"/>
        </w:numPr>
        <w:rPr>
          <w:rFonts w:ascii="Arial" w:cs="Arial" w:eastAsia="Arial" w:hAnsi="Arial"/>
          <w:sz w:val="20"/>
          <w:szCs w:val="20"/>
          <w:color w:val="auto"/>
          <w:vertAlign w:val="superscript"/>
        </w:rPr>
      </w:pPr>
      <w:r>
        <w:rPr>
          <w:rFonts w:ascii="Arial" w:cs="Arial" w:eastAsia="Arial" w:hAnsi="Arial"/>
          <w:sz w:val="13"/>
          <w:szCs w:val="13"/>
          <w:color w:val="auto"/>
        </w:rPr>
        <w:t>Includes up to 487,500 founder shares that are subject to forfeiture.</w:t>
      </w:r>
    </w:p>
    <w:p>
      <w:pPr>
        <w:spacing w:after="0" w:line="37" w:lineRule="exact"/>
        <w:rPr>
          <w:rFonts w:ascii="Arial" w:cs="Arial" w:eastAsia="Arial" w:hAnsi="Arial"/>
          <w:sz w:val="20"/>
          <w:szCs w:val="20"/>
          <w:color w:val="auto"/>
          <w:vertAlign w:val="superscript"/>
        </w:rPr>
      </w:pPr>
    </w:p>
    <w:p>
      <w:pPr>
        <w:ind w:left="420" w:hanging="178"/>
        <w:spacing w:after="0" w:line="198" w:lineRule="auto"/>
        <w:tabs>
          <w:tab w:leader="none" w:pos="420" w:val="left"/>
        </w:tabs>
        <w:numPr>
          <w:ilvl w:val="0"/>
          <w:numId w:val="2"/>
        </w:numPr>
        <w:rPr>
          <w:rFonts w:ascii="Arial" w:cs="Arial" w:eastAsia="Arial" w:hAnsi="Arial"/>
          <w:sz w:val="16"/>
          <w:szCs w:val="16"/>
          <w:color w:val="auto"/>
          <w:vertAlign w:val="superscript"/>
        </w:rPr>
      </w:pPr>
      <w:r>
        <w:rPr>
          <w:rFonts w:ascii="Arial" w:cs="Arial" w:eastAsia="Arial" w:hAnsi="Arial"/>
          <w:sz w:val="11"/>
          <w:szCs w:val="11"/>
          <w:color w:val="auto"/>
        </w:rPr>
        <w:t>Assumes no exercise of the underwriters’ over allotment option.</w:t>
      </w:r>
    </w:p>
    <w:p>
      <w:pPr>
        <w:spacing w:after="0" w:line="37" w:lineRule="exact"/>
        <w:rPr>
          <w:rFonts w:ascii="Arial" w:cs="Arial" w:eastAsia="Arial" w:hAnsi="Arial"/>
          <w:sz w:val="16"/>
          <w:szCs w:val="16"/>
          <w:color w:val="auto"/>
          <w:vertAlign w:val="superscript"/>
        </w:rPr>
      </w:pPr>
    </w:p>
    <w:p>
      <w:pPr>
        <w:ind w:left="420" w:right="459" w:hanging="178"/>
        <w:spacing w:after="0" w:line="181" w:lineRule="auto"/>
        <w:tabs>
          <w:tab w:leader="none" w:pos="420" w:val="left"/>
        </w:tabs>
        <w:numPr>
          <w:ilvl w:val="0"/>
          <w:numId w:val="2"/>
        </w:numPr>
        <w:rPr>
          <w:rFonts w:ascii="Arial" w:cs="Arial" w:eastAsia="Arial" w:hAnsi="Arial"/>
          <w:sz w:val="20"/>
          <w:szCs w:val="20"/>
          <w:color w:val="auto"/>
          <w:vertAlign w:val="superscript"/>
        </w:rPr>
      </w:pPr>
      <w:r>
        <w:rPr>
          <w:rFonts w:ascii="Arial" w:cs="Arial" w:eastAsia="Arial" w:hAnsi="Arial"/>
          <w:sz w:val="13"/>
          <w:szCs w:val="13"/>
          <w:color w:val="auto"/>
        </w:rPr>
        <w:t>Includes 13,000,000 public shares, 460,000 private placement shares and 3,250,000 founder shares, assuming 487,500 founder shares have been forfeited.</w:t>
      </w:r>
    </w:p>
    <w:p>
      <w:pPr>
        <w:spacing w:after="0" w:line="37" w:lineRule="exact"/>
        <w:rPr>
          <w:rFonts w:ascii="Arial" w:cs="Arial" w:eastAsia="Arial" w:hAnsi="Arial"/>
          <w:sz w:val="20"/>
          <w:szCs w:val="20"/>
          <w:color w:val="auto"/>
          <w:vertAlign w:val="superscript"/>
        </w:rPr>
      </w:pPr>
    </w:p>
    <w:p>
      <w:pPr>
        <w:ind w:left="420" w:right="379" w:hanging="178"/>
        <w:spacing w:after="0" w:line="181" w:lineRule="auto"/>
        <w:tabs>
          <w:tab w:leader="none" w:pos="420" w:val="left"/>
        </w:tabs>
        <w:numPr>
          <w:ilvl w:val="0"/>
          <w:numId w:val="2"/>
        </w:numPr>
        <w:rPr>
          <w:rFonts w:ascii="Arial" w:cs="Arial" w:eastAsia="Arial" w:hAnsi="Arial"/>
          <w:sz w:val="20"/>
          <w:szCs w:val="20"/>
          <w:color w:val="auto"/>
          <w:vertAlign w:val="superscript"/>
        </w:rPr>
      </w:pPr>
      <w:r>
        <w:rPr>
          <w:rFonts w:ascii="Arial" w:cs="Arial" w:eastAsia="Arial" w:hAnsi="Arial"/>
          <w:sz w:val="13"/>
          <w:szCs w:val="13"/>
          <w:color w:val="auto"/>
        </w:rPr>
        <w:t>Unlike other SPAC IPOs, investors in this offering will not receive warrants that would become exercisable following completion of our initial business combination.</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6306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0565" cy="663067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holders of a majority of our founder shares may</w:t>
      </w:r>
    </w:p>
    <w:p>
      <w:pPr>
        <w:ind w:left="4920"/>
        <w:spacing w:after="0" w:line="232" w:lineRule="auto"/>
        <w:rPr>
          <w:sz w:val="20"/>
          <w:szCs w:val="20"/>
          <w:color w:val="auto"/>
        </w:rPr>
      </w:pPr>
      <w:r>
        <w:rPr>
          <w:rFonts w:ascii="Arial" w:cs="Arial" w:eastAsia="Arial" w:hAnsi="Arial"/>
          <w:sz w:val="17"/>
          <w:szCs w:val="17"/>
          <w:color w:val="auto"/>
        </w:rPr>
        <w:t>remove a member of the board of directors for any</w:t>
      </w:r>
    </w:p>
    <w:p>
      <w:pPr>
        <w:ind w:left="4920"/>
        <w:spacing w:after="0"/>
        <w:rPr>
          <w:sz w:val="20"/>
          <w:szCs w:val="20"/>
          <w:color w:val="auto"/>
        </w:rPr>
      </w:pPr>
      <w:r>
        <w:rPr>
          <w:rFonts w:ascii="Arial" w:cs="Arial" w:eastAsia="Arial" w:hAnsi="Arial"/>
          <w:sz w:val="17"/>
          <w:szCs w:val="17"/>
          <w:color w:val="auto"/>
        </w:rPr>
        <w:t>reason;</w:t>
      </w:r>
    </w:p>
    <w:p>
      <w:pPr>
        <w:spacing w:after="0" w:line="95" w:lineRule="exact"/>
        <w:rPr>
          <w:sz w:val="20"/>
          <w:szCs w:val="20"/>
          <w:color w:val="auto"/>
        </w:rPr>
      </w:pPr>
    </w:p>
    <w:p>
      <w:pPr>
        <w:ind w:left="4560"/>
        <w:spacing w:after="0"/>
        <w:tabs>
          <w:tab w:leader="none" w:pos="49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the founder shares are subject to certain transfer</w:t>
      </w:r>
    </w:p>
    <w:p>
      <w:pPr>
        <w:ind w:left="4920"/>
        <w:spacing w:after="0"/>
        <w:rPr>
          <w:sz w:val="20"/>
          <w:szCs w:val="20"/>
          <w:color w:val="auto"/>
        </w:rPr>
      </w:pPr>
      <w:r>
        <w:rPr>
          <w:rFonts w:ascii="Arial" w:cs="Arial" w:eastAsia="Arial" w:hAnsi="Arial"/>
          <w:sz w:val="17"/>
          <w:szCs w:val="17"/>
          <w:color w:val="auto"/>
        </w:rPr>
        <w:t>restrictions, as described in more detail below;</w:t>
      </w:r>
    </w:p>
    <w:p>
      <w:pPr>
        <w:spacing w:after="0" w:line="95" w:lineRule="exact"/>
        <w:rPr>
          <w:sz w:val="20"/>
          <w:szCs w:val="20"/>
          <w:color w:val="auto"/>
        </w:rPr>
      </w:pPr>
    </w:p>
    <w:p>
      <w:pPr>
        <w:ind w:left="4560"/>
        <w:spacing w:after="0"/>
        <w:tabs>
          <w:tab w:leader="none" w:pos="49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our sponsor and our management team have</w:t>
      </w:r>
    </w:p>
    <w:p>
      <w:pPr>
        <w:ind w:left="4920"/>
        <w:spacing w:after="0" w:line="232" w:lineRule="auto"/>
        <w:rPr>
          <w:sz w:val="20"/>
          <w:szCs w:val="20"/>
          <w:color w:val="auto"/>
        </w:rPr>
      </w:pPr>
      <w:r>
        <w:rPr>
          <w:rFonts w:ascii="Arial" w:cs="Arial" w:eastAsia="Arial" w:hAnsi="Arial"/>
          <w:sz w:val="17"/>
          <w:szCs w:val="17"/>
          <w:color w:val="auto"/>
        </w:rPr>
        <w:t>entered into an agreement with us, pursuant to</w:t>
      </w:r>
    </w:p>
    <w:p>
      <w:pPr>
        <w:ind w:left="4920"/>
        <w:spacing w:after="0" w:line="232" w:lineRule="auto"/>
        <w:rPr>
          <w:sz w:val="20"/>
          <w:szCs w:val="20"/>
          <w:color w:val="auto"/>
        </w:rPr>
      </w:pPr>
      <w:r>
        <w:rPr>
          <w:rFonts w:ascii="Arial" w:cs="Arial" w:eastAsia="Arial" w:hAnsi="Arial"/>
          <w:sz w:val="17"/>
          <w:szCs w:val="17"/>
          <w:color w:val="auto"/>
        </w:rPr>
        <w:t>which they have agreed to (i) waive their redemption</w:t>
      </w:r>
    </w:p>
    <w:p>
      <w:pPr>
        <w:ind w:left="4920"/>
        <w:spacing w:after="0" w:line="232" w:lineRule="auto"/>
        <w:rPr>
          <w:sz w:val="20"/>
          <w:szCs w:val="20"/>
          <w:color w:val="auto"/>
        </w:rPr>
      </w:pPr>
      <w:r>
        <w:rPr>
          <w:rFonts w:ascii="Arial" w:cs="Arial" w:eastAsia="Arial" w:hAnsi="Arial"/>
          <w:sz w:val="17"/>
          <w:szCs w:val="17"/>
          <w:color w:val="auto"/>
        </w:rPr>
        <w:t>rights with respect to any founder shares, private</w:t>
      </w:r>
    </w:p>
    <w:p>
      <w:pPr>
        <w:ind w:left="4920"/>
        <w:spacing w:after="0" w:line="232" w:lineRule="auto"/>
        <w:rPr>
          <w:sz w:val="20"/>
          <w:szCs w:val="20"/>
          <w:color w:val="auto"/>
        </w:rPr>
      </w:pPr>
      <w:r>
        <w:rPr>
          <w:rFonts w:ascii="Arial" w:cs="Arial" w:eastAsia="Arial" w:hAnsi="Arial"/>
          <w:sz w:val="17"/>
          <w:szCs w:val="17"/>
          <w:color w:val="auto"/>
        </w:rPr>
        <w:t>placement shares and public shares they hold, (ii) to</w:t>
      </w:r>
    </w:p>
    <w:p>
      <w:pPr>
        <w:ind w:left="4920"/>
        <w:spacing w:after="0" w:line="232" w:lineRule="auto"/>
        <w:rPr>
          <w:sz w:val="20"/>
          <w:szCs w:val="20"/>
          <w:color w:val="auto"/>
        </w:rPr>
      </w:pPr>
      <w:r>
        <w:rPr>
          <w:rFonts w:ascii="Arial" w:cs="Arial" w:eastAsia="Arial" w:hAnsi="Arial"/>
          <w:sz w:val="17"/>
          <w:szCs w:val="17"/>
          <w:color w:val="auto"/>
        </w:rPr>
        <w:t>waive their redemption rights with respect to any</w:t>
      </w:r>
    </w:p>
    <w:p>
      <w:pPr>
        <w:ind w:left="4920"/>
        <w:spacing w:after="0" w:line="232" w:lineRule="auto"/>
        <w:rPr>
          <w:sz w:val="20"/>
          <w:szCs w:val="20"/>
          <w:color w:val="auto"/>
        </w:rPr>
      </w:pPr>
      <w:r>
        <w:rPr>
          <w:rFonts w:ascii="Arial" w:cs="Arial" w:eastAsia="Arial" w:hAnsi="Arial"/>
          <w:sz w:val="17"/>
          <w:szCs w:val="17"/>
          <w:color w:val="auto"/>
        </w:rPr>
        <w:t>founder shares, private placement shares and any</w:t>
      </w:r>
    </w:p>
    <w:p>
      <w:pPr>
        <w:ind w:left="4920"/>
        <w:spacing w:after="0" w:line="232" w:lineRule="auto"/>
        <w:rPr>
          <w:sz w:val="20"/>
          <w:szCs w:val="20"/>
          <w:color w:val="auto"/>
        </w:rPr>
      </w:pPr>
      <w:r>
        <w:rPr>
          <w:rFonts w:ascii="Arial" w:cs="Arial" w:eastAsia="Arial" w:hAnsi="Arial"/>
          <w:sz w:val="17"/>
          <w:szCs w:val="17"/>
          <w:color w:val="auto"/>
        </w:rPr>
        <w:t>public shares purchased during or after this offering</w:t>
      </w:r>
    </w:p>
    <w:p>
      <w:pPr>
        <w:ind w:left="4920"/>
        <w:spacing w:after="0" w:line="232" w:lineRule="auto"/>
        <w:rPr>
          <w:sz w:val="20"/>
          <w:szCs w:val="20"/>
          <w:color w:val="auto"/>
        </w:rPr>
      </w:pPr>
      <w:r>
        <w:rPr>
          <w:rFonts w:ascii="Arial" w:cs="Arial" w:eastAsia="Arial" w:hAnsi="Arial"/>
          <w:sz w:val="17"/>
          <w:szCs w:val="17"/>
          <w:color w:val="auto"/>
        </w:rPr>
        <w:t>in connection with a shareholder vote to approve an</w:t>
      </w:r>
    </w:p>
    <w:p>
      <w:pPr>
        <w:ind w:left="4920"/>
        <w:spacing w:after="0" w:line="232" w:lineRule="auto"/>
        <w:rPr>
          <w:sz w:val="20"/>
          <w:szCs w:val="20"/>
          <w:color w:val="auto"/>
        </w:rPr>
      </w:pPr>
      <w:r>
        <w:rPr>
          <w:rFonts w:ascii="Arial" w:cs="Arial" w:eastAsia="Arial" w:hAnsi="Arial"/>
          <w:sz w:val="17"/>
          <w:szCs w:val="17"/>
          <w:color w:val="auto"/>
        </w:rPr>
        <w:t>amendment to our amended and restated</w:t>
      </w:r>
    </w:p>
    <w:p>
      <w:pPr>
        <w:ind w:left="4920"/>
        <w:spacing w:after="0" w:line="232" w:lineRule="auto"/>
        <w:rPr>
          <w:sz w:val="20"/>
          <w:szCs w:val="20"/>
          <w:color w:val="auto"/>
        </w:rPr>
      </w:pPr>
      <w:r>
        <w:rPr>
          <w:rFonts w:ascii="Arial" w:cs="Arial" w:eastAsia="Arial" w:hAnsi="Arial"/>
          <w:sz w:val="17"/>
          <w:szCs w:val="17"/>
          <w:color w:val="auto"/>
        </w:rPr>
        <w:t>memorandum and articles of association (A) that</w:t>
      </w:r>
    </w:p>
    <w:p>
      <w:pPr>
        <w:ind w:left="4920"/>
        <w:spacing w:after="0" w:line="232" w:lineRule="auto"/>
        <w:rPr>
          <w:sz w:val="20"/>
          <w:szCs w:val="20"/>
          <w:color w:val="auto"/>
        </w:rPr>
      </w:pPr>
      <w:r>
        <w:rPr>
          <w:rFonts w:ascii="Arial" w:cs="Arial" w:eastAsia="Arial" w:hAnsi="Arial"/>
          <w:sz w:val="17"/>
          <w:szCs w:val="17"/>
          <w:color w:val="auto"/>
        </w:rPr>
        <w:t>would modify the substance or timing of our</w:t>
      </w:r>
    </w:p>
    <w:p>
      <w:pPr>
        <w:ind w:left="4920"/>
        <w:spacing w:after="0" w:line="232" w:lineRule="auto"/>
        <w:rPr>
          <w:sz w:val="20"/>
          <w:szCs w:val="20"/>
          <w:color w:val="auto"/>
        </w:rPr>
      </w:pPr>
      <w:r>
        <w:rPr>
          <w:rFonts w:ascii="Arial" w:cs="Arial" w:eastAsia="Arial" w:hAnsi="Arial"/>
          <w:sz w:val="17"/>
          <w:szCs w:val="17"/>
          <w:color w:val="auto"/>
        </w:rPr>
        <w:t>obligation to provide holders of our Class A ordinary</w:t>
      </w:r>
    </w:p>
    <w:p>
      <w:pPr>
        <w:ind w:left="4920"/>
        <w:spacing w:after="0" w:line="232" w:lineRule="auto"/>
        <w:rPr>
          <w:sz w:val="20"/>
          <w:szCs w:val="20"/>
          <w:color w:val="auto"/>
        </w:rPr>
      </w:pPr>
      <w:r>
        <w:rPr>
          <w:rFonts w:ascii="Arial" w:cs="Arial" w:eastAsia="Arial" w:hAnsi="Arial"/>
          <w:sz w:val="17"/>
          <w:szCs w:val="17"/>
          <w:color w:val="auto"/>
        </w:rPr>
        <w:t>shares the right to have their shares redeemed in</w:t>
      </w:r>
    </w:p>
    <w:p>
      <w:pPr>
        <w:ind w:left="4920"/>
        <w:spacing w:after="0" w:line="232" w:lineRule="auto"/>
        <w:rPr>
          <w:sz w:val="20"/>
          <w:szCs w:val="20"/>
          <w:color w:val="auto"/>
        </w:rPr>
      </w:pPr>
      <w:r>
        <w:rPr>
          <w:rFonts w:ascii="Arial" w:cs="Arial" w:eastAsia="Arial" w:hAnsi="Arial"/>
          <w:sz w:val="17"/>
          <w:szCs w:val="17"/>
          <w:color w:val="auto"/>
        </w:rPr>
        <w:t>connection with our initial business combination or</w:t>
      </w:r>
    </w:p>
    <w:p>
      <w:pPr>
        <w:ind w:left="4920"/>
        <w:spacing w:after="0" w:line="232" w:lineRule="auto"/>
        <w:rPr>
          <w:sz w:val="20"/>
          <w:szCs w:val="20"/>
          <w:color w:val="auto"/>
        </w:rPr>
      </w:pPr>
      <w:r>
        <w:rPr>
          <w:rFonts w:ascii="Arial" w:cs="Arial" w:eastAsia="Arial" w:hAnsi="Arial"/>
          <w:sz w:val="17"/>
          <w:szCs w:val="17"/>
          <w:color w:val="auto"/>
        </w:rPr>
        <w:t>to redeem 100% of our public shares if we do not</w:t>
      </w:r>
    </w:p>
    <w:p>
      <w:pPr>
        <w:ind w:left="4920"/>
        <w:spacing w:after="0" w:line="232" w:lineRule="auto"/>
        <w:rPr>
          <w:sz w:val="20"/>
          <w:szCs w:val="20"/>
          <w:color w:val="auto"/>
        </w:rPr>
      </w:pPr>
      <w:r>
        <w:rPr>
          <w:rFonts w:ascii="Arial" w:cs="Arial" w:eastAsia="Arial" w:hAnsi="Arial"/>
          <w:sz w:val="17"/>
          <w:szCs w:val="17"/>
          <w:color w:val="auto"/>
        </w:rPr>
        <w:t>complete our initial business combination within 24</w:t>
      </w:r>
    </w:p>
    <w:p>
      <w:pPr>
        <w:ind w:left="4920"/>
        <w:spacing w:after="0" w:line="232" w:lineRule="auto"/>
        <w:rPr>
          <w:sz w:val="20"/>
          <w:szCs w:val="20"/>
          <w:color w:val="auto"/>
        </w:rPr>
      </w:pPr>
      <w:r>
        <w:rPr>
          <w:rFonts w:ascii="Arial" w:cs="Arial" w:eastAsia="Arial" w:hAnsi="Arial"/>
          <w:sz w:val="17"/>
          <w:szCs w:val="17"/>
          <w:color w:val="auto"/>
        </w:rPr>
        <w:t>months from the closing of this offering or (B) with</w:t>
      </w:r>
    </w:p>
    <w:p>
      <w:pPr>
        <w:ind w:left="4920"/>
        <w:spacing w:after="0" w:line="232" w:lineRule="auto"/>
        <w:rPr>
          <w:sz w:val="20"/>
          <w:szCs w:val="20"/>
          <w:color w:val="auto"/>
        </w:rPr>
      </w:pPr>
      <w:r>
        <w:rPr>
          <w:rFonts w:ascii="Arial" w:cs="Arial" w:eastAsia="Arial" w:hAnsi="Arial"/>
          <w:sz w:val="17"/>
          <w:szCs w:val="17"/>
          <w:color w:val="auto"/>
        </w:rPr>
        <w:t>respect to any other provision relating to the rights</w:t>
      </w:r>
    </w:p>
    <w:p>
      <w:pPr>
        <w:ind w:left="4920"/>
        <w:spacing w:after="0" w:line="232" w:lineRule="auto"/>
        <w:rPr>
          <w:sz w:val="20"/>
          <w:szCs w:val="20"/>
          <w:color w:val="auto"/>
        </w:rPr>
      </w:pPr>
      <w:r>
        <w:rPr>
          <w:rFonts w:ascii="Arial" w:cs="Arial" w:eastAsia="Arial" w:hAnsi="Arial"/>
          <w:sz w:val="17"/>
          <w:szCs w:val="17"/>
          <w:color w:val="auto"/>
        </w:rPr>
        <w:t>of holders of our Class A ordinary shares and</w:t>
      </w:r>
    </w:p>
    <w:p>
      <w:pPr>
        <w:ind w:left="4920"/>
        <w:spacing w:after="0" w:line="233" w:lineRule="auto"/>
        <w:rPr>
          <w:sz w:val="20"/>
          <w:szCs w:val="20"/>
          <w:color w:val="auto"/>
        </w:rPr>
      </w:pPr>
      <w:r>
        <w:rPr>
          <w:rFonts w:ascii="Arial" w:cs="Arial" w:eastAsia="Arial" w:hAnsi="Arial"/>
          <w:sz w:val="17"/>
          <w:szCs w:val="17"/>
          <w:color w:val="auto"/>
        </w:rPr>
        <w:t>(iii) waive their rights to liquidating distributions from</w:t>
      </w:r>
    </w:p>
    <w:p>
      <w:pPr>
        <w:ind w:left="4920"/>
        <w:spacing w:after="0" w:line="232" w:lineRule="auto"/>
        <w:rPr>
          <w:sz w:val="20"/>
          <w:szCs w:val="20"/>
          <w:color w:val="auto"/>
        </w:rPr>
      </w:pPr>
      <w:r>
        <w:rPr>
          <w:rFonts w:ascii="Arial" w:cs="Arial" w:eastAsia="Arial" w:hAnsi="Arial"/>
          <w:sz w:val="17"/>
          <w:szCs w:val="17"/>
          <w:color w:val="auto"/>
        </w:rPr>
        <w:t>the trust account with respect to any founder shares</w:t>
      </w:r>
    </w:p>
    <w:p>
      <w:pPr>
        <w:ind w:left="4920"/>
        <w:spacing w:after="0" w:line="232" w:lineRule="auto"/>
        <w:rPr>
          <w:sz w:val="20"/>
          <w:szCs w:val="20"/>
          <w:color w:val="auto"/>
        </w:rPr>
      </w:pPr>
      <w:r>
        <w:rPr>
          <w:rFonts w:ascii="Arial" w:cs="Arial" w:eastAsia="Arial" w:hAnsi="Arial"/>
          <w:sz w:val="17"/>
          <w:szCs w:val="17"/>
          <w:color w:val="auto"/>
        </w:rPr>
        <w:t>or private placement shares they hold if we fail to</w:t>
      </w:r>
    </w:p>
    <w:p>
      <w:pPr>
        <w:ind w:left="4920"/>
        <w:spacing w:after="0" w:line="232" w:lineRule="auto"/>
        <w:rPr>
          <w:sz w:val="20"/>
          <w:szCs w:val="20"/>
          <w:color w:val="auto"/>
        </w:rPr>
      </w:pPr>
      <w:r>
        <w:rPr>
          <w:rFonts w:ascii="Arial" w:cs="Arial" w:eastAsia="Arial" w:hAnsi="Arial"/>
          <w:sz w:val="17"/>
          <w:szCs w:val="17"/>
          <w:color w:val="auto"/>
        </w:rPr>
        <w:t>consummate an initial business combination within</w:t>
      </w:r>
    </w:p>
    <w:p>
      <w:pPr>
        <w:ind w:left="4920"/>
        <w:spacing w:after="0" w:line="232" w:lineRule="auto"/>
        <w:rPr>
          <w:sz w:val="20"/>
          <w:szCs w:val="20"/>
          <w:color w:val="auto"/>
        </w:rPr>
      </w:pPr>
      <w:r>
        <w:rPr>
          <w:rFonts w:ascii="Arial" w:cs="Arial" w:eastAsia="Arial" w:hAnsi="Arial"/>
          <w:sz w:val="17"/>
          <w:szCs w:val="17"/>
          <w:color w:val="auto"/>
        </w:rPr>
        <w:t>24 months from the closing of this offering (although</w:t>
      </w:r>
    </w:p>
    <w:p>
      <w:pPr>
        <w:ind w:left="4920"/>
        <w:spacing w:after="0" w:line="232" w:lineRule="auto"/>
        <w:rPr>
          <w:sz w:val="20"/>
          <w:szCs w:val="20"/>
          <w:color w:val="auto"/>
        </w:rPr>
      </w:pPr>
      <w:r>
        <w:rPr>
          <w:rFonts w:ascii="Arial" w:cs="Arial" w:eastAsia="Arial" w:hAnsi="Arial"/>
          <w:sz w:val="17"/>
          <w:szCs w:val="17"/>
          <w:color w:val="auto"/>
        </w:rPr>
        <w:t>they will be entitled to liquidating distributions from</w:t>
      </w:r>
    </w:p>
    <w:p>
      <w:pPr>
        <w:ind w:left="4920"/>
        <w:spacing w:after="0" w:line="232" w:lineRule="auto"/>
        <w:rPr>
          <w:sz w:val="20"/>
          <w:szCs w:val="20"/>
          <w:color w:val="auto"/>
        </w:rPr>
      </w:pPr>
      <w:r>
        <w:rPr>
          <w:rFonts w:ascii="Arial" w:cs="Arial" w:eastAsia="Arial" w:hAnsi="Arial"/>
          <w:sz w:val="17"/>
          <w:szCs w:val="17"/>
          <w:color w:val="auto"/>
        </w:rPr>
        <w:t>the trust account with respect to any public shares</w:t>
      </w:r>
    </w:p>
    <w:p>
      <w:pPr>
        <w:ind w:left="4920"/>
        <w:spacing w:after="0" w:line="232" w:lineRule="auto"/>
        <w:rPr>
          <w:sz w:val="20"/>
          <w:szCs w:val="20"/>
          <w:color w:val="auto"/>
        </w:rPr>
      </w:pPr>
      <w:r>
        <w:rPr>
          <w:rFonts w:ascii="Arial" w:cs="Arial" w:eastAsia="Arial" w:hAnsi="Arial"/>
          <w:sz w:val="17"/>
          <w:szCs w:val="17"/>
          <w:color w:val="auto"/>
        </w:rPr>
        <w:t>they hold if we fail to complete our initial business</w:t>
      </w:r>
    </w:p>
    <w:p>
      <w:pPr>
        <w:ind w:left="4920"/>
        <w:spacing w:after="0" w:line="232" w:lineRule="auto"/>
        <w:rPr>
          <w:sz w:val="20"/>
          <w:szCs w:val="20"/>
          <w:color w:val="auto"/>
        </w:rPr>
      </w:pPr>
      <w:r>
        <w:rPr>
          <w:rFonts w:ascii="Arial" w:cs="Arial" w:eastAsia="Arial" w:hAnsi="Arial"/>
          <w:sz w:val="17"/>
          <w:szCs w:val="17"/>
          <w:color w:val="auto"/>
        </w:rPr>
        <w:t>combination within 24 months from the closing of</w:t>
      </w:r>
    </w:p>
    <w:p>
      <w:pPr>
        <w:ind w:left="4920"/>
        <w:spacing w:after="0" w:line="232" w:lineRule="auto"/>
        <w:rPr>
          <w:sz w:val="20"/>
          <w:szCs w:val="20"/>
          <w:color w:val="auto"/>
        </w:rPr>
      </w:pPr>
      <w:r>
        <w:rPr>
          <w:rFonts w:ascii="Arial" w:cs="Arial" w:eastAsia="Arial" w:hAnsi="Arial"/>
          <w:sz w:val="17"/>
          <w:szCs w:val="17"/>
          <w:color w:val="auto"/>
        </w:rPr>
        <w:t>this offering). If we seek shareholder approval, we</w:t>
      </w:r>
    </w:p>
    <w:p>
      <w:pPr>
        <w:ind w:left="4920"/>
        <w:spacing w:after="0" w:line="232" w:lineRule="auto"/>
        <w:rPr>
          <w:sz w:val="20"/>
          <w:szCs w:val="20"/>
          <w:color w:val="auto"/>
        </w:rPr>
      </w:pPr>
      <w:r>
        <w:rPr>
          <w:rFonts w:ascii="Arial" w:cs="Arial" w:eastAsia="Arial" w:hAnsi="Arial"/>
          <w:sz w:val="17"/>
          <w:szCs w:val="17"/>
          <w:color w:val="auto"/>
        </w:rPr>
        <w:t>will complete our initial business combination only if</w:t>
      </w:r>
    </w:p>
    <w:p>
      <w:pPr>
        <w:ind w:left="4920"/>
        <w:spacing w:after="0" w:line="232" w:lineRule="auto"/>
        <w:rPr>
          <w:sz w:val="20"/>
          <w:szCs w:val="20"/>
          <w:color w:val="auto"/>
        </w:rPr>
      </w:pPr>
      <w:r>
        <w:rPr>
          <w:rFonts w:ascii="Arial" w:cs="Arial" w:eastAsia="Arial" w:hAnsi="Arial"/>
          <w:sz w:val="17"/>
          <w:szCs w:val="17"/>
          <w:color w:val="auto"/>
        </w:rPr>
        <w:t>a majority of the ordinary shares, represented in</w:t>
      </w:r>
    </w:p>
    <w:p>
      <w:pPr>
        <w:ind w:left="4920"/>
        <w:spacing w:after="0" w:line="232" w:lineRule="auto"/>
        <w:rPr>
          <w:sz w:val="20"/>
          <w:szCs w:val="20"/>
          <w:color w:val="auto"/>
        </w:rPr>
      </w:pPr>
      <w:r>
        <w:rPr>
          <w:rFonts w:ascii="Arial" w:cs="Arial" w:eastAsia="Arial" w:hAnsi="Arial"/>
          <w:sz w:val="17"/>
          <w:szCs w:val="17"/>
          <w:color w:val="auto"/>
        </w:rPr>
        <w:t>person or by proxy and entitled to vote thereon,</w:t>
      </w:r>
    </w:p>
    <w:p>
      <w:pPr>
        <w:ind w:left="4920"/>
        <w:spacing w:after="0" w:line="232" w:lineRule="auto"/>
        <w:rPr>
          <w:sz w:val="20"/>
          <w:szCs w:val="20"/>
          <w:color w:val="auto"/>
        </w:rPr>
      </w:pPr>
      <w:r>
        <w:rPr>
          <w:rFonts w:ascii="Arial" w:cs="Arial" w:eastAsia="Arial" w:hAnsi="Arial"/>
          <w:sz w:val="17"/>
          <w:szCs w:val="17"/>
          <w:color w:val="auto"/>
        </w:rPr>
        <w:t>voted at a shareholder meeting are voted in favor of</w:t>
      </w:r>
    </w:p>
    <w:p>
      <w:pPr>
        <w:ind w:left="4920"/>
        <w:spacing w:after="0" w:line="232" w:lineRule="auto"/>
        <w:rPr>
          <w:sz w:val="20"/>
          <w:szCs w:val="20"/>
          <w:color w:val="auto"/>
        </w:rPr>
      </w:pPr>
      <w:r>
        <w:rPr>
          <w:rFonts w:ascii="Arial" w:cs="Arial" w:eastAsia="Arial" w:hAnsi="Arial"/>
          <w:sz w:val="17"/>
          <w:szCs w:val="17"/>
          <w:color w:val="auto"/>
        </w:rPr>
        <w:t>the business combination. In such case, our</w:t>
      </w:r>
    </w:p>
    <w:p>
      <w:pPr>
        <w:ind w:left="4920"/>
        <w:spacing w:after="0" w:line="232" w:lineRule="auto"/>
        <w:rPr>
          <w:sz w:val="20"/>
          <w:szCs w:val="20"/>
          <w:color w:val="auto"/>
        </w:rPr>
      </w:pPr>
      <w:r>
        <w:rPr>
          <w:rFonts w:ascii="Arial" w:cs="Arial" w:eastAsia="Arial" w:hAnsi="Arial"/>
          <w:sz w:val="17"/>
          <w:szCs w:val="17"/>
          <w:color w:val="auto"/>
        </w:rPr>
        <w:t>sponsor and each member of our management</w:t>
      </w:r>
    </w:p>
    <w:p>
      <w:pPr>
        <w:ind w:left="4920"/>
        <w:spacing w:after="0" w:line="232" w:lineRule="auto"/>
        <w:rPr>
          <w:sz w:val="20"/>
          <w:szCs w:val="20"/>
          <w:color w:val="auto"/>
        </w:rPr>
      </w:pPr>
      <w:r>
        <w:rPr>
          <w:rFonts w:ascii="Arial" w:cs="Arial" w:eastAsia="Arial" w:hAnsi="Arial"/>
          <w:sz w:val="17"/>
          <w:szCs w:val="17"/>
          <w:color w:val="auto"/>
        </w:rPr>
        <w:t>team have agreed to vote their founder shares,</w:t>
      </w:r>
    </w:p>
    <w:p>
      <w:pPr>
        <w:ind w:left="4920"/>
        <w:spacing w:after="0" w:line="232" w:lineRule="auto"/>
        <w:rPr>
          <w:sz w:val="20"/>
          <w:szCs w:val="20"/>
          <w:color w:val="auto"/>
        </w:rPr>
      </w:pPr>
      <w:r>
        <w:rPr>
          <w:rFonts w:ascii="Arial" w:cs="Arial" w:eastAsia="Arial" w:hAnsi="Arial"/>
          <w:sz w:val="17"/>
          <w:szCs w:val="17"/>
          <w:color w:val="auto"/>
        </w:rPr>
        <w:t>private placement shares and any public shares</w:t>
      </w:r>
    </w:p>
    <w:p>
      <w:pPr>
        <w:ind w:left="4920"/>
        <w:spacing w:after="0" w:line="232" w:lineRule="auto"/>
        <w:rPr>
          <w:sz w:val="20"/>
          <w:szCs w:val="20"/>
          <w:color w:val="auto"/>
        </w:rPr>
      </w:pPr>
      <w:r>
        <w:rPr>
          <w:rFonts w:ascii="Arial" w:cs="Arial" w:eastAsia="Arial" w:hAnsi="Arial"/>
          <w:sz w:val="17"/>
          <w:szCs w:val="17"/>
          <w:color w:val="auto"/>
        </w:rPr>
        <w:t>purchased during or after this offering in favor of our</w:t>
      </w:r>
    </w:p>
    <w:p>
      <w:pPr>
        <w:ind w:left="4920"/>
        <w:spacing w:after="0" w:line="233" w:lineRule="auto"/>
        <w:rPr>
          <w:sz w:val="20"/>
          <w:szCs w:val="20"/>
          <w:color w:val="auto"/>
        </w:rPr>
      </w:pPr>
      <w:r>
        <w:rPr>
          <w:rFonts w:ascii="Arial" w:cs="Arial" w:eastAsia="Arial" w:hAnsi="Arial"/>
          <w:sz w:val="17"/>
          <w:szCs w:val="17"/>
          <w:color w:val="auto"/>
        </w:rPr>
        <w:t>initial business combination. As a result, in addition</w:t>
      </w:r>
    </w:p>
    <w:p>
      <w:pPr>
        <w:ind w:left="4920"/>
        <w:spacing w:after="0" w:line="232" w:lineRule="auto"/>
        <w:rPr>
          <w:sz w:val="20"/>
          <w:szCs w:val="20"/>
          <w:color w:val="auto"/>
        </w:rPr>
      </w:pPr>
      <w:r>
        <w:rPr>
          <w:rFonts w:ascii="Arial" w:cs="Arial" w:eastAsia="Arial" w:hAnsi="Arial"/>
          <w:sz w:val="17"/>
          <w:szCs w:val="17"/>
          <w:color w:val="auto"/>
        </w:rPr>
        <w:t>to our initial shareholders’ founder shares and</w:t>
      </w:r>
    </w:p>
    <w:p>
      <w:pPr>
        <w:ind w:left="4920"/>
        <w:spacing w:after="0" w:line="232" w:lineRule="auto"/>
        <w:rPr>
          <w:sz w:val="20"/>
          <w:szCs w:val="20"/>
          <w:color w:val="auto"/>
        </w:rPr>
      </w:pPr>
      <w:r>
        <w:rPr>
          <w:rFonts w:ascii="Arial" w:cs="Arial" w:eastAsia="Arial" w:hAnsi="Arial"/>
          <w:sz w:val="17"/>
          <w:szCs w:val="17"/>
          <w:color w:val="auto"/>
        </w:rPr>
        <w:t>private placement shares, we would need</w:t>
      </w:r>
    </w:p>
    <w:p>
      <w:pPr>
        <w:ind w:left="4920"/>
        <w:spacing w:after="0" w:line="232" w:lineRule="auto"/>
        <w:rPr>
          <w:sz w:val="20"/>
          <w:szCs w:val="20"/>
          <w:color w:val="auto"/>
        </w:rPr>
      </w:pPr>
      <w:r>
        <w:rPr>
          <w:rFonts w:ascii="Arial" w:cs="Arial" w:eastAsia="Arial" w:hAnsi="Arial"/>
          <w:sz w:val="17"/>
          <w:szCs w:val="17"/>
          <w:color w:val="auto"/>
        </w:rPr>
        <w:t>4,645,001, or 35.73%, of the 13,000,000 public</w:t>
      </w:r>
    </w:p>
    <w:p>
      <w:pPr>
        <w:ind w:left="4920"/>
        <w:spacing w:after="0" w:line="232" w:lineRule="auto"/>
        <w:rPr>
          <w:sz w:val="20"/>
          <w:szCs w:val="20"/>
          <w:color w:val="auto"/>
        </w:rPr>
      </w:pPr>
      <w:r>
        <w:rPr>
          <w:rFonts w:ascii="Arial" w:cs="Arial" w:eastAsia="Arial" w:hAnsi="Arial"/>
          <w:sz w:val="17"/>
          <w:szCs w:val="17"/>
          <w:color w:val="auto"/>
        </w:rPr>
        <w:t>shares sold in this offering to be voted in favor of an</w:t>
      </w:r>
    </w:p>
    <w:p>
      <w:pPr>
        <w:ind w:left="4920"/>
        <w:spacing w:after="0" w:line="232" w:lineRule="auto"/>
        <w:rPr>
          <w:sz w:val="20"/>
          <w:szCs w:val="20"/>
          <w:color w:val="auto"/>
        </w:rPr>
      </w:pPr>
      <w:r>
        <w:rPr>
          <w:rFonts w:ascii="Arial" w:cs="Arial" w:eastAsia="Arial" w:hAnsi="Arial"/>
          <w:sz w:val="17"/>
          <w:szCs w:val="17"/>
          <w:color w:val="auto"/>
        </w:rPr>
        <w:t>initial business combination in order to have our</w:t>
      </w:r>
    </w:p>
    <w:p>
      <w:pPr>
        <w:ind w:left="4920"/>
        <w:spacing w:after="0"/>
        <w:rPr>
          <w:sz w:val="20"/>
          <w:szCs w:val="20"/>
          <w:color w:val="auto"/>
        </w:rPr>
      </w:pPr>
      <w:r>
        <w:rPr>
          <w:rFonts w:ascii="Arial" w:cs="Arial" w:eastAsia="Arial" w:hAnsi="Arial"/>
          <w:sz w:val="17"/>
          <w:szCs w:val="17"/>
          <w:color w:val="auto"/>
        </w:rPr>
        <w:t>initial business combination approved (assuming all</w:t>
      </w: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767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0565" cy="6767830"/>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0" w:right="80" w:hanging="179"/>
        <w:spacing w:after="0" w:line="267" w:lineRule="auto"/>
        <w:rPr>
          <w:sz w:val="20"/>
          <w:szCs w:val="20"/>
          <w:color w:val="auto"/>
        </w:rPr>
      </w:pPr>
      <w:r>
        <w:rPr>
          <w:rFonts w:ascii="Arial" w:cs="Arial" w:eastAsia="Arial" w:hAnsi="Arial"/>
          <w:sz w:val="17"/>
          <w:szCs w:val="17"/>
          <w:b w:val="1"/>
          <w:bCs w:val="1"/>
          <w:color w:val="auto"/>
        </w:rPr>
        <w:t>Transfer restrictions on founder shares and private placement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40"/>
        <w:spacing w:after="0" w:line="267" w:lineRule="auto"/>
        <w:rPr>
          <w:sz w:val="20"/>
          <w:szCs w:val="20"/>
          <w:color w:val="auto"/>
        </w:rPr>
      </w:pPr>
      <w:r>
        <w:rPr>
          <w:rFonts w:ascii="Arial" w:cs="Arial" w:eastAsia="Arial" w:hAnsi="Arial"/>
          <w:sz w:val="17"/>
          <w:szCs w:val="17"/>
          <w:b w:val="1"/>
          <w:bCs w:val="1"/>
          <w:color w:val="auto"/>
        </w:rPr>
        <w:t>Founder shares conversion and anti-dilution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360" w:right="179"/>
        <w:spacing w:after="0" w:line="236" w:lineRule="auto"/>
        <w:rPr>
          <w:sz w:val="20"/>
          <w:szCs w:val="20"/>
          <w:color w:val="auto"/>
        </w:rPr>
      </w:pPr>
      <w:r>
        <w:rPr>
          <w:rFonts w:ascii="Arial" w:cs="Arial" w:eastAsia="Arial" w:hAnsi="Arial"/>
          <w:sz w:val="17"/>
          <w:szCs w:val="17"/>
          <w:color w:val="auto"/>
        </w:rPr>
        <w:t>issued and outstanding shares are voted, the private placement shares to be issued to our sponsor are voted in favor of the transaction and the over-allotment option is not exercised);</w:t>
      </w:r>
    </w:p>
    <w:p>
      <w:pPr>
        <w:spacing w:after="0" w:line="95" w:lineRule="exact"/>
        <w:rPr>
          <w:sz w:val="20"/>
          <w:szCs w:val="20"/>
          <w:color w:val="auto"/>
        </w:rPr>
      </w:pPr>
    </w:p>
    <w:p>
      <w:pPr>
        <w:ind w:left="360" w:right="239" w:hanging="358"/>
        <w:spacing w:after="0" w:line="235" w:lineRule="auto"/>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founder shares will automatically convert into our Class A ordinary shares at the time of our initial business combination as described below adjacent to the caption “Founder shares conversion and anti-dilution rights” and in our amended and restated memorandum and articles of association; and</w:t>
      </w:r>
    </w:p>
    <w:p>
      <w:pPr>
        <w:spacing w:after="0" w:line="93" w:lineRule="exact"/>
        <w:rPr>
          <w:rFonts w:ascii="Arial" w:cs="Arial" w:eastAsia="Arial" w:hAnsi="Arial"/>
          <w:sz w:val="17"/>
          <w:szCs w:val="17"/>
          <w:color w:val="auto"/>
        </w:rPr>
      </w:pPr>
    </w:p>
    <w:p>
      <w:pPr>
        <w:ind w:left="360" w:hanging="358"/>
        <w:spacing w:after="0"/>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founder shares are entitled to registration rights.</w:t>
      </w:r>
    </w:p>
    <w:p>
      <w:pPr>
        <w:spacing w:after="0" w:line="264" w:lineRule="exact"/>
        <w:rPr>
          <w:sz w:val="20"/>
          <w:szCs w:val="20"/>
          <w:color w:val="auto"/>
        </w:rPr>
      </w:pPr>
    </w:p>
    <w:p>
      <w:pPr>
        <w:ind w:right="199"/>
        <w:spacing w:after="0" w:line="232" w:lineRule="auto"/>
        <w:rPr>
          <w:sz w:val="20"/>
          <w:szCs w:val="20"/>
          <w:color w:val="auto"/>
        </w:rPr>
      </w:pPr>
      <w:r>
        <w:rPr>
          <w:rFonts w:ascii="Arial" w:cs="Arial" w:eastAsia="Arial" w:hAnsi="Arial"/>
          <w:sz w:val="17"/>
          <w:szCs w:val="17"/>
          <w:color w:val="auto"/>
        </w:rPr>
        <w:t>Except as described herein, our sponsor and our management team have agreed not to transfer, assign or sell (i) any of their founder shares until the earliest of</w:t>
      </w:r>
    </w:p>
    <w:p>
      <w:pPr>
        <w:ind w:right="219" w:firstLine="2"/>
        <w:spacing w:after="0" w:line="233" w:lineRule="auto"/>
        <w:tabs>
          <w:tab w:leader="none" w:pos="275" w:val="left"/>
        </w:tabs>
        <w:numPr>
          <w:ilvl w:val="0"/>
          <w:numId w:val="4"/>
        </w:numPr>
        <w:rPr>
          <w:rFonts w:ascii="Arial" w:cs="Arial" w:eastAsia="Arial" w:hAnsi="Arial"/>
          <w:sz w:val="17"/>
          <w:szCs w:val="17"/>
          <w:color w:val="auto"/>
        </w:rPr>
      </w:pPr>
      <w:r>
        <w:rPr>
          <w:rFonts w:ascii="Arial" w:cs="Arial" w:eastAsia="Arial" w:hAnsi="Arial"/>
          <w:sz w:val="17"/>
          <w:szCs w:val="17"/>
          <w:color w:val="auto"/>
        </w:rPr>
        <w:t>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and (ii) any of their private placement shares until 30 days after the completion of our initial business combination. Any permitted transferees would be subject to the same restrictions and other agreements of our sponsor and management team with respect to any founder shares and private placement shares.</w:t>
      </w:r>
    </w:p>
    <w:p>
      <w:pPr>
        <w:spacing w:after="0" w:line="296" w:lineRule="exact"/>
        <w:rPr>
          <w:sz w:val="20"/>
          <w:szCs w:val="20"/>
          <w:color w:val="auto"/>
        </w:rPr>
      </w:pPr>
    </w:p>
    <w:p>
      <w:pPr>
        <w:ind w:right="239"/>
        <w:spacing w:after="0" w:line="232" w:lineRule="auto"/>
        <w:rPr>
          <w:sz w:val="20"/>
          <w:szCs w:val="20"/>
          <w:color w:val="auto"/>
        </w:rPr>
      </w:pPr>
      <w:r>
        <w:rPr>
          <w:rFonts w:ascii="Arial" w:cs="Arial" w:eastAsia="Arial" w:hAnsi="Arial"/>
          <w:sz w:val="17"/>
          <w:szCs w:val="17"/>
          <w:color w:val="auto"/>
        </w:rPr>
        <w:t>The founder shares are designated as Class B ordinary shares and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the consummation of this offering, plus</w:t>
      </w:r>
    </w:p>
    <w:p>
      <w:pPr>
        <w:ind w:right="179" w:firstLine="2"/>
        <w:spacing w:after="0" w:line="235" w:lineRule="auto"/>
        <w:tabs>
          <w:tab w:leader="none" w:pos="237"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sum of the total number of Class A ordinary shares issued or deemed issued or issuable upon conversion or exercise of any equity-linked securities (as defined herein) or rights issued or deemed issued, by the Company in connection with or in relation to the consummation of the initial</w:t>
      </w:r>
    </w:p>
    <w:p>
      <w:pPr>
        <w:spacing w:after="0" w:line="200" w:lineRule="exact"/>
        <w:rPr>
          <w:sz w:val="20"/>
          <w:szCs w:val="20"/>
          <w:color w:val="auto"/>
        </w:rPr>
      </w:pPr>
    </w:p>
    <w:p>
      <w:pPr>
        <w:sectPr>
          <w:pgSz w:w="11900" w:h="16838" w:orient="portrait"/>
          <w:cols w:equalWidth="0" w:num="2">
            <w:col w:w="3860" w:space="700"/>
            <w:col w:w="4499"/>
          </w:cols>
          <w:pgMar w:left="1400" w:top="265" w:right="1440" w:bottom="1440" w:gutter="0" w:footer="0" w:header="0"/>
          <w:type w:val="continuous"/>
        </w:sect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7932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0565" cy="6793230"/>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Election of directors;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Private placement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right="219"/>
        <w:spacing w:after="0" w:line="233" w:lineRule="auto"/>
        <w:rPr>
          <w:sz w:val="20"/>
          <w:szCs w:val="20"/>
          <w:color w:val="auto"/>
        </w:rPr>
      </w:pPr>
      <w:r>
        <w:rPr>
          <w:rFonts w:ascii="Arial" w:cs="Arial" w:eastAsia="Arial" w:hAnsi="Arial"/>
          <w:sz w:val="17"/>
          <w:szCs w:val="17"/>
          <w:color w:val="auto"/>
        </w:rPr>
        <w:t>business combination, excluding any Class A ordinary shares or equity-linked securities exercisable for or convertible into Class A ordinary shares issued, deemed issued, or to be issued, to any seller in the initial business combination and any private placement shares issued to our sponsor, members of our management team or any of their affiliates upon conversion of working capital loans. Any conversion of Class B ordinary shares described herein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97" w:lineRule="exact"/>
        <w:rPr>
          <w:sz w:val="20"/>
          <w:szCs w:val="20"/>
          <w:color w:val="auto"/>
        </w:rPr>
      </w:pPr>
    </w:p>
    <w:p>
      <w:pPr>
        <w:ind w:right="319"/>
        <w:spacing w:after="0" w:line="235" w:lineRule="auto"/>
        <w:rPr>
          <w:sz w:val="20"/>
          <w:szCs w:val="20"/>
          <w:color w:val="auto"/>
        </w:rPr>
      </w:pPr>
      <w:r>
        <w:rPr>
          <w:rFonts w:ascii="Arial" w:cs="Arial" w:eastAsia="Arial" w:hAnsi="Arial"/>
          <w:sz w:val="17"/>
          <w:szCs w:val="17"/>
          <w:color w:val="auto"/>
        </w:rPr>
        <w:t>The term “equity-linked securities” refers to any debt or equity securities that are convertible, exercisable or exchangeable for our Class A ordinary shares issued in a financing transaction in connection with our initial business combination, including, but not limited to, a private placement of equity or debt.</w:t>
      </w:r>
    </w:p>
    <w:p>
      <w:pPr>
        <w:spacing w:after="0" w:line="107" w:lineRule="exact"/>
        <w:rPr>
          <w:sz w:val="20"/>
          <w:szCs w:val="20"/>
          <w:color w:val="auto"/>
        </w:rPr>
      </w:pPr>
    </w:p>
    <w:p>
      <w:pPr>
        <w:ind w:right="179"/>
        <w:spacing w:after="0"/>
        <w:rPr>
          <w:sz w:val="20"/>
          <w:szCs w:val="20"/>
          <w:color w:val="auto"/>
        </w:rPr>
      </w:pPr>
      <w:r>
        <w:rPr>
          <w:rFonts w:ascii="Arial" w:cs="Arial" w:eastAsia="Arial" w:hAnsi="Arial"/>
          <w:sz w:val="17"/>
          <w:szCs w:val="17"/>
          <w:color w:val="auto"/>
        </w:rPr>
        <w:t>Prior to the completion of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holders representing at least two-thirds of our outstanding Class B ordinary shares. With respect to any other matter submitted to a vote of our shareholders, including any vote in connection with our initial business combination, except as required by law or the applicable rules of Nasdaq then in effect, holders of our founder shares and holders of our public shares will vote together as a single class, with each share entitling the holder to one vote.</w:t>
      </w:r>
    </w:p>
    <w:p>
      <w:pPr>
        <w:spacing w:after="0" w:line="174" w:lineRule="exact"/>
        <w:rPr>
          <w:sz w:val="20"/>
          <w:szCs w:val="20"/>
          <w:color w:val="auto"/>
        </w:rPr>
      </w:pPr>
    </w:p>
    <w:p>
      <w:pPr>
        <w:ind w:right="199"/>
        <w:spacing w:after="0" w:line="235" w:lineRule="auto"/>
        <w:rPr>
          <w:sz w:val="20"/>
          <w:szCs w:val="20"/>
          <w:color w:val="auto"/>
        </w:rPr>
      </w:pPr>
      <w:r>
        <w:rPr>
          <w:rFonts w:ascii="Arial" w:cs="Arial" w:eastAsia="Arial" w:hAnsi="Arial"/>
          <w:sz w:val="17"/>
          <w:szCs w:val="17"/>
          <w:color w:val="auto"/>
        </w:rPr>
        <w:t>Our amended and restated memorandum and articles of association will provide that our board of directors will be divided into three classes with only one class of directors being elected in each year and each class (except for those directors appointed prior to our first annual meeting of shareholders) serving a three-year term.</w:t>
      </w:r>
    </w:p>
    <w:p>
      <w:pPr>
        <w:spacing w:after="0" w:line="121" w:lineRule="exact"/>
        <w:rPr>
          <w:sz w:val="20"/>
          <w:szCs w:val="20"/>
          <w:color w:val="auto"/>
        </w:rPr>
      </w:pPr>
    </w:p>
    <w:p>
      <w:pPr>
        <w:ind w:right="179"/>
        <w:spacing w:after="0" w:line="235" w:lineRule="auto"/>
        <w:rPr>
          <w:sz w:val="20"/>
          <w:szCs w:val="20"/>
          <w:color w:val="auto"/>
        </w:rPr>
      </w:pPr>
      <w:r>
        <w:rPr>
          <w:rFonts w:ascii="Arial" w:cs="Arial" w:eastAsia="Arial" w:hAnsi="Arial"/>
          <w:sz w:val="17"/>
          <w:szCs w:val="17"/>
          <w:color w:val="auto"/>
        </w:rPr>
        <w:t>Our sponsor has committed, pursuant to a written agreement, to purchase 460,000 private placement shares (or 499,000 private placement shares if the underwriters’ over-allotment option is exercised in full), at a price of $10.00 per share ($4,600,000 in the</w:t>
      </w:r>
    </w:p>
    <w:p>
      <w:pPr>
        <w:spacing w:after="0" w:line="200" w:lineRule="exact"/>
        <w:rPr>
          <w:sz w:val="20"/>
          <w:szCs w:val="20"/>
          <w:color w:val="auto"/>
        </w:rPr>
      </w:pPr>
    </w:p>
    <w:p>
      <w:pPr>
        <w:sectPr>
          <w:pgSz w:w="11900" w:h="16838" w:orient="portrait"/>
          <w:cols w:equalWidth="0" w:num="2">
            <w:col w:w="3840" w:space="720"/>
            <w:col w:w="4499"/>
          </w:cols>
          <w:pgMar w:left="1400" w:top="265" w:right="1440" w:bottom="1440" w:gutter="0" w:footer="0" w:header="0"/>
          <w:type w:val="continuous"/>
        </w:sect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type w:val="continuous"/>
        </w:sectPr>
      </w:pPr>
    </w:p>
    <w:bookmarkStart w:id="15" w:name="page16"/>
    <w:bookmarkEnd w:id="15"/>
    <w:p>
      <w:pPr>
        <w:ind w:left="96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37"/>
        </w:trPr>
        <w:tc>
          <w:tcPr>
            <w:tcW w:w="980" w:type="dxa"/>
            <w:vAlign w:val="bottom"/>
            <w:tcBorders>
              <w:right w:val="single" w:sz="8" w:color="auto"/>
            </w:tcBorders>
          </w:tcPr>
          <w:p>
            <w:pPr>
              <w:spacing w:after="0"/>
              <w:rPr>
                <w:sz w:val="24"/>
                <w:szCs w:val="24"/>
                <w:color w:val="auto"/>
              </w:rPr>
            </w:pPr>
          </w:p>
        </w:tc>
        <w:tc>
          <w:tcPr>
            <w:tcW w:w="3800" w:type="dxa"/>
            <w:vAlign w:val="bottom"/>
            <w:tcBorders>
              <w:top w:val="single" w:sz="8" w:color="auto"/>
            </w:tcBorders>
          </w:tcPr>
          <w:p>
            <w:pPr>
              <w:spacing w:after="0"/>
              <w:rPr>
                <w:sz w:val="24"/>
                <w:szCs w:val="24"/>
                <w:color w:val="auto"/>
              </w:rPr>
            </w:pPr>
          </w:p>
        </w:tc>
        <w:tc>
          <w:tcPr>
            <w:tcW w:w="530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7"/>
                <w:szCs w:val="17"/>
                <w:color w:val="auto"/>
              </w:rPr>
              <w:t>aggregate or $4,990,000 if the underwriters’ over-</w:t>
            </w:r>
          </w:p>
        </w:tc>
        <w:tc>
          <w:tcPr>
            <w:tcW w:w="940" w:type="dxa"/>
            <w:vAlign w:val="bottom"/>
          </w:tcPr>
          <w:p>
            <w:pPr>
              <w:spacing w:after="0"/>
              <w:rPr>
                <w:sz w:val="24"/>
                <w:szCs w:val="24"/>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allotment option is exercised in full), in a private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placement that will close simultaneously with the closing</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of this offering. The private placement shares are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identical to the Class A ordinary shares sold in this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offering, subject to certain limited exceptions as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described in this prospectus. If we do not consummate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an initial business combination within 24 months from</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the closing of this offering, the proceeds from the sale of</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the private placement shares held in the trust account</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will be used to fund the redemption of our public shares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(subject to the requirements of applicable law) and the</w:t>
            </w:r>
          </w:p>
        </w:tc>
        <w:tc>
          <w:tcPr>
            <w:tcW w:w="940" w:type="dxa"/>
            <w:vAlign w:val="bottom"/>
          </w:tcPr>
          <w:p>
            <w:pPr>
              <w:spacing w:after="0"/>
              <w:rPr>
                <w:sz w:val="16"/>
                <w:szCs w:val="16"/>
                <w:color w:val="auto"/>
              </w:rPr>
            </w:pPr>
          </w:p>
        </w:tc>
      </w:tr>
      <w:tr>
        <w:trPr>
          <w:trHeight w:val="205"/>
        </w:trPr>
        <w:tc>
          <w:tcPr>
            <w:tcW w:w="98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53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private placement shares will be worthless.</w:t>
            </w:r>
          </w:p>
        </w:tc>
        <w:tc>
          <w:tcPr>
            <w:tcW w:w="940" w:type="dxa"/>
            <w:vAlign w:val="bottom"/>
          </w:tcPr>
          <w:p>
            <w:pPr>
              <w:spacing w:after="0"/>
              <w:rPr>
                <w:sz w:val="17"/>
                <w:szCs w:val="17"/>
                <w:color w:val="auto"/>
              </w:rPr>
            </w:pPr>
          </w:p>
        </w:tc>
      </w:tr>
      <w:tr>
        <w:trPr>
          <w:trHeight w:val="295"/>
        </w:trPr>
        <w:tc>
          <w:tcPr>
            <w:tcW w:w="980" w:type="dxa"/>
            <w:vAlign w:val="bottom"/>
            <w:tcBorders>
              <w:right w:val="single" w:sz="8" w:color="auto"/>
            </w:tcBorders>
          </w:tcPr>
          <w:p>
            <w:pPr>
              <w:spacing w:after="0"/>
              <w:rPr>
                <w:sz w:val="24"/>
                <w:szCs w:val="24"/>
                <w:color w:val="auto"/>
              </w:rPr>
            </w:pPr>
          </w:p>
        </w:tc>
        <w:tc>
          <w:tcPr>
            <w:tcW w:w="3800" w:type="dxa"/>
            <w:vAlign w:val="bottom"/>
          </w:tcPr>
          <w:p>
            <w:pPr>
              <w:ind w:left="220"/>
              <w:spacing w:after="0"/>
              <w:rPr>
                <w:sz w:val="20"/>
                <w:szCs w:val="20"/>
                <w:color w:val="auto"/>
              </w:rPr>
            </w:pPr>
            <w:r>
              <w:rPr>
                <w:rFonts w:ascii="Arial" w:cs="Arial" w:eastAsia="Arial" w:hAnsi="Arial"/>
                <w:sz w:val="17"/>
                <w:szCs w:val="17"/>
                <w:b w:val="1"/>
                <w:bCs w:val="1"/>
                <w:color w:val="auto"/>
              </w:rPr>
              <w:t>Proceeds to be held in trust account</w:t>
            </w:r>
          </w:p>
        </w:tc>
        <w:tc>
          <w:tcPr>
            <w:tcW w:w="53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The Nasdaq rules provide that at least 90% of the gross</w:t>
            </w:r>
          </w:p>
        </w:tc>
        <w:tc>
          <w:tcPr>
            <w:tcW w:w="940" w:type="dxa"/>
            <w:vAlign w:val="bottom"/>
          </w:tcPr>
          <w:p>
            <w:pPr>
              <w:spacing w:after="0"/>
              <w:rPr>
                <w:sz w:val="24"/>
                <w:szCs w:val="24"/>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proceeds from this offering and the sale of the private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placement shares be deposited in a trust account. Of the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proceeds we will receive from this offering and the sale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of the private placement shares described in this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prospectus, $130.0 million, or $149.5 million if the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underwriters’ over-allotment option is exercised in full</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($10.00 per share in either case), will be deposited into a</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segregated trust account located in the United States at</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J.P. Morgan Chase Bank, N.A. with Continental Stock</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Transfer &amp; Trust Company acting as trustee and</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approximately $1,000,000 will be used to pay expenses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in connection with the closing of this offering and</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approximately $1,000,000 will be used for working</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capital following this offering. The proceeds to be placed</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in the trust account include $4,550,000 (or $5,232,500 if</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the underwriters’ over-allotment option is exercised in</w:t>
            </w:r>
          </w:p>
        </w:tc>
        <w:tc>
          <w:tcPr>
            <w:tcW w:w="940" w:type="dxa"/>
            <w:vAlign w:val="bottom"/>
          </w:tcPr>
          <w:p>
            <w:pPr>
              <w:spacing w:after="0"/>
              <w:rPr>
                <w:sz w:val="16"/>
                <w:szCs w:val="16"/>
                <w:color w:val="auto"/>
              </w:rPr>
            </w:pPr>
          </w:p>
        </w:tc>
      </w:tr>
      <w:tr>
        <w:trPr>
          <w:trHeight w:val="205"/>
        </w:trPr>
        <w:tc>
          <w:tcPr>
            <w:tcW w:w="98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53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full) in deferred underwriting commissions.</w:t>
            </w:r>
          </w:p>
        </w:tc>
        <w:tc>
          <w:tcPr>
            <w:tcW w:w="940" w:type="dxa"/>
            <w:vAlign w:val="bottom"/>
          </w:tcPr>
          <w:p>
            <w:pPr>
              <w:spacing w:after="0"/>
              <w:rPr>
                <w:sz w:val="17"/>
                <w:szCs w:val="17"/>
                <w:color w:val="auto"/>
              </w:rPr>
            </w:pPr>
          </w:p>
        </w:tc>
      </w:tr>
      <w:tr>
        <w:trPr>
          <w:trHeight w:val="281"/>
        </w:trPr>
        <w:tc>
          <w:tcPr>
            <w:tcW w:w="980" w:type="dxa"/>
            <w:vAlign w:val="bottom"/>
            <w:tcBorders>
              <w:right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53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Except with respect to interest earned on the funds held</w:t>
            </w:r>
          </w:p>
        </w:tc>
        <w:tc>
          <w:tcPr>
            <w:tcW w:w="940" w:type="dxa"/>
            <w:vAlign w:val="bottom"/>
          </w:tcPr>
          <w:p>
            <w:pPr>
              <w:spacing w:after="0"/>
              <w:rPr>
                <w:sz w:val="24"/>
                <w:szCs w:val="24"/>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in the trust account that may be released to us to pay our</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income taxes, if any, our amended and restated</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memorandum and articles of association, as discussed</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below and subject to the requirements of law and</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regulation, will provide that the proceeds from this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offering and the sale of the private placement shares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held in the trust account will not be released from the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trust account (1) to us, until the completion of our initial</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business combination, or (2) to our public shareholders,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until the earliest of (a) the completion of our initial</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business combination, and then only in connection with</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those Class A ordinary shares that such shareholders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properly elected to redeem, subject to the limitations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described herein, (b) the redemption of any public</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shares properly tendered in connection with a</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shareholder vote to amend our amended and restated</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memorandum and articles of association (A) to modify</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the substance or timing of our obligation to provide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53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holders of our Class A ordinary shares the right to have</w:t>
            </w:r>
          </w:p>
        </w:tc>
        <w:tc>
          <w:tcPr>
            <w:tcW w:w="940" w:type="dxa"/>
            <w:vAlign w:val="bottom"/>
          </w:tcPr>
          <w:p>
            <w:pPr>
              <w:spacing w:after="0"/>
              <w:rPr>
                <w:sz w:val="16"/>
                <w:szCs w:val="16"/>
                <w:color w:val="auto"/>
              </w:rPr>
            </w:pPr>
          </w:p>
        </w:tc>
      </w:tr>
      <w:tr>
        <w:trPr>
          <w:trHeight w:val="205"/>
        </w:trPr>
        <w:tc>
          <w:tcPr>
            <w:tcW w:w="98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53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their shares redeemed in</w:t>
            </w:r>
          </w:p>
        </w:tc>
        <w:tc>
          <w:tcPr>
            <w:tcW w:w="940" w:type="dxa"/>
            <w:vAlign w:val="bottom"/>
          </w:tcPr>
          <w:p>
            <w:pPr>
              <w:spacing w:after="0"/>
              <w:rPr>
                <w:sz w:val="17"/>
                <w:szCs w:val="17"/>
                <w:color w:val="auto"/>
              </w:rPr>
            </w:pPr>
          </w:p>
        </w:tc>
      </w:tr>
      <w:tr>
        <w:trPr>
          <w:trHeight w:val="217"/>
        </w:trPr>
        <w:tc>
          <w:tcPr>
            <w:tcW w:w="980" w:type="dxa"/>
            <w:vAlign w:val="bottom"/>
            <w:tcBorders>
              <w:right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5300" w:type="dxa"/>
            <w:vAlign w:val="bottom"/>
            <w:tcBorders>
              <w:bottom w:val="single" w:sz="8" w:color="auto"/>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r>
      <w:tr>
        <w:trPr>
          <w:trHeight w:val="409"/>
        </w:trPr>
        <w:tc>
          <w:tcPr>
            <w:tcW w:w="9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300" w:type="dxa"/>
            <w:vAlign w:val="bottom"/>
          </w:tcPr>
          <w:p>
            <w:pPr>
              <w:ind w:left="640"/>
              <w:spacing w:after="0"/>
              <w:rPr>
                <w:sz w:val="20"/>
                <w:szCs w:val="20"/>
                <w:color w:val="auto"/>
              </w:rPr>
            </w:pPr>
            <w:r>
              <w:rPr>
                <w:rFonts w:ascii="Arial" w:cs="Arial" w:eastAsia="Arial" w:hAnsi="Arial"/>
                <w:sz w:val="16"/>
                <w:szCs w:val="16"/>
                <w:color w:val="auto"/>
              </w:rPr>
              <w:t>14</w:t>
            </w:r>
          </w:p>
        </w:tc>
        <w:tc>
          <w:tcPr>
            <w:tcW w:w="940" w:type="dxa"/>
            <w:vAlign w:val="bottom"/>
          </w:tcPr>
          <w:p>
            <w:pPr>
              <w:spacing w:after="0"/>
              <w:rPr>
                <w:sz w:val="24"/>
                <w:szCs w:val="24"/>
                <w:color w:val="auto"/>
              </w:rPr>
            </w:pPr>
          </w:p>
        </w:tc>
      </w:tr>
      <w:tr>
        <w:trPr>
          <w:trHeight w:val="175"/>
        </w:trPr>
        <w:tc>
          <w:tcPr>
            <w:tcW w:w="98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tcPr>
          <w:p>
            <w:pPr>
              <w:spacing w:after="0"/>
              <w:rPr>
                <w:sz w:val="15"/>
                <w:szCs w:val="15"/>
                <w:color w:val="auto"/>
              </w:rPr>
            </w:pPr>
          </w:p>
        </w:tc>
        <w:tc>
          <w:tcPr>
            <w:tcW w:w="5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4763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90565" cy="647636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4740" w:type="dxa"/>
            <w:vAlign w:val="bottom"/>
            <w:gridSpan w:val="2"/>
          </w:tcPr>
          <w:p>
            <w:pPr>
              <w:ind w:left="420"/>
              <w:spacing w:after="0"/>
              <w:rPr>
                <w:sz w:val="20"/>
                <w:szCs w:val="20"/>
                <w:color w:val="auto"/>
              </w:rPr>
            </w:pPr>
            <w:r>
              <w:rPr>
                <w:rFonts w:ascii="Arial" w:cs="Arial" w:eastAsia="Arial" w:hAnsi="Arial"/>
                <w:sz w:val="17"/>
                <w:szCs w:val="17"/>
                <w:color w:val="auto"/>
              </w:rPr>
              <w:t>connection with our initial business combination or to</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redeem 100% of our public shares if we do not complete</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our initial business combination within 24 months from</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the closing of this offering or (B) with respect to any other</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provision relating to the rights of holders of our Class A</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ordinary shares, and (c) the redemption of our public</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shares if we have not consummated our business</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combination within 24 months from the closing of this</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offering, subject to applicable law. Public shareholders</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who redeem their Class A ordinary shares in connection</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with a shareholder vote described in clause (b) in the</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preceding sentence shall not be entitled to funds from</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the trust account upon the subsequent completion of an</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initial business combination or liquidation if we have not</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consummated an initial business combination within 24</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months from the closing of this offering, with respect to</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such Class A ordinary shares so redeemed. The</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proceeds deposited in the trust account could become</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subject to the claims of our creditors, if any, which could</w:t>
            </w:r>
          </w:p>
        </w:tc>
      </w:tr>
      <w:tr>
        <w:trPr>
          <w:trHeight w:val="205"/>
        </w:trPr>
        <w:tc>
          <w:tcPr>
            <w:tcW w:w="3900" w:type="dxa"/>
            <w:vAlign w:val="bottom"/>
          </w:tcPr>
          <w:p>
            <w:pPr>
              <w:spacing w:after="0"/>
              <w:rPr>
                <w:sz w:val="17"/>
                <w:szCs w:val="17"/>
                <w:color w:val="auto"/>
              </w:rPr>
            </w:pPr>
          </w:p>
        </w:tc>
        <w:tc>
          <w:tcPr>
            <w:tcW w:w="4740" w:type="dxa"/>
            <w:vAlign w:val="bottom"/>
            <w:gridSpan w:val="2"/>
          </w:tcPr>
          <w:p>
            <w:pPr>
              <w:ind w:left="420"/>
              <w:spacing w:after="0"/>
              <w:rPr>
                <w:sz w:val="20"/>
                <w:szCs w:val="20"/>
                <w:color w:val="auto"/>
              </w:rPr>
            </w:pPr>
            <w:r>
              <w:rPr>
                <w:rFonts w:ascii="Arial" w:cs="Arial" w:eastAsia="Arial" w:hAnsi="Arial"/>
                <w:sz w:val="17"/>
                <w:szCs w:val="17"/>
                <w:color w:val="auto"/>
              </w:rPr>
              <w:t>have priority over the claims of our public shareholders.</w:t>
            </w:r>
          </w:p>
        </w:tc>
      </w:tr>
      <w:tr>
        <w:trPr>
          <w:trHeight w:val="295"/>
        </w:trPr>
        <w:tc>
          <w:tcPr>
            <w:tcW w:w="3900" w:type="dxa"/>
            <w:vAlign w:val="bottom"/>
          </w:tcPr>
          <w:p>
            <w:pPr>
              <w:spacing w:after="0"/>
              <w:rPr>
                <w:sz w:val="20"/>
                <w:szCs w:val="20"/>
                <w:color w:val="auto"/>
              </w:rPr>
            </w:pPr>
            <w:r>
              <w:rPr>
                <w:rFonts w:ascii="Arial" w:cs="Arial" w:eastAsia="Arial" w:hAnsi="Arial"/>
                <w:sz w:val="17"/>
                <w:szCs w:val="17"/>
                <w:b w:val="1"/>
                <w:bCs w:val="1"/>
                <w:color w:val="auto"/>
              </w:rPr>
              <w:t>Anticipated expenses and funding sources</w:t>
            </w:r>
          </w:p>
        </w:tc>
        <w:tc>
          <w:tcPr>
            <w:tcW w:w="4740" w:type="dxa"/>
            <w:vAlign w:val="bottom"/>
            <w:gridSpan w:val="2"/>
          </w:tcPr>
          <w:p>
            <w:pPr>
              <w:ind w:left="420"/>
              <w:spacing w:after="0"/>
              <w:rPr>
                <w:sz w:val="20"/>
                <w:szCs w:val="20"/>
                <w:color w:val="auto"/>
              </w:rPr>
            </w:pPr>
            <w:r>
              <w:rPr>
                <w:rFonts w:ascii="Arial" w:cs="Arial" w:eastAsia="Arial" w:hAnsi="Arial"/>
                <w:sz w:val="17"/>
                <w:szCs w:val="17"/>
                <w:color w:val="auto"/>
              </w:rPr>
              <w:t>Unless and until we complete our initial business</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combination, no proceeds held in the trust account will</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be available for our use, except the withdrawal of interest</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income (if any) to pay our income taxes, if any. The</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proceeds held in the trust account will be invested only in</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U.S. government treasury obligations with a maturity of</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185 days or less or in money market funds meeting</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certain conditions under Rule 2a-7 under the Investment</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Company Act which invest only in direct U.S.</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government treasury obligations. Assuming an interest</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rate of 0.1% per year, we estimate the interest earned on</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the trust account will be approximately $130,000 per</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year; however, we can provide no assurances regarding</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this amount. Unless and until we complete our initial</w:t>
            </w:r>
          </w:p>
        </w:tc>
      </w:tr>
      <w:tr>
        <w:trPr>
          <w:trHeight w:val="189"/>
        </w:trPr>
        <w:tc>
          <w:tcPr>
            <w:tcW w:w="3900" w:type="dxa"/>
            <w:vAlign w:val="bottom"/>
          </w:tcPr>
          <w:p>
            <w:pPr>
              <w:spacing w:after="0"/>
              <w:rPr>
                <w:sz w:val="16"/>
                <w:szCs w:val="16"/>
                <w:color w:val="auto"/>
              </w:rPr>
            </w:pPr>
          </w:p>
        </w:tc>
        <w:tc>
          <w:tcPr>
            <w:tcW w:w="474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business combination, we may pay our expenses only</w:t>
            </w:r>
          </w:p>
        </w:tc>
      </w:tr>
      <w:tr>
        <w:trPr>
          <w:trHeight w:val="205"/>
        </w:trPr>
        <w:tc>
          <w:tcPr>
            <w:tcW w:w="3900" w:type="dxa"/>
            <w:vAlign w:val="bottom"/>
          </w:tcPr>
          <w:p>
            <w:pPr>
              <w:spacing w:after="0"/>
              <w:rPr>
                <w:sz w:val="17"/>
                <w:szCs w:val="17"/>
                <w:color w:val="auto"/>
              </w:rPr>
            </w:pPr>
          </w:p>
        </w:tc>
        <w:tc>
          <w:tcPr>
            <w:tcW w:w="4740" w:type="dxa"/>
            <w:vAlign w:val="bottom"/>
            <w:gridSpan w:val="2"/>
          </w:tcPr>
          <w:p>
            <w:pPr>
              <w:ind w:left="420"/>
              <w:spacing w:after="0"/>
              <w:rPr>
                <w:sz w:val="20"/>
                <w:szCs w:val="20"/>
                <w:color w:val="auto"/>
              </w:rPr>
            </w:pPr>
            <w:r>
              <w:rPr>
                <w:rFonts w:ascii="Arial" w:cs="Arial" w:eastAsia="Arial" w:hAnsi="Arial"/>
                <w:sz w:val="17"/>
                <w:szCs w:val="17"/>
                <w:color w:val="auto"/>
              </w:rPr>
              <w:t>from:</w:t>
            </w:r>
          </w:p>
        </w:tc>
      </w:tr>
      <w:tr>
        <w:trPr>
          <w:trHeight w:val="281"/>
        </w:trPr>
        <w:tc>
          <w:tcPr>
            <w:tcW w:w="3900" w:type="dxa"/>
            <w:vAlign w:val="bottom"/>
          </w:tcPr>
          <w:p>
            <w:pPr>
              <w:spacing w:after="0"/>
              <w:rPr>
                <w:sz w:val="24"/>
                <w:szCs w:val="24"/>
                <w:color w:val="auto"/>
              </w:rPr>
            </w:pPr>
          </w:p>
        </w:tc>
        <w:tc>
          <w:tcPr>
            <w:tcW w:w="620" w:type="dxa"/>
            <w:vAlign w:val="bottom"/>
          </w:tcPr>
          <w:p>
            <w:pPr>
              <w:ind w:left="420"/>
              <w:spacing w:after="0"/>
              <w:rPr>
                <w:sz w:val="20"/>
                <w:szCs w:val="20"/>
                <w:color w:val="auto"/>
              </w:rPr>
            </w:pPr>
            <w:r>
              <w:rPr>
                <w:rFonts w:ascii="Arial" w:cs="Arial" w:eastAsia="Arial" w:hAnsi="Arial"/>
                <w:sz w:val="17"/>
                <w:szCs w:val="17"/>
                <w:color w:val="auto"/>
              </w:rPr>
              <w:t>•</w:t>
            </w:r>
          </w:p>
        </w:tc>
        <w:tc>
          <w:tcPr>
            <w:tcW w:w="4120" w:type="dxa"/>
            <w:vAlign w:val="bottom"/>
          </w:tcPr>
          <w:p>
            <w:pPr>
              <w:ind w:left="160"/>
              <w:spacing w:after="0"/>
              <w:rPr>
                <w:sz w:val="20"/>
                <w:szCs w:val="20"/>
                <w:color w:val="auto"/>
              </w:rPr>
            </w:pPr>
            <w:r>
              <w:rPr>
                <w:rFonts w:ascii="Arial" w:cs="Arial" w:eastAsia="Arial" w:hAnsi="Arial"/>
                <w:sz w:val="17"/>
                <w:szCs w:val="17"/>
                <w:color w:val="auto"/>
              </w:rPr>
              <w:t>the net proceeds of this offering and the sale of the</w:t>
            </w:r>
          </w:p>
        </w:tc>
      </w:tr>
      <w:tr>
        <w:trPr>
          <w:trHeight w:val="189"/>
        </w:trPr>
        <w:tc>
          <w:tcPr>
            <w:tcW w:w="3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120" w:type="dxa"/>
            <w:vAlign w:val="bottom"/>
          </w:tcPr>
          <w:p>
            <w:pPr>
              <w:ind w:left="160"/>
              <w:spacing w:after="0" w:line="189" w:lineRule="exact"/>
              <w:rPr>
                <w:sz w:val="20"/>
                <w:szCs w:val="20"/>
                <w:color w:val="auto"/>
              </w:rPr>
            </w:pPr>
            <w:r>
              <w:rPr>
                <w:rFonts w:ascii="Arial" w:cs="Arial" w:eastAsia="Arial" w:hAnsi="Arial"/>
                <w:sz w:val="17"/>
                <w:szCs w:val="17"/>
                <w:color w:val="auto"/>
              </w:rPr>
              <w:t>private placement shares not held in the trust</w:t>
            </w:r>
          </w:p>
        </w:tc>
      </w:tr>
      <w:tr>
        <w:trPr>
          <w:trHeight w:val="189"/>
        </w:trPr>
        <w:tc>
          <w:tcPr>
            <w:tcW w:w="3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120" w:type="dxa"/>
            <w:vAlign w:val="bottom"/>
          </w:tcPr>
          <w:p>
            <w:pPr>
              <w:ind w:left="160"/>
              <w:spacing w:after="0" w:line="189" w:lineRule="exact"/>
              <w:rPr>
                <w:sz w:val="20"/>
                <w:szCs w:val="20"/>
                <w:color w:val="auto"/>
              </w:rPr>
            </w:pPr>
            <w:r>
              <w:rPr>
                <w:rFonts w:ascii="Arial" w:cs="Arial" w:eastAsia="Arial" w:hAnsi="Arial"/>
                <w:sz w:val="17"/>
                <w:szCs w:val="17"/>
                <w:color w:val="auto"/>
              </w:rPr>
              <w:t>account, which will be approximately $1,000,000 in</w:t>
            </w:r>
          </w:p>
        </w:tc>
      </w:tr>
      <w:tr>
        <w:trPr>
          <w:trHeight w:val="189"/>
        </w:trPr>
        <w:tc>
          <w:tcPr>
            <w:tcW w:w="3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120" w:type="dxa"/>
            <w:vAlign w:val="bottom"/>
          </w:tcPr>
          <w:p>
            <w:pPr>
              <w:ind w:left="160"/>
              <w:spacing w:after="0" w:line="189" w:lineRule="exact"/>
              <w:rPr>
                <w:sz w:val="20"/>
                <w:szCs w:val="20"/>
                <w:color w:val="auto"/>
              </w:rPr>
            </w:pPr>
            <w:r>
              <w:rPr>
                <w:rFonts w:ascii="Arial" w:cs="Arial" w:eastAsia="Arial" w:hAnsi="Arial"/>
                <w:sz w:val="17"/>
                <w:szCs w:val="17"/>
                <w:color w:val="auto"/>
              </w:rPr>
              <w:t>working capital after the payment of approximately</w:t>
            </w:r>
          </w:p>
        </w:tc>
      </w:tr>
      <w:tr>
        <w:trPr>
          <w:trHeight w:val="205"/>
        </w:trPr>
        <w:tc>
          <w:tcPr>
            <w:tcW w:w="3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120" w:type="dxa"/>
            <w:vAlign w:val="bottom"/>
          </w:tcPr>
          <w:p>
            <w:pPr>
              <w:ind w:left="160"/>
              <w:spacing w:after="0"/>
              <w:rPr>
                <w:sz w:val="20"/>
                <w:szCs w:val="20"/>
                <w:color w:val="auto"/>
              </w:rPr>
            </w:pPr>
            <w:r>
              <w:rPr>
                <w:rFonts w:ascii="Arial" w:cs="Arial" w:eastAsia="Arial" w:hAnsi="Arial"/>
                <w:sz w:val="17"/>
                <w:szCs w:val="17"/>
                <w:color w:val="auto"/>
              </w:rPr>
              <w:t>$1,000,000 in expenses relating to this offering; and</w:t>
            </w:r>
          </w:p>
        </w:tc>
      </w:tr>
      <w:tr>
        <w:trPr>
          <w:trHeight w:val="281"/>
        </w:trPr>
        <w:tc>
          <w:tcPr>
            <w:tcW w:w="3900" w:type="dxa"/>
            <w:vAlign w:val="bottom"/>
          </w:tcPr>
          <w:p>
            <w:pPr>
              <w:spacing w:after="0"/>
              <w:rPr>
                <w:sz w:val="24"/>
                <w:szCs w:val="24"/>
                <w:color w:val="auto"/>
              </w:rPr>
            </w:pPr>
          </w:p>
        </w:tc>
        <w:tc>
          <w:tcPr>
            <w:tcW w:w="620" w:type="dxa"/>
            <w:vAlign w:val="bottom"/>
          </w:tcPr>
          <w:p>
            <w:pPr>
              <w:ind w:left="420"/>
              <w:spacing w:after="0"/>
              <w:rPr>
                <w:sz w:val="20"/>
                <w:szCs w:val="20"/>
                <w:color w:val="auto"/>
              </w:rPr>
            </w:pPr>
            <w:r>
              <w:rPr>
                <w:rFonts w:ascii="Arial" w:cs="Arial" w:eastAsia="Arial" w:hAnsi="Arial"/>
                <w:sz w:val="17"/>
                <w:szCs w:val="17"/>
                <w:color w:val="auto"/>
              </w:rPr>
              <w:t>•</w:t>
            </w:r>
          </w:p>
        </w:tc>
        <w:tc>
          <w:tcPr>
            <w:tcW w:w="4120" w:type="dxa"/>
            <w:vAlign w:val="bottom"/>
          </w:tcPr>
          <w:p>
            <w:pPr>
              <w:ind w:left="160"/>
              <w:spacing w:after="0"/>
              <w:rPr>
                <w:sz w:val="20"/>
                <w:szCs w:val="20"/>
                <w:color w:val="auto"/>
              </w:rPr>
            </w:pPr>
            <w:r>
              <w:rPr>
                <w:rFonts w:ascii="Arial" w:cs="Arial" w:eastAsia="Arial" w:hAnsi="Arial"/>
                <w:sz w:val="17"/>
                <w:szCs w:val="17"/>
                <w:color w:val="auto"/>
              </w:rPr>
              <w:t>any loans or additional investments from our</w:t>
            </w:r>
          </w:p>
        </w:tc>
      </w:tr>
      <w:tr>
        <w:trPr>
          <w:trHeight w:val="189"/>
        </w:trPr>
        <w:tc>
          <w:tcPr>
            <w:tcW w:w="3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120" w:type="dxa"/>
            <w:vAlign w:val="bottom"/>
          </w:tcPr>
          <w:p>
            <w:pPr>
              <w:ind w:left="160"/>
              <w:spacing w:after="0" w:line="189" w:lineRule="exact"/>
              <w:rPr>
                <w:sz w:val="20"/>
                <w:szCs w:val="20"/>
                <w:color w:val="auto"/>
              </w:rPr>
            </w:pPr>
            <w:r>
              <w:rPr>
                <w:rFonts w:ascii="Arial" w:cs="Arial" w:eastAsia="Arial" w:hAnsi="Arial"/>
                <w:sz w:val="17"/>
                <w:szCs w:val="17"/>
                <w:color w:val="auto"/>
              </w:rPr>
              <w:t>sponsor or an affiliate of our sponsor or certain of</w:t>
            </w:r>
          </w:p>
        </w:tc>
      </w:tr>
    </w:tbl>
    <w:p>
      <w:pPr>
        <w:ind w:left="4920"/>
        <w:spacing w:after="0" w:line="232" w:lineRule="auto"/>
        <w:rPr>
          <w:sz w:val="20"/>
          <w:szCs w:val="20"/>
          <w:color w:val="auto"/>
        </w:rPr>
      </w:pPr>
      <w:r>
        <w:rPr>
          <w:rFonts w:ascii="Arial" w:cs="Arial" w:eastAsia="Arial" w:hAnsi="Arial"/>
          <w:sz w:val="17"/>
          <w:szCs w:val="17"/>
          <w:color w:val="auto"/>
        </w:rPr>
        <w:t>our officers and directors, although they are under</w:t>
      </w:r>
    </w:p>
    <w:p>
      <w:pPr>
        <w:ind w:left="4920"/>
        <w:spacing w:after="0" w:line="232" w:lineRule="auto"/>
        <w:rPr>
          <w:sz w:val="20"/>
          <w:szCs w:val="20"/>
          <w:color w:val="auto"/>
        </w:rPr>
      </w:pPr>
      <w:r>
        <w:rPr>
          <w:rFonts w:ascii="Arial" w:cs="Arial" w:eastAsia="Arial" w:hAnsi="Arial"/>
          <w:sz w:val="17"/>
          <w:szCs w:val="17"/>
          <w:color w:val="auto"/>
        </w:rPr>
        <w:t>no obligation to advance funds or invest in us, and</w:t>
      </w:r>
    </w:p>
    <w:p>
      <w:pPr>
        <w:ind w:left="4920"/>
        <w:spacing w:after="0" w:line="232"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any such loans will not have any claim on</w:t>
      </w:r>
    </w:p>
    <w:p>
      <w:pPr>
        <w:ind w:left="4920"/>
        <w:spacing w:after="0" w:line="232" w:lineRule="auto"/>
        <w:rPr>
          <w:sz w:val="20"/>
          <w:szCs w:val="20"/>
          <w:color w:val="auto"/>
        </w:rPr>
      </w:pPr>
      <w:r>
        <w:rPr>
          <w:rFonts w:ascii="Arial" w:cs="Arial" w:eastAsia="Arial" w:hAnsi="Arial"/>
          <w:sz w:val="17"/>
          <w:szCs w:val="17"/>
          <w:color w:val="auto"/>
        </w:rPr>
        <w:t>the proceeds held in the trust account unless such</w:t>
      </w:r>
    </w:p>
    <w:p>
      <w:pPr>
        <w:ind w:left="4920"/>
        <w:spacing w:after="0" w:line="232" w:lineRule="auto"/>
        <w:rPr>
          <w:sz w:val="20"/>
          <w:szCs w:val="20"/>
          <w:color w:val="auto"/>
        </w:rPr>
      </w:pPr>
      <w:r>
        <w:rPr>
          <w:rFonts w:ascii="Arial" w:cs="Arial" w:eastAsia="Arial" w:hAnsi="Arial"/>
          <w:sz w:val="17"/>
          <w:szCs w:val="17"/>
          <w:color w:val="auto"/>
        </w:rPr>
        <w:t>proceeds are released to us upon completion of our</w:t>
      </w:r>
    </w:p>
    <w:p>
      <w:pPr>
        <w:ind w:left="4920"/>
        <w:spacing w:after="0"/>
        <w:rPr>
          <w:sz w:val="20"/>
          <w:szCs w:val="20"/>
          <w:color w:val="auto"/>
        </w:rPr>
      </w:pPr>
      <w:r>
        <w:rPr>
          <w:rFonts w:ascii="Arial" w:cs="Arial" w:eastAsia="Arial" w:hAnsi="Arial"/>
          <w:sz w:val="17"/>
          <w:szCs w:val="17"/>
          <w:color w:val="auto"/>
        </w:rPr>
        <w:t>initial business combination.</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5963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90565" cy="6596380"/>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420" w:right="320" w:hanging="179"/>
        <w:spacing w:after="0" w:line="267" w:lineRule="auto"/>
        <w:rPr>
          <w:sz w:val="20"/>
          <w:szCs w:val="20"/>
          <w:color w:val="auto"/>
        </w:rPr>
      </w:pPr>
      <w:r>
        <w:rPr>
          <w:rFonts w:ascii="Arial" w:cs="Arial" w:eastAsia="Arial" w:hAnsi="Arial"/>
          <w:sz w:val="17"/>
          <w:szCs w:val="17"/>
          <w:b w:val="1"/>
          <w:bCs w:val="1"/>
          <w:color w:val="auto"/>
        </w:rPr>
        <w:t>Conditions to completing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20" w:hanging="179"/>
        <w:spacing w:after="0" w:line="267" w:lineRule="auto"/>
        <w:rPr>
          <w:sz w:val="20"/>
          <w:szCs w:val="20"/>
          <w:color w:val="auto"/>
        </w:rPr>
      </w:pPr>
      <w:r>
        <w:rPr>
          <w:rFonts w:ascii="Arial" w:cs="Arial" w:eastAsia="Arial" w:hAnsi="Arial"/>
          <w:sz w:val="17"/>
          <w:szCs w:val="17"/>
          <w:b w:val="1"/>
          <w:bCs w:val="1"/>
          <w:color w:val="auto"/>
        </w:rPr>
        <w:t>Permitted purchases and other transactions with respect to our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59"/>
        <w:spacing w:after="0" w:line="233" w:lineRule="auto"/>
        <w:rPr>
          <w:sz w:val="20"/>
          <w:szCs w:val="20"/>
          <w:color w:val="auto"/>
        </w:rPr>
      </w:pPr>
      <w:r>
        <w:rPr>
          <w:rFonts w:ascii="Arial" w:cs="Arial" w:eastAsia="Arial" w:hAnsi="Arial"/>
          <w:sz w:val="17"/>
          <w:szCs w:val="17"/>
          <w:color w:val="auto"/>
        </w:rPr>
        <w:t>Nasdaq rules require that 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interest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from an independent investment banking firm which is a member of FINRA or an independent valuation or accounting firm with respect to the satisfaction of such criteria. Our shareholders may not be provided with a copy of such opinion nor will they be able to rely on such opinion.</w:t>
      </w:r>
    </w:p>
    <w:p>
      <w:pPr>
        <w:spacing w:after="0" w:line="94" w:lineRule="exact"/>
        <w:rPr>
          <w:sz w:val="20"/>
          <w:szCs w:val="20"/>
          <w:color w:val="auto"/>
        </w:rPr>
      </w:pPr>
    </w:p>
    <w:p>
      <w:pPr>
        <w:ind w:right="179"/>
        <w:spacing w:after="0" w:line="232" w:lineRule="auto"/>
        <w:rPr>
          <w:sz w:val="20"/>
          <w:szCs w:val="20"/>
          <w:color w:val="auto"/>
        </w:rPr>
      </w:pPr>
      <w:r>
        <w:rPr>
          <w:rFonts w:ascii="Arial" w:cs="Arial" w:eastAsia="Arial" w:hAnsi="Arial"/>
          <w:sz w:val="17"/>
          <w:szCs w:val="17"/>
          <w:color w:val="auto"/>
        </w:rPr>
        <w:t xml:space="preserve">We will complete our initial business combination only if the post-business combination company in which our public shareholders own shares will own or acquire 50% or more of the outstanding voting securities of the target or is otherwise not required to register as an investment company under the Investment Company Act. Even if the post-business combination company owns or acquires 50% or more of the voting securities of the target, our shareholders prior to the completion of our initial business combination may collectively own a minority interest in the post-business combination company, depending on valuations ascribed to the target and us in the business combination transaction.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the event that the business combination</w:t>
      </w:r>
      <w:r>
        <w:rPr>
          <w:rFonts w:ascii="Arial" w:cs="Arial" w:eastAsia="Arial" w:hAnsi="Arial"/>
          <w:sz w:val="17"/>
          <w:szCs w:val="17"/>
          <w:i w:val="1"/>
          <w:iCs w:val="1"/>
          <w:color w:val="auto"/>
        </w:rPr>
        <w:t xml:space="preserve"> </w:t>
      </w:r>
      <w:r>
        <w:rPr>
          <w:rFonts w:ascii="Arial" w:cs="Arial" w:eastAsia="Arial" w:hAnsi="Arial"/>
          <w:sz w:val="17"/>
          <w:szCs w:val="17"/>
          <w:color w:val="auto"/>
        </w:rPr>
        <w:t>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271" w:lineRule="exact"/>
        <w:rPr>
          <w:sz w:val="20"/>
          <w:szCs w:val="20"/>
          <w:color w:val="auto"/>
        </w:rPr>
      </w:pPr>
    </w:p>
    <w:p>
      <w:pPr>
        <w:ind w:right="179"/>
        <w:spacing w:after="0" w:line="235"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in privately negotiated</w:t>
      </w:r>
    </w:p>
    <w:p>
      <w:pPr>
        <w:spacing w:after="0" w:line="200" w:lineRule="exact"/>
        <w:rPr>
          <w:sz w:val="20"/>
          <w:szCs w:val="20"/>
          <w:color w:val="auto"/>
        </w:rPr>
      </w:pPr>
    </w:p>
    <w:p>
      <w:pPr>
        <w:sectPr>
          <w:pgSz w:w="11900" w:h="16838" w:orient="portrait"/>
          <w:cols w:equalWidth="0" w:num="2">
            <w:col w:w="4220" w:space="340"/>
            <w:col w:w="4499"/>
          </w:cols>
          <w:pgMar w:left="1400" w:top="265" w:right="1440" w:bottom="1440" w:gutter="0" w:footer="0" w:header="0"/>
          <w:type w:val="continuous"/>
        </w:sect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562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90565" cy="65620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transactions or in the open market either prior to or</w:t>
      </w:r>
    </w:p>
    <w:p>
      <w:pPr>
        <w:ind w:left="4560"/>
        <w:spacing w:after="0" w:line="232" w:lineRule="auto"/>
        <w:rPr>
          <w:sz w:val="20"/>
          <w:szCs w:val="20"/>
          <w:color w:val="auto"/>
        </w:rPr>
      </w:pPr>
      <w:r>
        <w:rPr>
          <w:rFonts w:ascii="Arial" w:cs="Arial" w:eastAsia="Arial" w:hAnsi="Arial"/>
          <w:sz w:val="17"/>
          <w:szCs w:val="17"/>
          <w:color w:val="auto"/>
        </w:rPr>
        <w:t>following the completion of our initial business</w:t>
      </w:r>
    </w:p>
    <w:p>
      <w:pPr>
        <w:ind w:left="4560"/>
        <w:spacing w:after="0" w:line="232" w:lineRule="auto"/>
        <w:rPr>
          <w:sz w:val="20"/>
          <w:szCs w:val="20"/>
          <w:color w:val="auto"/>
        </w:rPr>
      </w:pPr>
      <w:r>
        <w:rPr>
          <w:rFonts w:ascii="Arial" w:cs="Arial" w:eastAsia="Arial" w:hAnsi="Arial"/>
          <w:sz w:val="17"/>
          <w:szCs w:val="17"/>
          <w:color w:val="auto"/>
        </w:rPr>
        <w:t>combination. Additionally, at any time at or prior to the</w:t>
      </w:r>
    </w:p>
    <w:p>
      <w:pPr>
        <w:ind w:left="4560"/>
        <w:spacing w:after="0" w:line="232" w:lineRule="auto"/>
        <w:rPr>
          <w:sz w:val="20"/>
          <w:szCs w:val="20"/>
          <w:color w:val="auto"/>
        </w:rPr>
      </w:pPr>
      <w:r>
        <w:rPr>
          <w:rFonts w:ascii="Arial" w:cs="Arial" w:eastAsia="Arial" w:hAnsi="Arial"/>
          <w:sz w:val="17"/>
          <w:szCs w:val="17"/>
          <w:color w:val="auto"/>
        </w:rPr>
        <w:t>completion of our initial business combination, subject to</w:t>
      </w:r>
    </w:p>
    <w:p>
      <w:pPr>
        <w:ind w:left="4560"/>
        <w:spacing w:after="0" w:line="232" w:lineRule="auto"/>
        <w:rPr>
          <w:sz w:val="20"/>
          <w:szCs w:val="20"/>
          <w:color w:val="auto"/>
        </w:rPr>
      </w:pPr>
      <w:r>
        <w:rPr>
          <w:rFonts w:ascii="Arial" w:cs="Arial" w:eastAsia="Arial" w:hAnsi="Arial"/>
          <w:sz w:val="17"/>
          <w:szCs w:val="17"/>
          <w:color w:val="auto"/>
        </w:rPr>
        <w:t>applicable securities laws (including with respect to</w:t>
      </w:r>
    </w:p>
    <w:p>
      <w:pPr>
        <w:ind w:left="4560"/>
        <w:spacing w:after="0" w:line="232" w:lineRule="auto"/>
        <w:rPr>
          <w:sz w:val="20"/>
          <w:szCs w:val="20"/>
          <w:color w:val="auto"/>
        </w:rPr>
      </w:pPr>
      <w:r>
        <w:rPr>
          <w:rFonts w:ascii="Arial" w:cs="Arial" w:eastAsia="Arial" w:hAnsi="Arial"/>
          <w:sz w:val="17"/>
          <w:szCs w:val="17"/>
          <w:color w:val="auto"/>
        </w:rPr>
        <w:t>material nonpublic information), our sponsor, directors,</w:t>
      </w:r>
    </w:p>
    <w:p>
      <w:pPr>
        <w:ind w:left="4560"/>
        <w:spacing w:after="0" w:line="232" w:lineRule="auto"/>
        <w:rPr>
          <w:sz w:val="20"/>
          <w:szCs w:val="20"/>
          <w:color w:val="auto"/>
        </w:rPr>
      </w:pPr>
      <w:r>
        <w:rPr>
          <w:rFonts w:ascii="Arial" w:cs="Arial" w:eastAsia="Arial" w:hAnsi="Arial"/>
          <w:sz w:val="17"/>
          <w:szCs w:val="17"/>
          <w:color w:val="auto"/>
        </w:rPr>
        <w:t>executive officers, advisors or their affiliates may enter</w:t>
      </w:r>
    </w:p>
    <w:p>
      <w:pPr>
        <w:ind w:left="4560"/>
        <w:spacing w:after="0" w:line="232" w:lineRule="auto"/>
        <w:rPr>
          <w:sz w:val="20"/>
          <w:szCs w:val="20"/>
          <w:color w:val="auto"/>
        </w:rPr>
      </w:pPr>
      <w:r>
        <w:rPr>
          <w:rFonts w:ascii="Arial" w:cs="Arial" w:eastAsia="Arial" w:hAnsi="Arial"/>
          <w:sz w:val="17"/>
          <w:szCs w:val="17"/>
          <w:color w:val="auto"/>
        </w:rPr>
        <w:t>into transactions with investors and others to provide</w:t>
      </w:r>
    </w:p>
    <w:p>
      <w:pPr>
        <w:ind w:left="4560"/>
        <w:spacing w:after="0" w:line="232" w:lineRule="auto"/>
        <w:rPr>
          <w:sz w:val="20"/>
          <w:szCs w:val="20"/>
          <w:color w:val="auto"/>
        </w:rPr>
      </w:pPr>
      <w:r>
        <w:rPr>
          <w:rFonts w:ascii="Arial" w:cs="Arial" w:eastAsia="Arial" w:hAnsi="Arial"/>
          <w:sz w:val="17"/>
          <w:szCs w:val="17"/>
          <w:color w:val="auto"/>
        </w:rPr>
        <w:t>them with incentives to acquire public shares, vote their</w:t>
      </w:r>
    </w:p>
    <w:p>
      <w:pPr>
        <w:ind w:left="4560"/>
        <w:spacing w:after="0" w:line="232" w:lineRule="auto"/>
        <w:rPr>
          <w:sz w:val="20"/>
          <w:szCs w:val="20"/>
          <w:color w:val="auto"/>
        </w:rPr>
      </w:pPr>
      <w:r>
        <w:rPr>
          <w:rFonts w:ascii="Arial" w:cs="Arial" w:eastAsia="Arial" w:hAnsi="Arial"/>
          <w:sz w:val="17"/>
          <w:szCs w:val="17"/>
          <w:color w:val="auto"/>
        </w:rPr>
        <w:t>public shares in favor of our initial business combination</w:t>
      </w:r>
    </w:p>
    <w:p>
      <w:pPr>
        <w:ind w:left="4560"/>
        <w:spacing w:after="0" w:line="232" w:lineRule="auto"/>
        <w:rPr>
          <w:sz w:val="20"/>
          <w:szCs w:val="20"/>
          <w:color w:val="auto"/>
        </w:rPr>
      </w:pPr>
      <w:r>
        <w:rPr>
          <w:rFonts w:ascii="Arial" w:cs="Arial" w:eastAsia="Arial" w:hAnsi="Arial"/>
          <w:sz w:val="17"/>
          <w:szCs w:val="17"/>
          <w:color w:val="auto"/>
        </w:rPr>
        <w:t>or not redeem their public shares. However, they have</w:t>
      </w:r>
    </w:p>
    <w:p>
      <w:pPr>
        <w:ind w:left="4560"/>
        <w:spacing w:after="0" w:line="232" w:lineRule="auto"/>
        <w:rPr>
          <w:sz w:val="20"/>
          <w:szCs w:val="20"/>
          <w:color w:val="auto"/>
        </w:rPr>
      </w:pPr>
      <w:r>
        <w:rPr>
          <w:rFonts w:ascii="Arial" w:cs="Arial" w:eastAsia="Arial" w:hAnsi="Arial"/>
          <w:sz w:val="17"/>
          <w:szCs w:val="17"/>
          <w:color w:val="auto"/>
        </w:rPr>
        <w:t>no current commitments, plans or intentions to engage in</w:t>
      </w:r>
    </w:p>
    <w:p>
      <w:pPr>
        <w:ind w:left="4560"/>
        <w:spacing w:after="0" w:line="232" w:lineRule="auto"/>
        <w:rPr>
          <w:sz w:val="20"/>
          <w:szCs w:val="20"/>
          <w:color w:val="auto"/>
        </w:rPr>
      </w:pPr>
      <w:r>
        <w:rPr>
          <w:rFonts w:ascii="Arial" w:cs="Arial" w:eastAsia="Arial" w:hAnsi="Arial"/>
          <w:sz w:val="17"/>
          <w:szCs w:val="17"/>
          <w:color w:val="auto"/>
        </w:rPr>
        <w:t>such transactions and have not formulated any terms or</w:t>
      </w:r>
    </w:p>
    <w:p>
      <w:pPr>
        <w:ind w:left="4560"/>
        <w:spacing w:after="0" w:line="232" w:lineRule="auto"/>
        <w:rPr>
          <w:sz w:val="20"/>
          <w:szCs w:val="20"/>
          <w:color w:val="auto"/>
        </w:rPr>
      </w:pPr>
      <w:r>
        <w:rPr>
          <w:rFonts w:ascii="Arial" w:cs="Arial" w:eastAsia="Arial" w:hAnsi="Arial"/>
          <w:sz w:val="17"/>
          <w:szCs w:val="17"/>
          <w:color w:val="auto"/>
        </w:rPr>
        <w:t>conditions for any such transactions. None of the funds</w:t>
      </w:r>
    </w:p>
    <w:p>
      <w:pPr>
        <w:ind w:left="4560"/>
        <w:spacing w:after="0" w:line="232" w:lineRule="auto"/>
        <w:rPr>
          <w:sz w:val="20"/>
          <w:szCs w:val="20"/>
          <w:color w:val="auto"/>
        </w:rPr>
      </w:pPr>
      <w:r>
        <w:rPr>
          <w:rFonts w:ascii="Arial" w:cs="Arial" w:eastAsia="Arial" w:hAnsi="Arial"/>
          <w:sz w:val="17"/>
          <w:szCs w:val="17"/>
          <w:color w:val="auto"/>
        </w:rPr>
        <w:t>held in the trust account will be used to purchase public</w:t>
      </w:r>
    </w:p>
    <w:p>
      <w:pPr>
        <w:ind w:left="4560"/>
        <w:spacing w:after="0" w:line="232" w:lineRule="auto"/>
        <w:rPr>
          <w:sz w:val="20"/>
          <w:szCs w:val="20"/>
          <w:color w:val="auto"/>
        </w:rPr>
      </w:pPr>
      <w:r>
        <w:rPr>
          <w:rFonts w:ascii="Arial" w:cs="Arial" w:eastAsia="Arial" w:hAnsi="Arial"/>
          <w:sz w:val="17"/>
          <w:szCs w:val="17"/>
          <w:color w:val="auto"/>
        </w:rPr>
        <w:t>shares in such transactions. If our sponsor, directors,</w:t>
      </w:r>
    </w:p>
    <w:p>
      <w:pPr>
        <w:ind w:left="4560"/>
        <w:spacing w:after="0" w:line="232" w:lineRule="auto"/>
        <w:rPr>
          <w:sz w:val="20"/>
          <w:szCs w:val="20"/>
          <w:color w:val="auto"/>
        </w:rPr>
      </w:pPr>
      <w:r>
        <w:rPr>
          <w:rFonts w:ascii="Arial" w:cs="Arial" w:eastAsia="Arial" w:hAnsi="Arial"/>
          <w:sz w:val="17"/>
          <w:szCs w:val="17"/>
          <w:color w:val="auto"/>
        </w:rPr>
        <w:t>executive officers, advisors or their affiliates engage in</w:t>
      </w:r>
    </w:p>
    <w:p>
      <w:pPr>
        <w:ind w:left="4560"/>
        <w:spacing w:after="0" w:line="232" w:lineRule="auto"/>
        <w:rPr>
          <w:sz w:val="20"/>
          <w:szCs w:val="20"/>
          <w:color w:val="auto"/>
        </w:rPr>
      </w:pPr>
      <w:r>
        <w:rPr>
          <w:rFonts w:ascii="Arial" w:cs="Arial" w:eastAsia="Arial" w:hAnsi="Arial"/>
          <w:sz w:val="17"/>
          <w:szCs w:val="17"/>
          <w:color w:val="auto"/>
        </w:rPr>
        <w:t>such transactions, they will be restricted from making</w:t>
      </w:r>
    </w:p>
    <w:p>
      <w:pPr>
        <w:ind w:left="4560"/>
        <w:spacing w:after="0" w:line="232" w:lineRule="auto"/>
        <w:rPr>
          <w:sz w:val="20"/>
          <w:szCs w:val="20"/>
          <w:color w:val="auto"/>
        </w:rPr>
      </w:pPr>
      <w:r>
        <w:rPr>
          <w:rFonts w:ascii="Arial" w:cs="Arial" w:eastAsia="Arial" w:hAnsi="Arial"/>
          <w:sz w:val="17"/>
          <w:szCs w:val="17"/>
          <w:color w:val="auto"/>
        </w:rPr>
        <w:t>any such purchases when they are in possession of any</w:t>
      </w:r>
    </w:p>
    <w:p>
      <w:pPr>
        <w:ind w:left="4560"/>
        <w:spacing w:after="0" w:line="232" w:lineRule="auto"/>
        <w:rPr>
          <w:sz w:val="20"/>
          <w:szCs w:val="20"/>
          <w:color w:val="auto"/>
        </w:rPr>
      </w:pPr>
      <w:r>
        <w:rPr>
          <w:rFonts w:ascii="Arial" w:cs="Arial" w:eastAsia="Arial" w:hAnsi="Arial"/>
          <w:sz w:val="17"/>
          <w:szCs w:val="17"/>
          <w:color w:val="auto"/>
        </w:rPr>
        <w:t>material nonpublic information not disclosed to the seller</w:t>
      </w:r>
    </w:p>
    <w:p>
      <w:pPr>
        <w:ind w:left="4560"/>
        <w:spacing w:after="0" w:line="233" w:lineRule="auto"/>
        <w:rPr>
          <w:sz w:val="20"/>
          <w:szCs w:val="20"/>
          <w:color w:val="auto"/>
        </w:rPr>
      </w:pPr>
      <w:r>
        <w:rPr>
          <w:rFonts w:ascii="Arial" w:cs="Arial" w:eastAsia="Arial" w:hAnsi="Arial"/>
          <w:sz w:val="17"/>
          <w:szCs w:val="17"/>
          <w:color w:val="auto"/>
        </w:rPr>
        <w:t>or if such purchases are prohibited by Regulation M</w:t>
      </w:r>
    </w:p>
    <w:p>
      <w:pPr>
        <w:ind w:left="4560"/>
        <w:spacing w:after="0" w:line="232" w:lineRule="auto"/>
        <w:rPr>
          <w:sz w:val="20"/>
          <w:szCs w:val="20"/>
          <w:color w:val="auto"/>
        </w:rPr>
      </w:pPr>
      <w:r>
        <w:rPr>
          <w:rFonts w:ascii="Arial" w:cs="Arial" w:eastAsia="Arial" w:hAnsi="Arial"/>
          <w:sz w:val="17"/>
          <w:szCs w:val="17"/>
          <w:color w:val="auto"/>
        </w:rPr>
        <w:t>under the Securities Exchange Act of 1934, as</w:t>
      </w:r>
    </w:p>
    <w:p>
      <w:pPr>
        <w:ind w:left="4560"/>
        <w:spacing w:after="0" w:line="232" w:lineRule="auto"/>
        <w:rPr>
          <w:sz w:val="20"/>
          <w:szCs w:val="20"/>
          <w:color w:val="auto"/>
        </w:rPr>
      </w:pPr>
      <w:r>
        <w:rPr>
          <w:rFonts w:ascii="Arial" w:cs="Arial" w:eastAsia="Arial" w:hAnsi="Arial"/>
          <w:sz w:val="17"/>
          <w:szCs w:val="17"/>
          <w:color w:val="auto"/>
        </w:rPr>
        <w:t>amended, or the Exchange Act. We do not currently</w:t>
      </w:r>
    </w:p>
    <w:p>
      <w:pPr>
        <w:ind w:left="4560"/>
        <w:spacing w:after="0" w:line="232" w:lineRule="auto"/>
        <w:rPr>
          <w:sz w:val="20"/>
          <w:szCs w:val="20"/>
          <w:color w:val="auto"/>
        </w:rPr>
      </w:pPr>
      <w:r>
        <w:rPr>
          <w:rFonts w:ascii="Arial" w:cs="Arial" w:eastAsia="Arial" w:hAnsi="Arial"/>
          <w:sz w:val="17"/>
          <w:szCs w:val="17"/>
          <w:color w:val="auto"/>
        </w:rPr>
        <w:t>anticipate that such purchases, if any, would constitute a</w:t>
      </w:r>
    </w:p>
    <w:p>
      <w:pPr>
        <w:ind w:left="4560"/>
        <w:spacing w:after="0" w:line="232" w:lineRule="auto"/>
        <w:rPr>
          <w:sz w:val="20"/>
          <w:szCs w:val="20"/>
          <w:color w:val="auto"/>
        </w:rPr>
      </w:pPr>
      <w:r>
        <w:rPr>
          <w:rFonts w:ascii="Arial" w:cs="Arial" w:eastAsia="Arial" w:hAnsi="Arial"/>
          <w:sz w:val="17"/>
          <w:szCs w:val="17"/>
          <w:color w:val="auto"/>
        </w:rPr>
        <w:t>tender offer subject to the tender offer rules under the</w:t>
      </w:r>
    </w:p>
    <w:p>
      <w:pPr>
        <w:ind w:left="4560"/>
        <w:spacing w:after="0" w:line="232" w:lineRule="auto"/>
        <w:rPr>
          <w:sz w:val="20"/>
          <w:szCs w:val="20"/>
          <w:color w:val="auto"/>
        </w:rPr>
      </w:pPr>
      <w:r>
        <w:rPr>
          <w:rFonts w:ascii="Arial" w:cs="Arial" w:eastAsia="Arial" w:hAnsi="Arial"/>
          <w:sz w:val="17"/>
          <w:szCs w:val="17"/>
          <w:color w:val="auto"/>
        </w:rPr>
        <w:t>Exchange Act or a going-private transaction subject to</w:t>
      </w:r>
    </w:p>
    <w:p>
      <w:pPr>
        <w:ind w:left="4560"/>
        <w:spacing w:after="0" w:line="232" w:lineRule="auto"/>
        <w:rPr>
          <w:sz w:val="20"/>
          <w:szCs w:val="20"/>
          <w:color w:val="auto"/>
        </w:rPr>
      </w:pPr>
      <w:r>
        <w:rPr>
          <w:rFonts w:ascii="Arial" w:cs="Arial" w:eastAsia="Arial" w:hAnsi="Arial"/>
          <w:sz w:val="17"/>
          <w:szCs w:val="17"/>
          <w:color w:val="auto"/>
        </w:rPr>
        <w:t>the going-private rules under the Exchange Act;</w:t>
      </w:r>
    </w:p>
    <w:p>
      <w:pPr>
        <w:ind w:left="4560"/>
        <w:spacing w:after="0" w:line="232" w:lineRule="auto"/>
        <w:rPr>
          <w:sz w:val="20"/>
          <w:szCs w:val="20"/>
          <w:color w:val="auto"/>
        </w:rPr>
      </w:pPr>
      <w:r>
        <w:rPr>
          <w:rFonts w:ascii="Arial" w:cs="Arial" w:eastAsia="Arial" w:hAnsi="Arial"/>
          <w:sz w:val="17"/>
          <w:szCs w:val="17"/>
          <w:color w:val="auto"/>
        </w:rPr>
        <w:t>however, if the purchasers determine at the time of any</w:t>
      </w:r>
    </w:p>
    <w:p>
      <w:pPr>
        <w:ind w:left="4560"/>
        <w:spacing w:after="0" w:line="232" w:lineRule="auto"/>
        <w:rPr>
          <w:sz w:val="20"/>
          <w:szCs w:val="20"/>
          <w:color w:val="auto"/>
        </w:rPr>
      </w:pPr>
      <w:r>
        <w:rPr>
          <w:rFonts w:ascii="Arial" w:cs="Arial" w:eastAsia="Arial" w:hAnsi="Arial"/>
          <w:sz w:val="17"/>
          <w:szCs w:val="17"/>
          <w:color w:val="auto"/>
        </w:rPr>
        <w:t>such purchases that the purchases are subject to such</w:t>
      </w:r>
    </w:p>
    <w:p>
      <w:pPr>
        <w:ind w:left="4560"/>
        <w:spacing w:after="0" w:line="232" w:lineRule="auto"/>
        <w:rPr>
          <w:sz w:val="20"/>
          <w:szCs w:val="20"/>
          <w:color w:val="auto"/>
        </w:rPr>
      </w:pPr>
      <w:r>
        <w:rPr>
          <w:rFonts w:ascii="Arial" w:cs="Arial" w:eastAsia="Arial" w:hAnsi="Arial"/>
          <w:sz w:val="17"/>
          <w:szCs w:val="17"/>
          <w:color w:val="auto"/>
        </w:rPr>
        <w:t>rules, the purchasers will be required to comply with</w:t>
      </w:r>
    </w:p>
    <w:p>
      <w:pPr>
        <w:ind w:left="4560"/>
        <w:spacing w:after="0" w:line="232" w:lineRule="auto"/>
        <w:rPr>
          <w:sz w:val="20"/>
          <w:szCs w:val="20"/>
          <w:color w:val="auto"/>
        </w:rPr>
      </w:pPr>
      <w:r>
        <w:rPr>
          <w:rFonts w:ascii="Arial" w:cs="Arial" w:eastAsia="Arial" w:hAnsi="Arial"/>
          <w:sz w:val="17"/>
          <w:szCs w:val="17"/>
          <w:color w:val="auto"/>
        </w:rPr>
        <w:t>such rules. Any such purchases will be reported</w:t>
      </w:r>
    </w:p>
    <w:p>
      <w:pPr>
        <w:ind w:left="4560"/>
        <w:spacing w:after="0" w:line="232" w:lineRule="auto"/>
        <w:rPr>
          <w:sz w:val="20"/>
          <w:szCs w:val="20"/>
          <w:color w:val="auto"/>
        </w:rPr>
      </w:pPr>
      <w:r>
        <w:rPr>
          <w:rFonts w:ascii="Arial" w:cs="Arial" w:eastAsia="Arial" w:hAnsi="Arial"/>
          <w:sz w:val="17"/>
          <w:szCs w:val="17"/>
          <w:color w:val="auto"/>
        </w:rPr>
        <w:t>pursuant to Section 13 and Section 16 of the Exchange</w:t>
      </w:r>
    </w:p>
    <w:p>
      <w:pPr>
        <w:ind w:left="4560"/>
        <w:spacing w:after="0" w:line="232" w:lineRule="auto"/>
        <w:rPr>
          <w:sz w:val="20"/>
          <w:szCs w:val="20"/>
          <w:color w:val="auto"/>
        </w:rPr>
      </w:pPr>
      <w:r>
        <w:rPr>
          <w:rFonts w:ascii="Arial" w:cs="Arial" w:eastAsia="Arial" w:hAnsi="Arial"/>
          <w:sz w:val="17"/>
          <w:szCs w:val="17"/>
          <w:color w:val="auto"/>
        </w:rPr>
        <w:t>Act to the extent such purchasers are subject to such</w:t>
      </w:r>
    </w:p>
    <w:p>
      <w:pPr>
        <w:ind w:left="4560"/>
        <w:spacing w:after="0" w:line="232" w:lineRule="auto"/>
        <w:rPr>
          <w:sz w:val="20"/>
          <w:szCs w:val="20"/>
          <w:color w:val="auto"/>
        </w:rPr>
      </w:pPr>
      <w:r>
        <w:rPr>
          <w:rFonts w:ascii="Arial" w:cs="Arial" w:eastAsia="Arial" w:hAnsi="Arial"/>
          <w:sz w:val="17"/>
          <w:szCs w:val="17"/>
          <w:color w:val="auto"/>
        </w:rPr>
        <w:t>reporting requirements. See “Proposed Business —</w:t>
      </w:r>
    </w:p>
    <w:p>
      <w:pPr>
        <w:ind w:left="4560"/>
        <w:spacing w:after="0" w:line="232" w:lineRule="auto"/>
        <w:rPr>
          <w:sz w:val="20"/>
          <w:szCs w:val="20"/>
          <w:color w:val="auto"/>
        </w:rPr>
      </w:pPr>
      <w:r>
        <w:rPr>
          <w:rFonts w:ascii="Arial" w:cs="Arial" w:eastAsia="Arial" w:hAnsi="Arial"/>
          <w:sz w:val="17"/>
          <w:szCs w:val="17"/>
          <w:color w:val="auto"/>
        </w:rPr>
        <w:t>Permitted Purchases and Other Transactions with</w:t>
      </w:r>
    </w:p>
    <w:p>
      <w:pPr>
        <w:ind w:left="4560"/>
        <w:spacing w:after="0" w:line="232" w:lineRule="auto"/>
        <w:rPr>
          <w:sz w:val="20"/>
          <w:szCs w:val="20"/>
          <w:color w:val="auto"/>
        </w:rPr>
      </w:pPr>
      <w:r>
        <w:rPr>
          <w:rFonts w:ascii="Arial" w:cs="Arial" w:eastAsia="Arial" w:hAnsi="Arial"/>
          <w:sz w:val="17"/>
          <w:szCs w:val="17"/>
          <w:color w:val="auto"/>
        </w:rPr>
        <w:t>Respect to Our Securities” for a description of how our</w:t>
      </w:r>
    </w:p>
    <w:p>
      <w:pPr>
        <w:ind w:left="4560"/>
        <w:spacing w:after="0" w:line="232" w:lineRule="auto"/>
        <w:rPr>
          <w:sz w:val="20"/>
          <w:szCs w:val="20"/>
          <w:color w:val="auto"/>
        </w:rPr>
      </w:pPr>
      <w:r>
        <w:rPr>
          <w:rFonts w:ascii="Arial" w:cs="Arial" w:eastAsia="Arial" w:hAnsi="Arial"/>
          <w:sz w:val="17"/>
          <w:szCs w:val="17"/>
          <w:color w:val="auto"/>
        </w:rPr>
        <w:t>sponsor, directors, executive officers, advisors or their</w:t>
      </w:r>
    </w:p>
    <w:p>
      <w:pPr>
        <w:ind w:left="4560"/>
        <w:spacing w:after="0" w:line="232" w:lineRule="auto"/>
        <w:rPr>
          <w:sz w:val="20"/>
          <w:szCs w:val="20"/>
          <w:color w:val="auto"/>
        </w:rPr>
      </w:pPr>
      <w:r>
        <w:rPr>
          <w:rFonts w:ascii="Arial" w:cs="Arial" w:eastAsia="Arial" w:hAnsi="Arial"/>
          <w:sz w:val="17"/>
          <w:szCs w:val="17"/>
          <w:color w:val="auto"/>
        </w:rPr>
        <w:t>affiliates will select which shareholders to purchase</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securities from in any private transaction.</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The purpose of any such transaction could be to (1) vote</w:t>
      </w:r>
    </w:p>
    <w:p>
      <w:pPr>
        <w:ind w:left="4560"/>
        <w:spacing w:after="0" w:line="232" w:lineRule="auto"/>
        <w:rPr>
          <w:sz w:val="20"/>
          <w:szCs w:val="20"/>
          <w:color w:val="auto"/>
        </w:rPr>
      </w:pPr>
      <w:r>
        <w:rPr>
          <w:rFonts w:ascii="Arial" w:cs="Arial" w:eastAsia="Arial" w:hAnsi="Arial"/>
          <w:sz w:val="17"/>
          <w:szCs w:val="17"/>
          <w:color w:val="auto"/>
        </w:rPr>
        <w:t>in favor of the business combination and thereby</w:t>
      </w:r>
    </w:p>
    <w:p>
      <w:pPr>
        <w:ind w:left="4560"/>
        <w:spacing w:after="0" w:line="232" w:lineRule="auto"/>
        <w:rPr>
          <w:sz w:val="20"/>
          <w:szCs w:val="20"/>
          <w:color w:val="auto"/>
        </w:rPr>
      </w:pPr>
      <w:r>
        <w:rPr>
          <w:rFonts w:ascii="Arial" w:cs="Arial" w:eastAsia="Arial" w:hAnsi="Arial"/>
          <w:sz w:val="17"/>
          <w:szCs w:val="17"/>
          <w:color w:val="auto"/>
        </w:rPr>
        <w:t>increase the likelihood of obtaining shareholder approval</w:t>
      </w:r>
    </w:p>
    <w:p>
      <w:pPr>
        <w:ind w:left="4560"/>
        <w:spacing w:after="0" w:line="232" w:lineRule="auto"/>
        <w:rPr>
          <w:sz w:val="20"/>
          <w:szCs w:val="20"/>
          <w:color w:val="auto"/>
        </w:rPr>
      </w:pPr>
      <w:r>
        <w:rPr>
          <w:rFonts w:ascii="Arial" w:cs="Arial" w:eastAsia="Arial" w:hAnsi="Arial"/>
          <w:sz w:val="17"/>
          <w:szCs w:val="17"/>
          <w:color w:val="auto"/>
        </w:rPr>
        <w:t>of the business combination or (2) satisfy a closing</w:t>
      </w:r>
    </w:p>
    <w:p>
      <w:pPr>
        <w:ind w:left="4560"/>
        <w:spacing w:after="0" w:line="232" w:lineRule="auto"/>
        <w:rPr>
          <w:sz w:val="20"/>
          <w:szCs w:val="20"/>
          <w:color w:val="auto"/>
        </w:rPr>
      </w:pPr>
      <w:r>
        <w:rPr>
          <w:rFonts w:ascii="Arial" w:cs="Arial" w:eastAsia="Arial" w:hAnsi="Arial"/>
          <w:sz w:val="17"/>
          <w:szCs w:val="17"/>
          <w:color w:val="auto"/>
        </w:rPr>
        <w:t>condition in an agreement with a target that requires us</w:t>
      </w:r>
    </w:p>
    <w:p>
      <w:pPr>
        <w:ind w:left="4560"/>
        <w:spacing w:after="0" w:line="232" w:lineRule="auto"/>
        <w:rPr>
          <w:sz w:val="20"/>
          <w:szCs w:val="20"/>
          <w:color w:val="auto"/>
        </w:rPr>
      </w:pPr>
      <w:r>
        <w:rPr>
          <w:rFonts w:ascii="Arial" w:cs="Arial" w:eastAsia="Arial" w:hAnsi="Arial"/>
          <w:sz w:val="17"/>
          <w:szCs w:val="17"/>
          <w:color w:val="auto"/>
        </w:rPr>
        <w:t>to have a minimum net worth or a certain amount of cash</w:t>
      </w:r>
    </w:p>
    <w:p>
      <w:pPr>
        <w:ind w:left="4560"/>
        <w:spacing w:after="0" w:line="232" w:lineRule="auto"/>
        <w:rPr>
          <w:sz w:val="20"/>
          <w:szCs w:val="20"/>
          <w:color w:val="auto"/>
        </w:rPr>
      </w:pPr>
      <w:r>
        <w:rPr>
          <w:rFonts w:ascii="Arial" w:cs="Arial" w:eastAsia="Arial" w:hAnsi="Arial"/>
          <w:sz w:val="17"/>
          <w:szCs w:val="17"/>
          <w:color w:val="auto"/>
        </w:rPr>
        <w:t>at the closing of our initial business combination, where it</w:t>
      </w:r>
    </w:p>
    <w:p>
      <w:pPr>
        <w:ind w:left="4560"/>
        <w:spacing w:after="0" w:line="232" w:lineRule="auto"/>
        <w:rPr>
          <w:sz w:val="20"/>
          <w:szCs w:val="20"/>
          <w:color w:val="auto"/>
        </w:rPr>
      </w:pPr>
      <w:r>
        <w:rPr>
          <w:rFonts w:ascii="Arial" w:cs="Arial" w:eastAsia="Arial" w:hAnsi="Arial"/>
          <w:sz w:val="17"/>
          <w:szCs w:val="17"/>
          <w:color w:val="auto"/>
        </w:rPr>
        <w:t>appears that such requirement would otherwise not be</w:t>
      </w:r>
    </w:p>
    <w:p>
      <w:pPr>
        <w:ind w:left="4560"/>
        <w:spacing w:after="0" w:line="232" w:lineRule="auto"/>
        <w:rPr>
          <w:sz w:val="20"/>
          <w:szCs w:val="20"/>
          <w:color w:val="auto"/>
        </w:rPr>
      </w:pPr>
      <w:r>
        <w:rPr>
          <w:rFonts w:ascii="Arial" w:cs="Arial" w:eastAsia="Arial" w:hAnsi="Arial"/>
          <w:sz w:val="17"/>
          <w:szCs w:val="17"/>
          <w:color w:val="auto"/>
        </w:rPr>
        <w:t>met. Any such purchases of our securities may result in</w:t>
      </w:r>
    </w:p>
    <w:p>
      <w:pPr>
        <w:ind w:left="4560"/>
        <w:spacing w:after="0" w:line="232" w:lineRule="auto"/>
        <w:rPr>
          <w:sz w:val="20"/>
          <w:szCs w:val="20"/>
          <w:color w:val="auto"/>
        </w:rPr>
      </w:pPr>
      <w:r>
        <w:rPr>
          <w:rFonts w:ascii="Arial" w:cs="Arial" w:eastAsia="Arial" w:hAnsi="Arial"/>
          <w:sz w:val="17"/>
          <w:szCs w:val="17"/>
          <w:color w:val="auto"/>
        </w:rPr>
        <w:t>the completion of our initial business combination that</w:t>
      </w:r>
    </w:p>
    <w:p>
      <w:pPr>
        <w:ind w:left="4560"/>
        <w:spacing w:after="0" w:line="232" w:lineRule="auto"/>
        <w:rPr>
          <w:sz w:val="20"/>
          <w:szCs w:val="20"/>
          <w:color w:val="auto"/>
        </w:rPr>
      </w:pPr>
      <w:r>
        <w:rPr>
          <w:rFonts w:ascii="Arial" w:cs="Arial" w:eastAsia="Arial" w:hAnsi="Arial"/>
          <w:sz w:val="17"/>
          <w:szCs w:val="17"/>
          <w:color w:val="auto"/>
        </w:rPr>
        <w:t>may not otherwise have been possible. In addition, if</w:t>
      </w:r>
    </w:p>
    <w:p>
      <w:pPr>
        <w:ind w:left="4560"/>
        <w:spacing w:after="0"/>
        <w:rPr>
          <w:sz w:val="20"/>
          <w:szCs w:val="20"/>
          <w:color w:val="auto"/>
        </w:rPr>
      </w:pPr>
      <w:r>
        <w:rPr>
          <w:rFonts w:ascii="Arial" w:cs="Arial" w:eastAsia="Arial" w:hAnsi="Arial"/>
          <w:sz w:val="17"/>
          <w:szCs w:val="17"/>
          <w:color w:val="auto"/>
        </w:rPr>
        <w:t>such purchases are made, the public “float” of our</w:t>
      </w: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6306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90565" cy="6630670"/>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left="240"/>
        <w:spacing w:after="0" w:line="267" w:lineRule="auto"/>
        <w:rPr>
          <w:sz w:val="20"/>
          <w:szCs w:val="20"/>
          <w:color w:val="auto"/>
        </w:rPr>
      </w:pPr>
      <w:r>
        <w:rPr>
          <w:rFonts w:ascii="Arial" w:cs="Arial" w:eastAsia="Arial" w:hAnsi="Arial"/>
          <w:sz w:val="17"/>
          <w:szCs w:val="17"/>
          <w:b w:val="1"/>
          <w:bCs w:val="1"/>
          <w:color w:val="auto"/>
        </w:rPr>
        <w:t>Redemption rights for public shareholders upon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Limitations on redemptions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right="199"/>
        <w:spacing w:after="0" w:line="235" w:lineRule="auto"/>
        <w:rPr>
          <w:sz w:val="20"/>
          <w:szCs w:val="20"/>
          <w:color w:val="auto"/>
        </w:rPr>
      </w:pPr>
      <w:r>
        <w:rPr>
          <w:rFonts w:ascii="Arial" w:cs="Arial" w:eastAsia="Arial" w:hAnsi="Arial"/>
          <w:sz w:val="17"/>
          <w:szCs w:val="17"/>
          <w:color w:val="auto"/>
        </w:rPr>
        <w:t>Class A ordinary shares may be reduced and the number of beneficial holders of our securities may be reduced, which may make it difficult to maintain or obtain the quotation, listing or trading of our securities on a national securities exchange.</w:t>
      </w:r>
    </w:p>
    <w:p>
      <w:pPr>
        <w:spacing w:after="0" w:line="258" w:lineRule="exact"/>
        <w:rPr>
          <w:sz w:val="20"/>
          <w:szCs w:val="20"/>
          <w:color w:val="auto"/>
        </w:rPr>
      </w:pPr>
    </w:p>
    <w:p>
      <w:pPr>
        <w:ind w:right="199"/>
        <w:spacing w:after="0" w:line="232"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 The redemption rights may include the requirement that a beneficial holder must identify itself in order to validly redeem its shares. There will be no redemption rights upon the completion of our initial business combination with respect to our private placement shares. Further, we will not proceed with redeeming our public shares, even if a public shareholder has properly elected to redeem its shares, if a business combination does not close. Our sponsor and each member of our management team have entered into an agreement with us, pursuant to which they have agreed to waive their 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w:t>
      </w:r>
    </w:p>
    <w:p>
      <w:pPr>
        <w:spacing w:after="0" w:line="123" w:lineRule="exact"/>
        <w:rPr>
          <w:sz w:val="20"/>
          <w:szCs w:val="20"/>
          <w:color w:val="auto"/>
        </w:rPr>
      </w:pPr>
    </w:p>
    <w:p>
      <w:pPr>
        <w:ind w:right="239"/>
        <w:spacing w:after="0" w:line="238" w:lineRule="auto"/>
        <w:rPr>
          <w:sz w:val="20"/>
          <w:szCs w:val="20"/>
          <w:color w:val="auto"/>
        </w:rPr>
      </w:pPr>
      <w:r>
        <w:rPr>
          <w:rFonts w:ascii="Arial" w:cs="Arial" w:eastAsia="Arial" w:hAnsi="Arial"/>
          <w:sz w:val="17"/>
          <w:szCs w:val="17"/>
          <w:color w:val="auto"/>
        </w:rPr>
        <w:t>Our amended and restated memorandum and articles of association will provide that in no event will we redeem our public shares in an amount that would cause our net</w:t>
      </w:r>
    </w:p>
    <w:p>
      <w:pPr>
        <w:spacing w:after="0" w:line="200" w:lineRule="exact"/>
        <w:rPr>
          <w:sz w:val="20"/>
          <w:szCs w:val="20"/>
          <w:color w:val="auto"/>
        </w:rPr>
      </w:pPr>
    </w:p>
    <w:p>
      <w:pPr>
        <w:sectPr>
          <w:pgSz w:w="11900" w:h="16838" w:orient="portrait"/>
          <w:cols w:equalWidth="0" w:num="2">
            <w:col w:w="4200" w:space="360"/>
            <w:col w:w="4499"/>
          </w:cols>
          <w:pgMar w:left="1400" w:top="265" w:right="1440" w:bottom="1440" w:gutter="0" w:footer="0" w:header="0"/>
          <w:type w:val="continuous"/>
        </w:sect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type w:val="continuous"/>
        </w:sectPr>
      </w:pPr>
    </w:p>
    <w:bookmarkStart w:id="20" w:name="page21"/>
    <w:bookmarkEnd w:id="20"/>
    <w:p>
      <w:pPr>
        <w:ind w:left="96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37"/>
        </w:trPr>
        <w:tc>
          <w:tcPr>
            <w:tcW w:w="980" w:type="dxa"/>
            <w:vAlign w:val="bottom"/>
            <w:tcBorders>
              <w:right w:val="single" w:sz="8" w:color="auto"/>
            </w:tcBorders>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534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7"/>
                <w:szCs w:val="17"/>
                <w:color w:val="auto"/>
              </w:rPr>
              <w:t>tangible assets to be less than $5,000,001 (so that we</w:t>
            </w:r>
          </w:p>
        </w:tc>
        <w:tc>
          <w:tcPr>
            <w:tcW w:w="940" w:type="dxa"/>
            <w:vAlign w:val="bottom"/>
          </w:tcPr>
          <w:p>
            <w:pPr>
              <w:spacing w:after="0"/>
              <w:rPr>
                <w:sz w:val="24"/>
                <w:szCs w:val="24"/>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do not then become subject to the SEC’s “penny stock”</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rules). However, a greater net tangible asset or cash</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requirement may be contained in the agreement relating</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to our initial business combination. For example, the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proposed business combination may require: (i) cash</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consideration to be paid to the target or its owners,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(ii) cash to be transferred to the target for working capital</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or other general corporate purposes or (iii) the retention</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of cash to satisfy other conditions in accordance with the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terms of the proposed business combination.</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Furthermore, although we will not redeem shares in an</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amount that would cause our net tangible assets to fall</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below $5,000,001, we do not have a maximum</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redemption threshold based on the percentage of shares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sold in this offering, as many blank check companies do.</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In the event the aggregate cash consideration we would</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be required to pay for all Class A ordinary shares that</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are validly submitted for redemption plus any amount</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required to satisfy cash conditions pursuant to the terms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of the proposed business combination exceed the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aggregate amount of cash available to us, we will not</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complete the business combination or redeem any</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shares, and all Class A ordinary shares submitted for</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redemption will be returned to the holders thereof, and</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we instead may search for an alternate business</w:t>
            </w:r>
          </w:p>
        </w:tc>
        <w:tc>
          <w:tcPr>
            <w:tcW w:w="940" w:type="dxa"/>
            <w:vAlign w:val="bottom"/>
          </w:tcPr>
          <w:p>
            <w:pPr>
              <w:spacing w:after="0"/>
              <w:rPr>
                <w:sz w:val="16"/>
                <w:szCs w:val="16"/>
                <w:color w:val="auto"/>
              </w:rPr>
            </w:pPr>
          </w:p>
        </w:tc>
      </w:tr>
      <w:tr>
        <w:trPr>
          <w:trHeight w:val="205"/>
        </w:trPr>
        <w:tc>
          <w:tcPr>
            <w:tcW w:w="980" w:type="dxa"/>
            <w:vAlign w:val="bottom"/>
            <w:tcBorders>
              <w:right w:val="single" w:sz="8" w:color="auto"/>
            </w:tcBorders>
          </w:tcPr>
          <w:p>
            <w:pPr>
              <w:spacing w:after="0"/>
              <w:rPr>
                <w:sz w:val="17"/>
                <w:szCs w:val="17"/>
                <w:color w:val="auto"/>
              </w:rPr>
            </w:pPr>
          </w:p>
        </w:tc>
        <w:tc>
          <w:tcPr>
            <w:tcW w:w="3760" w:type="dxa"/>
            <w:vAlign w:val="bottom"/>
          </w:tcPr>
          <w:p>
            <w:pPr>
              <w:spacing w:after="0"/>
              <w:rPr>
                <w:sz w:val="17"/>
                <w:szCs w:val="17"/>
                <w:color w:val="auto"/>
              </w:rPr>
            </w:pPr>
          </w:p>
        </w:tc>
        <w:tc>
          <w:tcPr>
            <w:tcW w:w="5340" w:type="dxa"/>
            <w:vAlign w:val="bottom"/>
            <w:tcBorders>
              <w:right w:val="single" w:sz="8" w:color="auto"/>
            </w:tcBorders>
          </w:tcPr>
          <w:p>
            <w:pPr>
              <w:ind w:left="780"/>
              <w:spacing w:after="0"/>
              <w:rPr>
                <w:sz w:val="20"/>
                <w:szCs w:val="20"/>
                <w:color w:val="auto"/>
              </w:rPr>
            </w:pPr>
            <w:r>
              <w:rPr>
                <w:rFonts w:ascii="Arial" w:cs="Arial" w:eastAsia="Arial" w:hAnsi="Arial"/>
                <w:sz w:val="17"/>
                <w:szCs w:val="17"/>
                <w:color w:val="auto"/>
              </w:rPr>
              <w:t>combination.</w:t>
            </w:r>
          </w:p>
        </w:tc>
        <w:tc>
          <w:tcPr>
            <w:tcW w:w="940" w:type="dxa"/>
            <w:vAlign w:val="bottom"/>
          </w:tcPr>
          <w:p>
            <w:pPr>
              <w:spacing w:after="0"/>
              <w:rPr>
                <w:sz w:val="17"/>
                <w:szCs w:val="17"/>
                <w:color w:val="auto"/>
              </w:rPr>
            </w:pPr>
          </w:p>
        </w:tc>
      </w:tr>
      <w:tr>
        <w:trPr>
          <w:trHeight w:val="295"/>
        </w:trPr>
        <w:tc>
          <w:tcPr>
            <w:tcW w:w="98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7"/>
                <w:szCs w:val="17"/>
                <w:b w:val="1"/>
                <w:bCs w:val="1"/>
                <w:color w:val="auto"/>
              </w:rPr>
              <w:t>Manner of conducting redemptions</w:t>
            </w:r>
          </w:p>
        </w:tc>
        <w:tc>
          <w:tcPr>
            <w:tcW w:w="5340" w:type="dxa"/>
            <w:vAlign w:val="bottom"/>
            <w:tcBorders>
              <w:right w:val="single" w:sz="8" w:color="auto"/>
            </w:tcBorders>
          </w:tcPr>
          <w:p>
            <w:pPr>
              <w:ind w:left="780"/>
              <w:spacing w:after="0"/>
              <w:rPr>
                <w:sz w:val="20"/>
                <w:szCs w:val="20"/>
                <w:color w:val="auto"/>
              </w:rPr>
            </w:pPr>
            <w:r>
              <w:rPr>
                <w:rFonts w:ascii="Arial" w:cs="Arial" w:eastAsia="Arial" w:hAnsi="Arial"/>
                <w:sz w:val="17"/>
                <w:szCs w:val="17"/>
                <w:color w:val="auto"/>
              </w:rPr>
              <w:t>We will provide our public shareholders with the</w:t>
            </w:r>
          </w:p>
        </w:tc>
        <w:tc>
          <w:tcPr>
            <w:tcW w:w="940" w:type="dxa"/>
            <w:vAlign w:val="bottom"/>
          </w:tcPr>
          <w:p>
            <w:pPr>
              <w:spacing w:after="0"/>
              <w:rPr>
                <w:sz w:val="24"/>
                <w:szCs w:val="24"/>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opportunity to redeem all or a portion of their public</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shares upon the completion of our initial business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combination either (i) in connection with a shareholder</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meeting called to approve the business combination or</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(ii) by means of a tender offer. The decision as to</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whether we will seek shareholder approval of a proposed</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business combination or conduct a tender offer will be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made by us, solely in our discretion, and will be based</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on a variety of factors such as the timing of the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transaction and whether the terms of the transaction</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would require us to seek shareholder approval under</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applicable law or stock exchange listing requirement.</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Asset acquisitions and share purchases would not</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typically require shareholder approval, while direct</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mergers with our company where we do not survive and</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any transactions where we issue more than 20% of our</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outstanding ordinary shares (excluding the private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placement shares) or seek to amend our amended and</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restated memorandum and articles of association would</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typically require shareholder approval. We currently</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intend to conduct redemptions in connection with a</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5340" w:type="dxa"/>
            <w:vAlign w:val="bottom"/>
            <w:tcBorders>
              <w:right w:val="single" w:sz="8" w:color="auto"/>
            </w:tcBorders>
          </w:tcPr>
          <w:p>
            <w:pPr>
              <w:ind w:left="780"/>
              <w:spacing w:after="0" w:line="189" w:lineRule="exact"/>
              <w:rPr>
                <w:sz w:val="20"/>
                <w:szCs w:val="20"/>
                <w:color w:val="auto"/>
              </w:rPr>
            </w:pPr>
            <w:r>
              <w:rPr>
                <w:rFonts w:ascii="Arial" w:cs="Arial" w:eastAsia="Arial" w:hAnsi="Arial"/>
                <w:sz w:val="17"/>
                <w:szCs w:val="17"/>
                <w:color w:val="auto"/>
              </w:rPr>
              <w:t>shareholder vote unless shareholder approval is not</w:t>
            </w:r>
          </w:p>
        </w:tc>
        <w:tc>
          <w:tcPr>
            <w:tcW w:w="940" w:type="dxa"/>
            <w:vAlign w:val="bottom"/>
          </w:tcPr>
          <w:p>
            <w:pPr>
              <w:spacing w:after="0"/>
              <w:rPr>
                <w:sz w:val="16"/>
                <w:szCs w:val="16"/>
                <w:color w:val="auto"/>
              </w:rPr>
            </w:pPr>
          </w:p>
        </w:tc>
      </w:tr>
      <w:tr>
        <w:trPr>
          <w:trHeight w:val="205"/>
        </w:trPr>
        <w:tc>
          <w:tcPr>
            <w:tcW w:w="980" w:type="dxa"/>
            <w:vAlign w:val="bottom"/>
            <w:tcBorders>
              <w:right w:val="single" w:sz="8" w:color="auto"/>
            </w:tcBorders>
          </w:tcPr>
          <w:p>
            <w:pPr>
              <w:spacing w:after="0"/>
              <w:rPr>
                <w:sz w:val="17"/>
                <w:szCs w:val="17"/>
                <w:color w:val="auto"/>
              </w:rPr>
            </w:pPr>
          </w:p>
        </w:tc>
        <w:tc>
          <w:tcPr>
            <w:tcW w:w="3760" w:type="dxa"/>
            <w:vAlign w:val="bottom"/>
          </w:tcPr>
          <w:p>
            <w:pPr>
              <w:spacing w:after="0"/>
              <w:rPr>
                <w:sz w:val="17"/>
                <w:szCs w:val="17"/>
                <w:color w:val="auto"/>
              </w:rPr>
            </w:pPr>
          </w:p>
        </w:tc>
        <w:tc>
          <w:tcPr>
            <w:tcW w:w="5340" w:type="dxa"/>
            <w:vAlign w:val="bottom"/>
            <w:tcBorders>
              <w:right w:val="single" w:sz="8" w:color="auto"/>
            </w:tcBorders>
          </w:tcPr>
          <w:p>
            <w:pPr>
              <w:ind w:left="780"/>
              <w:spacing w:after="0"/>
              <w:rPr>
                <w:sz w:val="20"/>
                <w:szCs w:val="20"/>
                <w:color w:val="auto"/>
              </w:rPr>
            </w:pPr>
            <w:r>
              <w:rPr>
                <w:rFonts w:ascii="Arial" w:cs="Arial" w:eastAsia="Arial" w:hAnsi="Arial"/>
                <w:sz w:val="17"/>
                <w:szCs w:val="17"/>
                <w:color w:val="auto"/>
              </w:rPr>
              <w:t>required by applicable law or stock</w:t>
            </w:r>
          </w:p>
        </w:tc>
        <w:tc>
          <w:tcPr>
            <w:tcW w:w="940" w:type="dxa"/>
            <w:vAlign w:val="bottom"/>
          </w:tcPr>
          <w:p>
            <w:pPr>
              <w:spacing w:after="0"/>
              <w:rPr>
                <w:sz w:val="17"/>
                <w:szCs w:val="17"/>
                <w:color w:val="auto"/>
              </w:rPr>
            </w:pPr>
          </w:p>
        </w:tc>
      </w:tr>
      <w:tr>
        <w:trPr>
          <w:trHeight w:val="217"/>
        </w:trPr>
        <w:tc>
          <w:tcPr>
            <w:tcW w:w="980" w:type="dxa"/>
            <w:vAlign w:val="bottom"/>
            <w:tcBorders>
              <w:right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5340" w:type="dxa"/>
            <w:vAlign w:val="bottom"/>
            <w:tcBorders>
              <w:bottom w:val="single" w:sz="8" w:color="auto"/>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r>
      <w:tr>
        <w:trPr>
          <w:trHeight w:val="409"/>
        </w:trPr>
        <w:tc>
          <w:tcPr>
            <w:tcW w:w="9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340" w:type="dxa"/>
            <w:vAlign w:val="bottom"/>
          </w:tcPr>
          <w:p>
            <w:pPr>
              <w:ind w:left="680"/>
              <w:spacing w:after="0"/>
              <w:rPr>
                <w:sz w:val="20"/>
                <w:szCs w:val="20"/>
                <w:color w:val="auto"/>
              </w:rPr>
            </w:pPr>
            <w:r>
              <w:rPr>
                <w:rFonts w:ascii="Arial" w:cs="Arial" w:eastAsia="Arial" w:hAnsi="Arial"/>
                <w:sz w:val="16"/>
                <w:szCs w:val="16"/>
                <w:color w:val="auto"/>
              </w:rPr>
              <w:t>19</w:t>
            </w:r>
          </w:p>
        </w:tc>
        <w:tc>
          <w:tcPr>
            <w:tcW w:w="940" w:type="dxa"/>
            <w:vAlign w:val="bottom"/>
          </w:tcPr>
          <w:p>
            <w:pPr>
              <w:spacing w:after="0"/>
              <w:rPr>
                <w:sz w:val="24"/>
                <w:szCs w:val="24"/>
                <w:color w:val="auto"/>
              </w:rPr>
            </w:pPr>
          </w:p>
        </w:tc>
      </w:tr>
      <w:tr>
        <w:trPr>
          <w:trHeight w:val="175"/>
        </w:trPr>
        <w:tc>
          <w:tcPr>
            <w:tcW w:w="98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tcPr>
          <w:p>
            <w:pPr>
              <w:spacing w:after="0"/>
              <w:rPr>
                <w:sz w:val="15"/>
                <w:szCs w:val="15"/>
                <w:color w:val="auto"/>
              </w:rPr>
            </w:pPr>
          </w:p>
        </w:tc>
        <w:tc>
          <w:tcPr>
            <w:tcW w:w="5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613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90565" cy="661352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exchange rule or we choose to conduct redemptions</w:t>
      </w:r>
    </w:p>
    <w:p>
      <w:pPr>
        <w:ind w:left="4560"/>
        <w:spacing w:after="0" w:line="232" w:lineRule="auto"/>
        <w:rPr>
          <w:sz w:val="20"/>
          <w:szCs w:val="20"/>
          <w:color w:val="auto"/>
        </w:rPr>
      </w:pPr>
      <w:r>
        <w:rPr>
          <w:rFonts w:ascii="Arial" w:cs="Arial" w:eastAsia="Arial" w:hAnsi="Arial"/>
          <w:sz w:val="17"/>
          <w:szCs w:val="17"/>
          <w:color w:val="auto"/>
        </w:rPr>
        <w:t>pursuant to the tender offer rules of the SEC for business</w:t>
      </w:r>
    </w:p>
    <w:p>
      <w:pPr>
        <w:ind w:left="4560"/>
        <w:spacing w:after="0"/>
        <w:rPr>
          <w:sz w:val="20"/>
          <w:szCs w:val="20"/>
          <w:color w:val="auto"/>
        </w:rPr>
      </w:pPr>
      <w:r>
        <w:rPr>
          <w:rFonts w:ascii="Arial" w:cs="Arial" w:eastAsia="Arial" w:hAnsi="Arial"/>
          <w:sz w:val="17"/>
          <w:szCs w:val="17"/>
          <w:color w:val="auto"/>
        </w:rPr>
        <w:t>or other reasons.</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If we hold a shareholder vote to approve our initial</w:t>
      </w:r>
    </w:p>
    <w:p>
      <w:pPr>
        <w:ind w:left="4560"/>
        <w:spacing w:after="0"/>
        <w:rPr>
          <w:sz w:val="20"/>
          <w:szCs w:val="20"/>
          <w:color w:val="auto"/>
        </w:rPr>
      </w:pPr>
      <w:r>
        <w:rPr>
          <w:rFonts w:ascii="Arial" w:cs="Arial" w:eastAsia="Arial" w:hAnsi="Arial"/>
          <w:sz w:val="17"/>
          <w:szCs w:val="17"/>
          <w:color w:val="auto"/>
        </w:rPr>
        <w:t>business combination, we will:</w:t>
      </w:r>
    </w:p>
    <w:p>
      <w:pPr>
        <w:spacing w:after="0" w:line="95" w:lineRule="exact"/>
        <w:rPr>
          <w:sz w:val="20"/>
          <w:szCs w:val="20"/>
          <w:color w:val="auto"/>
        </w:rPr>
      </w:pPr>
    </w:p>
    <w:p>
      <w:pPr>
        <w:ind w:left="4560"/>
        <w:spacing w:after="0"/>
        <w:tabs>
          <w:tab w:leader="none" w:pos="49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conduct the redemptions in conjunction with a proxy</w:t>
      </w:r>
    </w:p>
    <w:p>
      <w:pPr>
        <w:ind w:left="4920"/>
        <w:spacing w:after="0" w:line="232" w:lineRule="auto"/>
        <w:rPr>
          <w:sz w:val="20"/>
          <w:szCs w:val="20"/>
          <w:color w:val="auto"/>
        </w:rPr>
      </w:pPr>
      <w:r>
        <w:rPr>
          <w:rFonts w:ascii="Arial" w:cs="Arial" w:eastAsia="Arial" w:hAnsi="Arial"/>
          <w:sz w:val="17"/>
          <w:szCs w:val="17"/>
          <w:color w:val="auto"/>
        </w:rPr>
        <w:t>solicitation pursuant to Regulation 14A of the</w:t>
      </w:r>
    </w:p>
    <w:p>
      <w:pPr>
        <w:ind w:left="4920"/>
        <w:spacing w:after="0" w:line="232" w:lineRule="auto"/>
        <w:rPr>
          <w:sz w:val="20"/>
          <w:szCs w:val="20"/>
          <w:color w:val="auto"/>
        </w:rPr>
      </w:pPr>
      <w:r>
        <w:rPr>
          <w:rFonts w:ascii="Arial" w:cs="Arial" w:eastAsia="Arial" w:hAnsi="Arial"/>
          <w:sz w:val="17"/>
          <w:szCs w:val="17"/>
          <w:color w:val="auto"/>
        </w:rPr>
        <w:t>Exchange Act, which regulates the solicitation of</w:t>
      </w:r>
    </w:p>
    <w:p>
      <w:pPr>
        <w:ind w:left="4920"/>
        <w:spacing w:after="0" w:line="232" w:lineRule="auto"/>
        <w:rPr>
          <w:sz w:val="20"/>
          <w:szCs w:val="20"/>
          <w:color w:val="auto"/>
        </w:rPr>
      </w:pPr>
      <w:r>
        <w:rPr>
          <w:rFonts w:ascii="Arial" w:cs="Arial" w:eastAsia="Arial" w:hAnsi="Arial"/>
          <w:sz w:val="17"/>
          <w:szCs w:val="17"/>
          <w:color w:val="auto"/>
        </w:rPr>
        <w:t>proxies, and not pursuant to the tender offer rules;</w:t>
      </w:r>
    </w:p>
    <w:p>
      <w:pPr>
        <w:ind w:left="4920"/>
        <w:spacing w:after="0"/>
        <w:rPr>
          <w:sz w:val="20"/>
          <w:szCs w:val="20"/>
          <w:color w:val="auto"/>
        </w:rPr>
      </w:pPr>
      <w:r>
        <w:rPr>
          <w:rFonts w:ascii="Arial" w:cs="Arial" w:eastAsia="Arial" w:hAnsi="Arial"/>
          <w:sz w:val="17"/>
          <w:szCs w:val="17"/>
          <w:color w:val="auto"/>
        </w:rPr>
        <w:t>and</w:t>
      </w:r>
    </w:p>
    <w:p>
      <w:pPr>
        <w:spacing w:after="0" w:line="102" w:lineRule="exact"/>
        <w:rPr>
          <w:sz w:val="20"/>
          <w:szCs w:val="20"/>
          <w:color w:val="auto"/>
        </w:rPr>
      </w:pPr>
    </w:p>
    <w:p>
      <w:pPr>
        <w:ind w:left="4560"/>
        <w:spacing w:after="0"/>
        <w:tabs>
          <w:tab w:leader="none" w:pos="49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file proxy materials with the SEC.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If we seek shareholder approval, we will complete our</w:t>
      </w:r>
    </w:p>
    <w:p>
      <w:pPr>
        <w:ind w:left="4560"/>
        <w:spacing w:after="0" w:line="232" w:lineRule="auto"/>
        <w:rPr>
          <w:sz w:val="20"/>
          <w:szCs w:val="20"/>
          <w:color w:val="auto"/>
        </w:rPr>
      </w:pPr>
      <w:r>
        <w:rPr>
          <w:rFonts w:ascii="Arial" w:cs="Arial" w:eastAsia="Arial" w:hAnsi="Arial"/>
          <w:sz w:val="17"/>
          <w:szCs w:val="17"/>
          <w:color w:val="auto"/>
        </w:rPr>
        <w:t>initial business combination only if a majority of the</w:t>
      </w:r>
    </w:p>
    <w:p>
      <w:pPr>
        <w:ind w:left="4560"/>
        <w:spacing w:after="0" w:line="232" w:lineRule="auto"/>
        <w:rPr>
          <w:sz w:val="20"/>
          <w:szCs w:val="20"/>
          <w:color w:val="auto"/>
        </w:rPr>
      </w:pPr>
      <w:r>
        <w:rPr>
          <w:rFonts w:ascii="Arial" w:cs="Arial" w:eastAsia="Arial" w:hAnsi="Arial"/>
          <w:sz w:val="17"/>
          <w:szCs w:val="17"/>
          <w:color w:val="auto"/>
        </w:rPr>
        <w:t>ordinary shares, represented in person or by proxy and</w:t>
      </w:r>
    </w:p>
    <w:p>
      <w:pPr>
        <w:ind w:left="4560"/>
        <w:spacing w:after="0" w:line="232" w:lineRule="auto"/>
        <w:rPr>
          <w:sz w:val="20"/>
          <w:szCs w:val="20"/>
          <w:color w:val="auto"/>
        </w:rPr>
      </w:pPr>
      <w:r>
        <w:rPr>
          <w:rFonts w:ascii="Arial" w:cs="Arial" w:eastAsia="Arial" w:hAnsi="Arial"/>
          <w:sz w:val="17"/>
          <w:szCs w:val="17"/>
          <w:color w:val="auto"/>
        </w:rPr>
        <w:t>entitled to vote thereon, voted at a shareholder meeting</w:t>
      </w:r>
    </w:p>
    <w:p>
      <w:pPr>
        <w:ind w:left="4560"/>
        <w:spacing w:after="0" w:line="232" w:lineRule="auto"/>
        <w:rPr>
          <w:sz w:val="20"/>
          <w:szCs w:val="20"/>
          <w:color w:val="auto"/>
        </w:rPr>
      </w:pPr>
      <w:r>
        <w:rPr>
          <w:rFonts w:ascii="Arial" w:cs="Arial" w:eastAsia="Arial" w:hAnsi="Arial"/>
          <w:sz w:val="17"/>
          <w:szCs w:val="17"/>
          <w:color w:val="auto"/>
        </w:rPr>
        <w:t>are voted in favor of the business combination. In such</w:t>
      </w:r>
    </w:p>
    <w:p>
      <w:pPr>
        <w:ind w:left="4560"/>
        <w:spacing w:after="0" w:line="232" w:lineRule="auto"/>
        <w:rPr>
          <w:sz w:val="20"/>
          <w:szCs w:val="20"/>
          <w:color w:val="auto"/>
        </w:rPr>
      </w:pPr>
      <w:r>
        <w:rPr>
          <w:rFonts w:ascii="Arial" w:cs="Arial" w:eastAsia="Arial" w:hAnsi="Arial"/>
          <w:sz w:val="17"/>
          <w:szCs w:val="17"/>
          <w:color w:val="auto"/>
        </w:rPr>
        <w:t>case, our sponsor and our management team have</w:t>
      </w:r>
    </w:p>
    <w:p>
      <w:pPr>
        <w:ind w:left="4560"/>
        <w:spacing w:after="0" w:line="232" w:lineRule="auto"/>
        <w:rPr>
          <w:sz w:val="20"/>
          <w:szCs w:val="20"/>
          <w:color w:val="auto"/>
        </w:rPr>
      </w:pPr>
      <w:r>
        <w:rPr>
          <w:rFonts w:ascii="Arial" w:cs="Arial" w:eastAsia="Arial" w:hAnsi="Arial"/>
          <w:sz w:val="17"/>
          <w:szCs w:val="17"/>
          <w:color w:val="auto"/>
        </w:rPr>
        <w:t>agreed to vote their founder shares, private placement</w:t>
      </w:r>
    </w:p>
    <w:p>
      <w:pPr>
        <w:ind w:left="4560"/>
        <w:spacing w:after="0" w:line="232" w:lineRule="auto"/>
        <w:rPr>
          <w:sz w:val="20"/>
          <w:szCs w:val="20"/>
          <w:color w:val="auto"/>
        </w:rPr>
      </w:pPr>
      <w:r>
        <w:rPr>
          <w:rFonts w:ascii="Arial" w:cs="Arial" w:eastAsia="Arial" w:hAnsi="Arial"/>
          <w:sz w:val="17"/>
          <w:szCs w:val="17"/>
          <w:color w:val="auto"/>
        </w:rPr>
        <w:t>shares and any public shares purchased during or after</w:t>
      </w:r>
    </w:p>
    <w:p>
      <w:pPr>
        <w:ind w:left="4560"/>
        <w:spacing w:after="0" w:line="232" w:lineRule="auto"/>
        <w:rPr>
          <w:sz w:val="20"/>
          <w:szCs w:val="20"/>
          <w:color w:val="auto"/>
        </w:rPr>
      </w:pPr>
      <w:r>
        <w:rPr>
          <w:rFonts w:ascii="Arial" w:cs="Arial" w:eastAsia="Arial" w:hAnsi="Arial"/>
          <w:sz w:val="17"/>
          <w:szCs w:val="17"/>
          <w:color w:val="auto"/>
        </w:rPr>
        <w:t>this offering in favor of our initial business combination.</w:t>
      </w:r>
    </w:p>
    <w:p>
      <w:pPr>
        <w:ind w:left="4560"/>
        <w:spacing w:after="0" w:line="232" w:lineRule="auto"/>
        <w:rPr>
          <w:sz w:val="20"/>
          <w:szCs w:val="20"/>
          <w:color w:val="auto"/>
        </w:rPr>
      </w:pPr>
      <w:r>
        <w:rPr>
          <w:rFonts w:ascii="Arial" w:cs="Arial" w:eastAsia="Arial" w:hAnsi="Arial"/>
          <w:sz w:val="17"/>
          <w:szCs w:val="17"/>
          <w:color w:val="auto"/>
        </w:rPr>
        <w:t>As a result, in addition to our initial shareholders’ founder</w:t>
      </w:r>
    </w:p>
    <w:p>
      <w:pPr>
        <w:ind w:left="4560"/>
        <w:spacing w:after="0" w:line="232" w:lineRule="auto"/>
        <w:rPr>
          <w:sz w:val="20"/>
          <w:szCs w:val="20"/>
          <w:color w:val="auto"/>
        </w:rPr>
      </w:pPr>
      <w:r>
        <w:rPr>
          <w:rFonts w:ascii="Arial" w:cs="Arial" w:eastAsia="Arial" w:hAnsi="Arial"/>
          <w:sz w:val="17"/>
          <w:szCs w:val="17"/>
          <w:color w:val="auto"/>
        </w:rPr>
        <w:t>shares and private placement shares, we would need</w:t>
      </w:r>
    </w:p>
    <w:p>
      <w:pPr>
        <w:ind w:left="4560"/>
        <w:spacing w:after="0" w:line="232" w:lineRule="auto"/>
        <w:rPr>
          <w:sz w:val="20"/>
          <w:szCs w:val="20"/>
          <w:color w:val="auto"/>
        </w:rPr>
      </w:pPr>
      <w:r>
        <w:rPr>
          <w:rFonts w:ascii="Arial" w:cs="Arial" w:eastAsia="Arial" w:hAnsi="Arial"/>
          <w:sz w:val="17"/>
          <w:szCs w:val="17"/>
          <w:color w:val="auto"/>
        </w:rPr>
        <w:t>4,645,001, or 35.73%, of the 13,000,000 public shares</w:t>
      </w:r>
    </w:p>
    <w:p>
      <w:pPr>
        <w:ind w:left="4560"/>
        <w:spacing w:after="0" w:line="232" w:lineRule="auto"/>
        <w:rPr>
          <w:sz w:val="20"/>
          <w:szCs w:val="20"/>
          <w:color w:val="auto"/>
        </w:rPr>
      </w:pPr>
      <w:r>
        <w:rPr>
          <w:rFonts w:ascii="Arial" w:cs="Arial" w:eastAsia="Arial" w:hAnsi="Arial"/>
          <w:sz w:val="17"/>
          <w:szCs w:val="17"/>
          <w:color w:val="auto"/>
        </w:rPr>
        <w:t>sold in this offering to be voted in favor of an initial</w:t>
      </w:r>
    </w:p>
    <w:p>
      <w:pPr>
        <w:ind w:left="4560"/>
        <w:spacing w:after="0" w:line="232" w:lineRule="auto"/>
        <w:rPr>
          <w:sz w:val="20"/>
          <w:szCs w:val="20"/>
          <w:color w:val="auto"/>
        </w:rPr>
      </w:pPr>
      <w:r>
        <w:rPr>
          <w:rFonts w:ascii="Arial" w:cs="Arial" w:eastAsia="Arial" w:hAnsi="Arial"/>
          <w:sz w:val="17"/>
          <w:szCs w:val="17"/>
          <w:color w:val="auto"/>
        </w:rPr>
        <w:t>business combination in order to have our initial</w:t>
      </w:r>
    </w:p>
    <w:p>
      <w:pPr>
        <w:ind w:left="4560"/>
        <w:spacing w:after="0" w:line="232" w:lineRule="auto"/>
        <w:rPr>
          <w:sz w:val="20"/>
          <w:szCs w:val="20"/>
          <w:color w:val="auto"/>
        </w:rPr>
      </w:pPr>
      <w:r>
        <w:rPr>
          <w:rFonts w:ascii="Arial" w:cs="Arial" w:eastAsia="Arial" w:hAnsi="Arial"/>
          <w:sz w:val="17"/>
          <w:szCs w:val="17"/>
          <w:color w:val="auto"/>
        </w:rPr>
        <w:t>business combination approved (assuming all issued</w:t>
      </w:r>
    </w:p>
    <w:p>
      <w:pPr>
        <w:ind w:left="4560"/>
        <w:spacing w:after="0" w:line="232" w:lineRule="auto"/>
        <w:rPr>
          <w:sz w:val="20"/>
          <w:szCs w:val="20"/>
          <w:color w:val="auto"/>
        </w:rPr>
      </w:pPr>
      <w:r>
        <w:rPr>
          <w:rFonts w:ascii="Arial" w:cs="Arial" w:eastAsia="Arial" w:hAnsi="Arial"/>
          <w:sz w:val="17"/>
          <w:szCs w:val="17"/>
          <w:color w:val="auto"/>
        </w:rPr>
        <w:t>and outstanding shares are voted, the private placement</w:t>
      </w:r>
    </w:p>
    <w:p>
      <w:pPr>
        <w:ind w:left="4560"/>
        <w:spacing w:after="0" w:line="232" w:lineRule="auto"/>
        <w:rPr>
          <w:sz w:val="20"/>
          <w:szCs w:val="20"/>
          <w:color w:val="auto"/>
        </w:rPr>
      </w:pPr>
      <w:r>
        <w:rPr>
          <w:rFonts w:ascii="Arial" w:cs="Arial" w:eastAsia="Arial" w:hAnsi="Arial"/>
          <w:sz w:val="17"/>
          <w:szCs w:val="17"/>
          <w:color w:val="auto"/>
        </w:rPr>
        <w:t>shares to be issued to our sponsor are voted in favor of</w:t>
      </w:r>
    </w:p>
    <w:p>
      <w:pPr>
        <w:ind w:left="4560"/>
        <w:spacing w:after="0" w:line="232" w:lineRule="auto"/>
        <w:rPr>
          <w:sz w:val="20"/>
          <w:szCs w:val="20"/>
          <w:color w:val="auto"/>
        </w:rPr>
      </w:pPr>
      <w:r>
        <w:rPr>
          <w:rFonts w:ascii="Arial" w:cs="Arial" w:eastAsia="Arial" w:hAnsi="Arial"/>
          <w:sz w:val="17"/>
          <w:szCs w:val="17"/>
          <w:color w:val="auto"/>
        </w:rPr>
        <w:t>the transaction and the over-allotment option is not</w:t>
      </w:r>
    </w:p>
    <w:p>
      <w:pPr>
        <w:ind w:left="4560"/>
        <w:spacing w:after="0" w:line="232" w:lineRule="auto"/>
        <w:rPr>
          <w:sz w:val="20"/>
          <w:szCs w:val="20"/>
          <w:color w:val="auto"/>
        </w:rPr>
      </w:pPr>
      <w:r>
        <w:rPr>
          <w:rFonts w:ascii="Arial" w:cs="Arial" w:eastAsia="Arial" w:hAnsi="Arial"/>
          <w:sz w:val="17"/>
          <w:szCs w:val="17"/>
          <w:color w:val="auto"/>
        </w:rPr>
        <w:t>exercised). Each public shareholder may elect to redeem</w:t>
      </w:r>
    </w:p>
    <w:p>
      <w:pPr>
        <w:ind w:left="4560"/>
        <w:spacing w:after="0" w:line="232" w:lineRule="auto"/>
        <w:rPr>
          <w:sz w:val="20"/>
          <w:szCs w:val="20"/>
          <w:color w:val="auto"/>
        </w:rPr>
      </w:pPr>
      <w:r>
        <w:rPr>
          <w:rFonts w:ascii="Arial" w:cs="Arial" w:eastAsia="Arial" w:hAnsi="Arial"/>
          <w:sz w:val="17"/>
          <w:szCs w:val="17"/>
          <w:color w:val="auto"/>
        </w:rPr>
        <w:t>their public shares irrespective of whether they vote for</w:t>
      </w:r>
    </w:p>
    <w:p>
      <w:pPr>
        <w:ind w:left="4560"/>
        <w:spacing w:after="0" w:line="233" w:lineRule="auto"/>
        <w:rPr>
          <w:sz w:val="20"/>
          <w:szCs w:val="20"/>
          <w:color w:val="auto"/>
        </w:rPr>
      </w:pPr>
      <w:r>
        <w:rPr>
          <w:rFonts w:ascii="Arial" w:cs="Arial" w:eastAsia="Arial" w:hAnsi="Arial"/>
          <w:sz w:val="17"/>
          <w:szCs w:val="17"/>
          <w:color w:val="auto"/>
        </w:rPr>
        <w:t>or against the proposed transaction or vote at all. Our</w:t>
      </w:r>
    </w:p>
    <w:p>
      <w:pPr>
        <w:ind w:left="4560"/>
        <w:spacing w:after="0" w:line="232" w:lineRule="auto"/>
        <w:rPr>
          <w:sz w:val="20"/>
          <w:szCs w:val="20"/>
          <w:color w:val="auto"/>
        </w:rPr>
      </w:pPr>
      <w:r>
        <w:rPr>
          <w:rFonts w:ascii="Arial" w:cs="Arial" w:eastAsia="Arial" w:hAnsi="Arial"/>
          <w:sz w:val="17"/>
          <w:szCs w:val="17"/>
          <w:color w:val="auto"/>
        </w:rPr>
        <w:t>amended and restated memorandum and articles of</w:t>
      </w:r>
    </w:p>
    <w:p>
      <w:pPr>
        <w:ind w:left="4560"/>
        <w:spacing w:after="0" w:line="232" w:lineRule="auto"/>
        <w:rPr>
          <w:sz w:val="20"/>
          <w:szCs w:val="20"/>
          <w:color w:val="auto"/>
        </w:rPr>
      </w:pPr>
      <w:r>
        <w:rPr>
          <w:rFonts w:ascii="Arial" w:cs="Arial" w:eastAsia="Arial" w:hAnsi="Arial"/>
          <w:sz w:val="17"/>
          <w:szCs w:val="17"/>
          <w:color w:val="auto"/>
        </w:rPr>
        <w:t>association will require that at least five clear days’</w:t>
      </w:r>
    </w:p>
    <w:p>
      <w:pPr>
        <w:ind w:left="4560"/>
        <w:spacing w:after="0"/>
        <w:rPr>
          <w:sz w:val="20"/>
          <w:szCs w:val="20"/>
          <w:color w:val="auto"/>
        </w:rPr>
      </w:pPr>
      <w:r>
        <w:rPr>
          <w:rFonts w:ascii="Arial" w:cs="Arial" w:eastAsia="Arial" w:hAnsi="Arial"/>
          <w:sz w:val="17"/>
          <w:szCs w:val="17"/>
          <w:color w:val="auto"/>
        </w:rPr>
        <w:t>notice will be given of any such shareholder meeting.</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If we conduct redemptions pursuant to the tender offer</w:t>
      </w:r>
    </w:p>
    <w:p>
      <w:pPr>
        <w:ind w:left="4560"/>
        <w:spacing w:after="0" w:line="232" w:lineRule="auto"/>
        <w:rPr>
          <w:sz w:val="20"/>
          <w:szCs w:val="20"/>
          <w:color w:val="auto"/>
        </w:rPr>
      </w:pPr>
      <w:r>
        <w:rPr>
          <w:rFonts w:ascii="Arial" w:cs="Arial" w:eastAsia="Arial" w:hAnsi="Arial"/>
          <w:sz w:val="17"/>
          <w:szCs w:val="17"/>
          <w:color w:val="auto"/>
        </w:rPr>
        <w:t>rules of the SEC, we will, pursuant to our amended and</w:t>
      </w:r>
    </w:p>
    <w:p>
      <w:pPr>
        <w:ind w:left="4560"/>
        <w:spacing w:after="0"/>
        <w:rPr>
          <w:sz w:val="20"/>
          <w:szCs w:val="20"/>
          <w:color w:val="auto"/>
        </w:rPr>
      </w:pPr>
      <w:r>
        <w:rPr>
          <w:rFonts w:ascii="Arial" w:cs="Arial" w:eastAsia="Arial" w:hAnsi="Arial"/>
          <w:sz w:val="17"/>
          <w:szCs w:val="17"/>
          <w:color w:val="auto"/>
        </w:rPr>
        <w:t>restated memorandum and articles of association:</w:t>
      </w:r>
    </w:p>
    <w:p>
      <w:pPr>
        <w:spacing w:after="0" w:line="95" w:lineRule="exact"/>
        <w:rPr>
          <w:sz w:val="20"/>
          <w:szCs w:val="20"/>
          <w:color w:val="auto"/>
        </w:rPr>
      </w:pPr>
    </w:p>
    <w:p>
      <w:pPr>
        <w:ind w:left="4560"/>
        <w:spacing w:after="0"/>
        <w:tabs>
          <w:tab w:leader="none" w:pos="49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conduct the redemptions pursuant to Rule 13e-4</w:t>
      </w:r>
    </w:p>
    <w:p>
      <w:pPr>
        <w:ind w:left="4920"/>
        <w:spacing w:after="0" w:line="232" w:lineRule="auto"/>
        <w:rPr>
          <w:sz w:val="20"/>
          <w:szCs w:val="20"/>
          <w:color w:val="auto"/>
        </w:rPr>
      </w:pPr>
      <w:r>
        <w:rPr>
          <w:rFonts w:ascii="Arial" w:cs="Arial" w:eastAsia="Arial" w:hAnsi="Arial"/>
          <w:sz w:val="17"/>
          <w:szCs w:val="17"/>
          <w:color w:val="auto"/>
        </w:rPr>
        <w:t>and Regulation 14E of the Exchange Act, which</w:t>
      </w:r>
    </w:p>
    <w:p>
      <w:pPr>
        <w:ind w:left="4920"/>
        <w:spacing w:after="0"/>
        <w:rPr>
          <w:sz w:val="20"/>
          <w:szCs w:val="20"/>
          <w:color w:val="auto"/>
        </w:rPr>
      </w:pPr>
      <w:r>
        <w:rPr>
          <w:rFonts w:ascii="Arial" w:cs="Arial" w:eastAsia="Arial" w:hAnsi="Arial"/>
          <w:sz w:val="17"/>
          <w:szCs w:val="17"/>
          <w:color w:val="auto"/>
        </w:rPr>
        <w:t>regulate issuer tender offers; and</w:t>
      </w:r>
    </w:p>
    <w:p>
      <w:pPr>
        <w:spacing w:after="0" w:line="95" w:lineRule="exact"/>
        <w:rPr>
          <w:sz w:val="20"/>
          <w:szCs w:val="20"/>
          <w:color w:val="auto"/>
        </w:rPr>
      </w:pPr>
    </w:p>
    <w:p>
      <w:pPr>
        <w:ind w:left="4560"/>
        <w:spacing w:after="0"/>
        <w:tabs>
          <w:tab w:leader="none" w:pos="49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file tender offer documents with the SEC prior to</w:t>
      </w:r>
    </w:p>
    <w:p>
      <w:pPr>
        <w:ind w:left="4920"/>
        <w:spacing w:after="0" w:line="232" w:lineRule="auto"/>
        <w:rPr>
          <w:sz w:val="20"/>
          <w:szCs w:val="20"/>
          <w:color w:val="auto"/>
        </w:rPr>
      </w:pPr>
      <w:r>
        <w:rPr>
          <w:rFonts w:ascii="Arial" w:cs="Arial" w:eastAsia="Arial" w:hAnsi="Arial"/>
          <w:sz w:val="17"/>
          <w:szCs w:val="17"/>
          <w:color w:val="auto"/>
        </w:rPr>
        <w:t>completing our initial business combination which</w:t>
      </w:r>
    </w:p>
    <w:p>
      <w:pPr>
        <w:ind w:left="4920"/>
        <w:spacing w:after="0" w:line="232" w:lineRule="auto"/>
        <w:rPr>
          <w:sz w:val="20"/>
          <w:szCs w:val="20"/>
          <w:color w:val="auto"/>
        </w:rPr>
      </w:pPr>
      <w:r>
        <w:rPr>
          <w:rFonts w:ascii="Arial" w:cs="Arial" w:eastAsia="Arial" w:hAnsi="Arial"/>
          <w:sz w:val="17"/>
          <w:szCs w:val="17"/>
          <w:color w:val="auto"/>
        </w:rPr>
        <w:t>contain substantially the same financial and other</w:t>
      </w:r>
    </w:p>
    <w:p>
      <w:pPr>
        <w:ind w:left="4920"/>
        <w:spacing w:after="0" w:line="232" w:lineRule="auto"/>
        <w:rPr>
          <w:sz w:val="20"/>
          <w:szCs w:val="20"/>
          <w:color w:val="auto"/>
        </w:rPr>
      </w:pPr>
      <w:r>
        <w:rPr>
          <w:rFonts w:ascii="Arial" w:cs="Arial" w:eastAsia="Arial" w:hAnsi="Arial"/>
          <w:sz w:val="17"/>
          <w:szCs w:val="17"/>
          <w:color w:val="auto"/>
        </w:rPr>
        <w:t>information about the initial business combination</w:t>
      </w:r>
    </w:p>
    <w:p>
      <w:pPr>
        <w:ind w:left="4920"/>
        <w:spacing w:after="0" w:line="232" w:lineRule="auto"/>
        <w:rPr>
          <w:sz w:val="20"/>
          <w:szCs w:val="20"/>
          <w:color w:val="auto"/>
        </w:rPr>
      </w:pPr>
      <w:r>
        <w:rPr>
          <w:rFonts w:ascii="Arial" w:cs="Arial" w:eastAsia="Arial" w:hAnsi="Arial"/>
          <w:sz w:val="17"/>
          <w:szCs w:val="17"/>
          <w:color w:val="auto"/>
        </w:rPr>
        <w:t>and the redemption rights as is required under</w:t>
      </w:r>
    </w:p>
    <w:p>
      <w:pPr>
        <w:ind w:left="4920"/>
        <w:spacing w:after="0" w:line="232" w:lineRule="auto"/>
        <w:rPr>
          <w:sz w:val="20"/>
          <w:szCs w:val="20"/>
          <w:color w:val="auto"/>
        </w:rPr>
      </w:pPr>
      <w:r>
        <w:rPr>
          <w:rFonts w:ascii="Arial" w:cs="Arial" w:eastAsia="Arial" w:hAnsi="Arial"/>
          <w:sz w:val="17"/>
          <w:szCs w:val="17"/>
          <w:color w:val="auto"/>
        </w:rPr>
        <w:t>Regulation 14A of the Exchange Act, which</w:t>
      </w:r>
    </w:p>
    <w:p>
      <w:pPr>
        <w:ind w:left="4920"/>
        <w:spacing w:after="0"/>
        <w:rPr>
          <w:sz w:val="20"/>
          <w:szCs w:val="20"/>
          <w:color w:val="auto"/>
        </w:rPr>
      </w:pPr>
      <w:r>
        <w:rPr>
          <w:rFonts w:ascii="Arial" w:cs="Arial" w:eastAsia="Arial" w:hAnsi="Arial"/>
          <w:sz w:val="17"/>
          <w:szCs w:val="17"/>
          <w:color w:val="auto"/>
        </w:rPr>
        <w:t>regulates the solicitation of proxies.</w:t>
      </w: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5449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90565" cy="65449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20" w:hanging="179"/>
        <w:spacing w:after="0" w:line="249" w:lineRule="auto"/>
        <w:rPr>
          <w:sz w:val="20"/>
          <w:szCs w:val="20"/>
          <w:color w:val="auto"/>
        </w:rPr>
      </w:pPr>
      <w:r>
        <w:rPr>
          <w:rFonts w:ascii="Arial" w:cs="Arial" w:eastAsia="Arial" w:hAnsi="Arial"/>
          <w:sz w:val="17"/>
          <w:szCs w:val="17"/>
          <w:b w:val="1"/>
          <w:bCs w:val="1"/>
          <w:color w:val="auto"/>
        </w:rPr>
        <w:t>Limitation on redemption rights of shareholders holding more than 15% of the shares sold in this offering if we hold a shareholder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right="179"/>
        <w:spacing w:after="0" w:line="233" w:lineRule="auto"/>
        <w:rPr>
          <w:sz w:val="20"/>
          <w:szCs w:val="20"/>
          <w:color w:val="auto"/>
        </w:rPr>
      </w:pPr>
      <w:r>
        <w:rPr>
          <w:rFonts w:ascii="Arial" w:cs="Arial" w:eastAsia="Arial" w:hAnsi="Arial"/>
          <w:sz w:val="17"/>
          <w:szCs w:val="17"/>
          <w:color w:val="auto"/>
        </w:rPr>
        <w:t>Upon the public announcement of our initial business combination, if we elect to conduct redemptions pursuant to the tender offer rules, we and our sponsor will terminate any plan established in accordance with Rule 10b5-1 to purchase our Class A ordinary shares in the open market, in order to comply with Rule 14e-5 under the Exchange Act. 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such initial business combination.</w:t>
      </w:r>
    </w:p>
    <w:p>
      <w:pPr>
        <w:spacing w:after="0" w:line="200" w:lineRule="exact"/>
        <w:rPr>
          <w:sz w:val="20"/>
          <w:szCs w:val="20"/>
          <w:color w:val="auto"/>
        </w:rPr>
      </w:pPr>
    </w:p>
    <w:p>
      <w:pPr>
        <w:spacing w:after="0" w:line="245" w:lineRule="exact"/>
        <w:rPr>
          <w:sz w:val="20"/>
          <w:szCs w:val="20"/>
          <w:color w:val="auto"/>
        </w:rPr>
      </w:pPr>
    </w:p>
    <w:p>
      <w:pPr>
        <w:ind w:right="179"/>
        <w:spacing w:after="0" w:line="232" w:lineRule="auto"/>
        <w:rPr>
          <w:sz w:val="20"/>
          <w:szCs w:val="20"/>
          <w:color w:val="auto"/>
        </w:rPr>
      </w:pPr>
      <w:r>
        <w:rPr>
          <w:rFonts w:ascii="Arial" w:cs="Arial" w:eastAsia="Arial" w:hAnsi="Arial"/>
          <w:sz w:val="17"/>
          <w:szCs w:val="17"/>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team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w:t>
      </w:r>
    </w:p>
    <w:p>
      <w:pPr>
        <w:spacing w:after="0" w:line="200" w:lineRule="exact"/>
        <w:rPr>
          <w:sz w:val="20"/>
          <w:szCs w:val="20"/>
          <w:color w:val="auto"/>
        </w:rPr>
      </w:pPr>
    </w:p>
    <w:p>
      <w:pPr>
        <w:sectPr>
          <w:pgSz w:w="11900" w:h="16838" w:orient="portrait"/>
          <w:cols w:equalWidth="0" w:num="2">
            <w:col w:w="4140" w:space="420"/>
            <w:col w:w="4499"/>
          </w:cols>
          <w:pgMar w:left="1400" w:top="265" w:right="1440" w:bottom="1440" w:gutter="0" w:footer="0" w:header="0"/>
          <w:type w:val="continuous"/>
        </w:sectPr>
      </w:pP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type w:val="continuous"/>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71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90565" cy="671639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20" w:right="240" w:hanging="179"/>
        <w:spacing w:after="0" w:line="267" w:lineRule="auto"/>
        <w:rPr>
          <w:sz w:val="20"/>
          <w:szCs w:val="20"/>
          <w:color w:val="auto"/>
        </w:rPr>
      </w:pPr>
      <w:r>
        <w:rPr>
          <w:rFonts w:ascii="Arial" w:cs="Arial" w:eastAsia="Arial" w:hAnsi="Arial"/>
          <w:sz w:val="17"/>
          <w:szCs w:val="17"/>
          <w:b w:val="1"/>
          <w:bCs w:val="1"/>
          <w:color w:val="auto"/>
        </w:rPr>
        <w:t>Release of funds in trust account on closing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20" w:hanging="179"/>
        <w:spacing w:after="0" w:line="267" w:lineRule="auto"/>
        <w:rPr>
          <w:sz w:val="20"/>
          <w:szCs w:val="20"/>
          <w:color w:val="auto"/>
        </w:rPr>
      </w:pPr>
      <w:r>
        <w:rPr>
          <w:rFonts w:ascii="Arial" w:cs="Arial" w:eastAsia="Arial" w:hAnsi="Arial"/>
          <w:sz w:val="17"/>
          <w:szCs w:val="17"/>
          <w:b w:val="1"/>
          <w:bCs w:val="1"/>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right="219"/>
        <w:spacing w:after="0" w:line="234" w:lineRule="auto"/>
        <w:rPr>
          <w:sz w:val="20"/>
          <w:szCs w:val="20"/>
          <w:color w:val="auto"/>
        </w:rPr>
      </w:pPr>
      <w:r>
        <w:rPr>
          <w:rFonts w:ascii="Arial" w:cs="Arial" w:eastAsia="Arial" w:hAnsi="Arial"/>
          <w:sz w:val="17"/>
          <w:szCs w:val="17"/>
          <w:color w:val="auto"/>
        </w:rPr>
        <w:t>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257" w:lineRule="exact"/>
        <w:rPr>
          <w:sz w:val="20"/>
          <w:szCs w:val="20"/>
          <w:color w:val="auto"/>
        </w:rPr>
      </w:pPr>
    </w:p>
    <w:p>
      <w:pPr>
        <w:ind w:right="259"/>
        <w:spacing w:after="0" w:line="232" w:lineRule="auto"/>
        <w:rPr>
          <w:sz w:val="20"/>
          <w:szCs w:val="20"/>
          <w:color w:val="auto"/>
        </w:rPr>
      </w:pPr>
      <w:r>
        <w:rPr>
          <w:rFonts w:ascii="Arial" w:cs="Arial" w:eastAsia="Arial" w:hAnsi="Arial"/>
          <w:sz w:val="17"/>
          <w:szCs w:val="17"/>
          <w:color w:val="auto"/>
        </w:rPr>
        <w:t>On the completion of our initial business combination, the funds held in the trust account will be disbursed directly by the trustee to pay amounts due to any public shareholders who properly exercise their redemption rights as described above adjacent to the caption “Redemption rights for public shareholders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post-business combination businesses, the payment of principal or interest due on indebtedness incurred in completing our initial business combination, to fund the purchase of other companies or for working capital.</w:t>
      </w:r>
    </w:p>
    <w:p>
      <w:pPr>
        <w:spacing w:after="0" w:line="271" w:lineRule="exact"/>
        <w:rPr>
          <w:sz w:val="20"/>
          <w:szCs w:val="20"/>
          <w:color w:val="auto"/>
        </w:rPr>
      </w:pPr>
    </w:p>
    <w:p>
      <w:pPr>
        <w:ind w:right="199"/>
        <w:spacing w:after="0"/>
        <w:rPr>
          <w:sz w:val="20"/>
          <w:szCs w:val="20"/>
          <w:color w:val="auto"/>
        </w:rPr>
      </w:pPr>
      <w:r>
        <w:rPr>
          <w:rFonts w:ascii="Arial" w:cs="Arial" w:eastAsia="Arial" w:hAnsi="Arial"/>
          <w:sz w:val="17"/>
          <w:szCs w:val="17"/>
          <w:color w:val="auto"/>
        </w:rPr>
        <w:t>Our amended and restated memorandum and articles of association will provide that we will have only 24 months from the closing of this offering to consummate our initial business combination. If we do not consummate an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w:t>
      </w:r>
    </w:p>
    <w:p>
      <w:pPr>
        <w:spacing w:after="0" w:line="200" w:lineRule="exact"/>
        <w:rPr>
          <w:sz w:val="20"/>
          <w:szCs w:val="20"/>
          <w:color w:val="auto"/>
        </w:rPr>
      </w:pPr>
    </w:p>
    <w:p>
      <w:pPr>
        <w:sectPr>
          <w:pgSz w:w="11900" w:h="16838" w:orient="portrait"/>
          <w:cols w:equalWidth="0" w:num="2">
            <w:col w:w="4280" w:space="280"/>
            <w:col w:w="4499"/>
          </w:cols>
          <w:pgMar w:left="1400" w:top="265" w:right="1440" w:bottom="1440" w:gutter="0" w:footer="0" w:header="0"/>
          <w:type w:val="continuous"/>
        </w:sectPr>
      </w:pP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type w:val="continuous"/>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6821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0565" cy="668210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right to receive further liquidation distributions, if any);</w:t>
      </w:r>
    </w:p>
    <w:p>
      <w:pPr>
        <w:ind w:left="4560"/>
        <w:spacing w:after="0" w:line="232" w:lineRule="auto"/>
        <w:rPr>
          <w:sz w:val="20"/>
          <w:szCs w:val="20"/>
          <w:color w:val="auto"/>
        </w:rPr>
      </w:pPr>
      <w:r>
        <w:rPr>
          <w:rFonts w:ascii="Arial" w:cs="Arial" w:eastAsia="Arial" w:hAnsi="Arial"/>
          <w:sz w:val="17"/>
          <w:szCs w:val="17"/>
          <w:color w:val="auto"/>
        </w:rPr>
        <w:t>and (iii) as promptly as reasonably possible following</w:t>
      </w:r>
    </w:p>
    <w:p>
      <w:pPr>
        <w:ind w:left="4560"/>
        <w:spacing w:after="0" w:line="232" w:lineRule="auto"/>
        <w:rPr>
          <w:sz w:val="20"/>
          <w:szCs w:val="20"/>
          <w:color w:val="auto"/>
        </w:rPr>
      </w:pPr>
      <w:r>
        <w:rPr>
          <w:rFonts w:ascii="Arial" w:cs="Arial" w:eastAsia="Arial" w:hAnsi="Arial"/>
          <w:sz w:val="17"/>
          <w:szCs w:val="17"/>
          <w:color w:val="auto"/>
        </w:rPr>
        <w:t>such redemption, subject to the approval of our</w:t>
      </w:r>
    </w:p>
    <w:p>
      <w:pPr>
        <w:ind w:left="4560"/>
        <w:spacing w:after="0" w:line="232" w:lineRule="auto"/>
        <w:rPr>
          <w:sz w:val="20"/>
          <w:szCs w:val="20"/>
          <w:color w:val="auto"/>
        </w:rPr>
      </w:pPr>
      <w:r>
        <w:rPr>
          <w:rFonts w:ascii="Arial" w:cs="Arial" w:eastAsia="Arial" w:hAnsi="Arial"/>
          <w:sz w:val="17"/>
          <w:szCs w:val="17"/>
          <w:color w:val="auto"/>
        </w:rPr>
        <w:t>remaining shareholders and our board of directors,</w:t>
      </w:r>
    </w:p>
    <w:p>
      <w:pPr>
        <w:ind w:left="4560"/>
        <w:spacing w:after="0" w:line="232" w:lineRule="auto"/>
        <w:rPr>
          <w:sz w:val="20"/>
          <w:szCs w:val="20"/>
          <w:color w:val="auto"/>
        </w:rPr>
      </w:pPr>
      <w:r>
        <w:rPr>
          <w:rFonts w:ascii="Arial" w:cs="Arial" w:eastAsia="Arial" w:hAnsi="Arial"/>
          <w:sz w:val="17"/>
          <w:szCs w:val="17"/>
          <w:color w:val="auto"/>
        </w:rPr>
        <w:t>liquidate and dissolve, subject in the case of clauses</w:t>
      </w:r>
    </w:p>
    <w:p>
      <w:pPr>
        <w:ind w:left="4560"/>
        <w:spacing w:after="0" w:line="232" w:lineRule="auto"/>
        <w:rPr>
          <w:sz w:val="20"/>
          <w:szCs w:val="20"/>
          <w:color w:val="auto"/>
        </w:rPr>
      </w:pPr>
      <w:r>
        <w:rPr>
          <w:rFonts w:ascii="Arial" w:cs="Arial" w:eastAsia="Arial" w:hAnsi="Arial"/>
          <w:sz w:val="17"/>
          <w:szCs w:val="17"/>
          <w:color w:val="auto"/>
        </w:rPr>
        <w:t>(ii) and (iii), to our obligations under Cayman Islands law</w:t>
      </w:r>
    </w:p>
    <w:p>
      <w:pPr>
        <w:ind w:left="4560"/>
        <w:spacing w:after="0" w:line="232" w:lineRule="auto"/>
        <w:rPr>
          <w:sz w:val="20"/>
          <w:szCs w:val="20"/>
          <w:color w:val="auto"/>
        </w:rPr>
      </w:pPr>
      <w:r>
        <w:rPr>
          <w:rFonts w:ascii="Arial" w:cs="Arial" w:eastAsia="Arial" w:hAnsi="Arial"/>
          <w:sz w:val="17"/>
          <w:szCs w:val="17"/>
          <w:color w:val="auto"/>
        </w:rPr>
        <w:t>to provide for claims of creditors and the requirements of</w:t>
      </w:r>
    </w:p>
    <w:p>
      <w:pPr>
        <w:ind w:left="4560"/>
        <w:spacing w:after="0"/>
        <w:rPr>
          <w:sz w:val="20"/>
          <w:szCs w:val="20"/>
          <w:color w:val="auto"/>
        </w:rPr>
      </w:pPr>
      <w:r>
        <w:rPr>
          <w:rFonts w:ascii="Arial" w:cs="Arial" w:eastAsia="Arial" w:hAnsi="Arial"/>
          <w:sz w:val="17"/>
          <w:szCs w:val="17"/>
          <w:color w:val="auto"/>
        </w:rPr>
        <w:t>other applicable law.</w:t>
      </w:r>
    </w:p>
    <w:p>
      <w:pPr>
        <w:spacing w:after="0" w:line="82"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Our sponsor and each member of our management</w:t>
      </w:r>
    </w:p>
    <w:p>
      <w:pPr>
        <w:ind w:left="4560"/>
        <w:spacing w:after="0" w:line="232" w:lineRule="auto"/>
        <w:rPr>
          <w:sz w:val="20"/>
          <w:szCs w:val="20"/>
          <w:color w:val="auto"/>
        </w:rPr>
      </w:pPr>
      <w:r>
        <w:rPr>
          <w:rFonts w:ascii="Arial" w:cs="Arial" w:eastAsia="Arial" w:hAnsi="Arial"/>
          <w:sz w:val="17"/>
          <w:szCs w:val="17"/>
          <w:color w:val="auto"/>
        </w:rPr>
        <w:t>team have entered into an agreement with us, pursuant</w:t>
      </w:r>
    </w:p>
    <w:p>
      <w:pPr>
        <w:ind w:left="4560"/>
        <w:spacing w:after="0" w:line="232" w:lineRule="auto"/>
        <w:rPr>
          <w:sz w:val="20"/>
          <w:szCs w:val="20"/>
          <w:color w:val="auto"/>
        </w:rPr>
      </w:pPr>
      <w:r>
        <w:rPr>
          <w:rFonts w:ascii="Arial" w:cs="Arial" w:eastAsia="Arial" w:hAnsi="Arial"/>
          <w:sz w:val="17"/>
          <w:szCs w:val="17"/>
          <w:color w:val="auto"/>
        </w:rPr>
        <w:t>to which they have agreed to waive their rights to</w:t>
      </w:r>
    </w:p>
    <w:p>
      <w:pPr>
        <w:ind w:left="4560"/>
        <w:spacing w:after="0" w:line="232" w:lineRule="auto"/>
        <w:rPr>
          <w:sz w:val="20"/>
          <w:szCs w:val="20"/>
          <w:color w:val="auto"/>
        </w:rPr>
      </w:pPr>
      <w:r>
        <w:rPr>
          <w:rFonts w:ascii="Arial" w:cs="Arial" w:eastAsia="Arial" w:hAnsi="Arial"/>
          <w:sz w:val="17"/>
          <w:szCs w:val="17"/>
          <w:color w:val="auto"/>
        </w:rPr>
        <w:t>liquidating distributions from the trust account with</w:t>
      </w:r>
    </w:p>
    <w:p>
      <w:pPr>
        <w:ind w:left="4560"/>
        <w:spacing w:after="0" w:line="232" w:lineRule="auto"/>
        <w:rPr>
          <w:sz w:val="20"/>
          <w:szCs w:val="20"/>
          <w:color w:val="auto"/>
        </w:rPr>
      </w:pPr>
      <w:r>
        <w:rPr>
          <w:rFonts w:ascii="Arial" w:cs="Arial" w:eastAsia="Arial" w:hAnsi="Arial"/>
          <w:sz w:val="17"/>
          <w:szCs w:val="17"/>
          <w:color w:val="auto"/>
        </w:rPr>
        <w:t>respect to any founder shares or private placement</w:t>
      </w:r>
    </w:p>
    <w:p>
      <w:pPr>
        <w:ind w:left="4560"/>
        <w:spacing w:after="0" w:line="232" w:lineRule="auto"/>
        <w:rPr>
          <w:sz w:val="20"/>
          <w:szCs w:val="20"/>
          <w:color w:val="auto"/>
        </w:rPr>
      </w:pPr>
      <w:r>
        <w:rPr>
          <w:rFonts w:ascii="Arial" w:cs="Arial" w:eastAsia="Arial" w:hAnsi="Arial"/>
          <w:sz w:val="17"/>
          <w:szCs w:val="17"/>
          <w:color w:val="auto"/>
        </w:rPr>
        <w:t>shares they hold if we fail to consummate an initial</w:t>
      </w:r>
    </w:p>
    <w:p>
      <w:pPr>
        <w:ind w:left="4560"/>
        <w:spacing w:after="0" w:line="232" w:lineRule="auto"/>
        <w:rPr>
          <w:sz w:val="20"/>
          <w:szCs w:val="20"/>
          <w:color w:val="auto"/>
        </w:rPr>
      </w:pPr>
      <w:r>
        <w:rPr>
          <w:rFonts w:ascii="Arial" w:cs="Arial" w:eastAsia="Arial" w:hAnsi="Arial"/>
          <w:sz w:val="17"/>
          <w:szCs w:val="17"/>
          <w:color w:val="auto"/>
        </w:rPr>
        <w:t>business combination within 24 months from the closing</w:t>
      </w:r>
    </w:p>
    <w:p>
      <w:pPr>
        <w:ind w:left="4560"/>
        <w:spacing w:after="0" w:line="232" w:lineRule="auto"/>
        <w:rPr>
          <w:sz w:val="20"/>
          <w:szCs w:val="20"/>
          <w:color w:val="auto"/>
        </w:rPr>
      </w:pPr>
      <w:r>
        <w:rPr>
          <w:rFonts w:ascii="Arial" w:cs="Arial" w:eastAsia="Arial" w:hAnsi="Arial"/>
          <w:sz w:val="17"/>
          <w:szCs w:val="17"/>
          <w:color w:val="auto"/>
        </w:rPr>
        <w:t>of this offering (although they will be entitled to</w:t>
      </w:r>
    </w:p>
    <w:p>
      <w:pPr>
        <w:ind w:left="4560"/>
        <w:spacing w:after="0" w:line="232" w:lineRule="auto"/>
        <w:rPr>
          <w:sz w:val="20"/>
          <w:szCs w:val="20"/>
          <w:color w:val="auto"/>
        </w:rPr>
      </w:pPr>
      <w:r>
        <w:rPr>
          <w:rFonts w:ascii="Arial" w:cs="Arial" w:eastAsia="Arial" w:hAnsi="Arial"/>
          <w:sz w:val="17"/>
          <w:szCs w:val="17"/>
          <w:color w:val="auto"/>
        </w:rPr>
        <w:t>liquidating distributions from the trust account with</w:t>
      </w:r>
    </w:p>
    <w:p>
      <w:pPr>
        <w:ind w:left="4560"/>
        <w:spacing w:after="0" w:line="232" w:lineRule="auto"/>
        <w:rPr>
          <w:sz w:val="20"/>
          <w:szCs w:val="20"/>
          <w:color w:val="auto"/>
        </w:rPr>
      </w:pPr>
      <w:r>
        <w:rPr>
          <w:rFonts w:ascii="Arial" w:cs="Arial" w:eastAsia="Arial" w:hAnsi="Arial"/>
          <w:sz w:val="17"/>
          <w:szCs w:val="17"/>
          <w:color w:val="auto"/>
        </w:rPr>
        <w:t>respect to any public shares they hold if we fail to</w:t>
      </w:r>
    </w:p>
    <w:p>
      <w:pPr>
        <w:ind w:left="4560"/>
        <w:spacing w:after="0" w:line="232" w:lineRule="auto"/>
        <w:rPr>
          <w:sz w:val="20"/>
          <w:szCs w:val="20"/>
          <w:color w:val="auto"/>
        </w:rPr>
      </w:pPr>
      <w:r>
        <w:rPr>
          <w:rFonts w:ascii="Arial" w:cs="Arial" w:eastAsia="Arial" w:hAnsi="Arial"/>
          <w:sz w:val="17"/>
          <w:szCs w:val="17"/>
          <w:color w:val="auto"/>
        </w:rPr>
        <w:t>complete our initial business combination within 24</w:t>
      </w:r>
    </w:p>
    <w:p>
      <w:pPr>
        <w:ind w:left="4560"/>
        <w:spacing w:after="0"/>
        <w:rPr>
          <w:sz w:val="20"/>
          <w:szCs w:val="20"/>
          <w:color w:val="auto"/>
        </w:rPr>
      </w:pPr>
      <w:r>
        <w:rPr>
          <w:rFonts w:ascii="Arial" w:cs="Arial" w:eastAsia="Arial" w:hAnsi="Arial"/>
          <w:sz w:val="17"/>
          <w:szCs w:val="17"/>
          <w:color w:val="auto"/>
        </w:rPr>
        <w:t>months from the closing of this offering).</w:t>
      </w:r>
    </w:p>
    <w:p>
      <w:pPr>
        <w:spacing w:after="0" w:line="68"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The underwriters have agreed to waive their rights to</w:t>
      </w:r>
    </w:p>
    <w:p>
      <w:pPr>
        <w:ind w:left="4560"/>
        <w:spacing w:after="0" w:line="232" w:lineRule="auto"/>
        <w:rPr>
          <w:sz w:val="20"/>
          <w:szCs w:val="20"/>
          <w:color w:val="auto"/>
        </w:rPr>
      </w:pPr>
      <w:r>
        <w:rPr>
          <w:rFonts w:ascii="Arial" w:cs="Arial" w:eastAsia="Arial" w:hAnsi="Arial"/>
          <w:sz w:val="17"/>
          <w:szCs w:val="17"/>
          <w:color w:val="auto"/>
        </w:rPr>
        <w:t>their deferred underwriting commission held in the trust</w:t>
      </w:r>
    </w:p>
    <w:p>
      <w:pPr>
        <w:ind w:left="4560"/>
        <w:spacing w:after="0" w:line="232" w:lineRule="auto"/>
        <w:rPr>
          <w:sz w:val="20"/>
          <w:szCs w:val="20"/>
          <w:color w:val="auto"/>
        </w:rPr>
      </w:pPr>
      <w:r>
        <w:rPr>
          <w:rFonts w:ascii="Arial" w:cs="Arial" w:eastAsia="Arial" w:hAnsi="Arial"/>
          <w:sz w:val="17"/>
          <w:szCs w:val="17"/>
          <w:color w:val="auto"/>
        </w:rPr>
        <w:t>account in the event we do not consummate an initial</w:t>
      </w:r>
    </w:p>
    <w:p>
      <w:pPr>
        <w:ind w:left="4560"/>
        <w:spacing w:after="0" w:line="232" w:lineRule="auto"/>
        <w:rPr>
          <w:sz w:val="20"/>
          <w:szCs w:val="20"/>
          <w:color w:val="auto"/>
        </w:rPr>
      </w:pPr>
      <w:r>
        <w:rPr>
          <w:rFonts w:ascii="Arial" w:cs="Arial" w:eastAsia="Arial" w:hAnsi="Arial"/>
          <w:sz w:val="17"/>
          <w:szCs w:val="17"/>
          <w:color w:val="auto"/>
        </w:rPr>
        <w:t>business combination within 24 months from the closing</w:t>
      </w:r>
    </w:p>
    <w:p>
      <w:pPr>
        <w:ind w:left="4560"/>
        <w:spacing w:after="0" w:line="232" w:lineRule="auto"/>
        <w:rPr>
          <w:sz w:val="20"/>
          <w:szCs w:val="20"/>
          <w:color w:val="auto"/>
        </w:rPr>
      </w:pPr>
      <w:r>
        <w:rPr>
          <w:rFonts w:ascii="Arial" w:cs="Arial" w:eastAsia="Arial" w:hAnsi="Arial"/>
          <w:sz w:val="17"/>
          <w:szCs w:val="17"/>
          <w:color w:val="auto"/>
        </w:rPr>
        <w:t>of this offering and, in such event, such amounts will be</w:t>
      </w:r>
    </w:p>
    <w:p>
      <w:pPr>
        <w:ind w:left="4560"/>
        <w:spacing w:after="0" w:line="232" w:lineRule="auto"/>
        <w:rPr>
          <w:sz w:val="20"/>
          <w:szCs w:val="20"/>
          <w:color w:val="auto"/>
        </w:rPr>
      </w:pPr>
      <w:r>
        <w:rPr>
          <w:rFonts w:ascii="Arial" w:cs="Arial" w:eastAsia="Arial" w:hAnsi="Arial"/>
          <w:sz w:val="17"/>
          <w:szCs w:val="17"/>
          <w:color w:val="auto"/>
        </w:rPr>
        <w:t>included with the funds held in the trust account that will</w:t>
      </w:r>
    </w:p>
    <w:p>
      <w:pPr>
        <w:ind w:left="4560"/>
        <w:spacing w:after="0"/>
        <w:rPr>
          <w:sz w:val="20"/>
          <w:szCs w:val="20"/>
          <w:color w:val="auto"/>
        </w:rPr>
      </w:pPr>
      <w:r>
        <w:rPr>
          <w:rFonts w:ascii="Arial" w:cs="Arial" w:eastAsia="Arial" w:hAnsi="Arial"/>
          <w:sz w:val="17"/>
          <w:szCs w:val="17"/>
          <w:color w:val="auto"/>
        </w:rPr>
        <w:t>be available to fund the redemption of our public shares.</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Our sponsor, executive officers, directors and director</w:t>
      </w:r>
    </w:p>
    <w:p>
      <w:pPr>
        <w:ind w:left="4560"/>
        <w:spacing w:after="0" w:line="232" w:lineRule="auto"/>
        <w:rPr>
          <w:sz w:val="20"/>
          <w:szCs w:val="20"/>
          <w:color w:val="auto"/>
        </w:rPr>
      </w:pPr>
      <w:r>
        <w:rPr>
          <w:rFonts w:ascii="Arial" w:cs="Arial" w:eastAsia="Arial" w:hAnsi="Arial"/>
          <w:sz w:val="17"/>
          <w:szCs w:val="17"/>
          <w:color w:val="auto"/>
        </w:rPr>
        <w:t>nominees have agreed, pursuant to a written agreement</w:t>
      </w:r>
    </w:p>
    <w:p>
      <w:pPr>
        <w:ind w:left="4560"/>
        <w:spacing w:after="0" w:line="232" w:lineRule="auto"/>
        <w:rPr>
          <w:sz w:val="20"/>
          <w:szCs w:val="20"/>
          <w:color w:val="auto"/>
        </w:rPr>
      </w:pPr>
      <w:r>
        <w:rPr>
          <w:rFonts w:ascii="Arial" w:cs="Arial" w:eastAsia="Arial" w:hAnsi="Arial"/>
          <w:sz w:val="17"/>
          <w:szCs w:val="17"/>
          <w:color w:val="auto"/>
        </w:rPr>
        <w:t>with us, that they will not propose any amendment to our</w:t>
      </w:r>
    </w:p>
    <w:p>
      <w:pPr>
        <w:ind w:left="4560"/>
        <w:spacing w:after="0" w:line="232" w:lineRule="auto"/>
        <w:rPr>
          <w:sz w:val="20"/>
          <w:szCs w:val="20"/>
          <w:color w:val="auto"/>
        </w:rPr>
      </w:pPr>
      <w:r>
        <w:rPr>
          <w:rFonts w:ascii="Arial" w:cs="Arial" w:eastAsia="Arial" w:hAnsi="Arial"/>
          <w:sz w:val="17"/>
          <w:szCs w:val="17"/>
          <w:color w:val="auto"/>
        </w:rPr>
        <w:t>amended and restated memorandum and articles of</w:t>
      </w:r>
    </w:p>
    <w:p>
      <w:pPr>
        <w:ind w:left="4560"/>
        <w:spacing w:after="0" w:line="232" w:lineRule="auto"/>
        <w:rPr>
          <w:sz w:val="20"/>
          <w:szCs w:val="20"/>
          <w:color w:val="auto"/>
        </w:rPr>
      </w:pPr>
      <w:r>
        <w:rPr>
          <w:rFonts w:ascii="Arial" w:cs="Arial" w:eastAsia="Arial" w:hAnsi="Arial"/>
          <w:sz w:val="17"/>
          <w:szCs w:val="17"/>
          <w:color w:val="auto"/>
        </w:rPr>
        <w:t>association (A) that would modify the substance or</w:t>
      </w:r>
    </w:p>
    <w:p>
      <w:pPr>
        <w:ind w:left="4560"/>
        <w:spacing w:after="0" w:line="232" w:lineRule="auto"/>
        <w:rPr>
          <w:sz w:val="20"/>
          <w:szCs w:val="20"/>
          <w:color w:val="auto"/>
        </w:rPr>
      </w:pPr>
      <w:r>
        <w:rPr>
          <w:rFonts w:ascii="Arial" w:cs="Arial" w:eastAsia="Arial" w:hAnsi="Arial"/>
          <w:sz w:val="17"/>
          <w:szCs w:val="17"/>
          <w:color w:val="auto"/>
        </w:rPr>
        <w:t>timing of our obligation to provide holders of our Class A</w:t>
      </w:r>
    </w:p>
    <w:p>
      <w:pPr>
        <w:ind w:left="4560"/>
        <w:spacing w:after="0" w:line="232" w:lineRule="auto"/>
        <w:rPr>
          <w:sz w:val="20"/>
          <w:szCs w:val="20"/>
          <w:color w:val="auto"/>
        </w:rPr>
      </w:pPr>
      <w:r>
        <w:rPr>
          <w:rFonts w:ascii="Arial" w:cs="Arial" w:eastAsia="Arial" w:hAnsi="Arial"/>
          <w:sz w:val="17"/>
          <w:szCs w:val="17"/>
          <w:color w:val="auto"/>
        </w:rPr>
        <w:t>ordinary shares the right to have their shares redeemed</w:t>
      </w:r>
    </w:p>
    <w:p>
      <w:pPr>
        <w:ind w:left="4560"/>
        <w:spacing w:after="0" w:line="232" w:lineRule="auto"/>
        <w:rPr>
          <w:sz w:val="20"/>
          <w:szCs w:val="20"/>
          <w:color w:val="auto"/>
        </w:rPr>
      </w:pPr>
      <w:r>
        <w:rPr>
          <w:rFonts w:ascii="Arial" w:cs="Arial" w:eastAsia="Arial" w:hAnsi="Arial"/>
          <w:sz w:val="17"/>
          <w:szCs w:val="17"/>
          <w:color w:val="auto"/>
        </w:rPr>
        <w:t>in connection with our initial business combination or to</w:t>
      </w:r>
    </w:p>
    <w:p>
      <w:pPr>
        <w:ind w:left="4560"/>
        <w:spacing w:after="0" w:line="232" w:lineRule="auto"/>
        <w:rPr>
          <w:sz w:val="20"/>
          <w:szCs w:val="20"/>
          <w:color w:val="auto"/>
        </w:rPr>
      </w:pPr>
      <w:r>
        <w:rPr>
          <w:rFonts w:ascii="Arial" w:cs="Arial" w:eastAsia="Arial" w:hAnsi="Arial"/>
          <w:sz w:val="17"/>
          <w:szCs w:val="17"/>
          <w:color w:val="auto"/>
        </w:rPr>
        <w:t>redeem 100% of our public shares if we do not complete</w:t>
      </w:r>
    </w:p>
    <w:p>
      <w:pPr>
        <w:ind w:left="4560"/>
        <w:spacing w:after="0" w:line="232" w:lineRule="auto"/>
        <w:rPr>
          <w:sz w:val="20"/>
          <w:szCs w:val="20"/>
          <w:color w:val="auto"/>
        </w:rPr>
      </w:pPr>
      <w:r>
        <w:rPr>
          <w:rFonts w:ascii="Arial" w:cs="Arial" w:eastAsia="Arial" w:hAnsi="Arial"/>
          <w:sz w:val="17"/>
          <w:szCs w:val="17"/>
          <w:color w:val="auto"/>
        </w:rPr>
        <w:t>our initial business combination within 24 months from</w:t>
      </w:r>
    </w:p>
    <w:p>
      <w:pPr>
        <w:ind w:left="4560"/>
        <w:spacing w:after="0" w:line="232" w:lineRule="auto"/>
        <w:rPr>
          <w:sz w:val="20"/>
          <w:szCs w:val="20"/>
          <w:color w:val="auto"/>
        </w:rPr>
      </w:pPr>
      <w:r>
        <w:rPr>
          <w:rFonts w:ascii="Arial" w:cs="Arial" w:eastAsia="Arial" w:hAnsi="Arial"/>
          <w:sz w:val="17"/>
          <w:szCs w:val="17"/>
          <w:color w:val="auto"/>
        </w:rPr>
        <w:t>the closing of this offering or (B) with respect to any other</w:t>
      </w:r>
    </w:p>
    <w:p>
      <w:pPr>
        <w:ind w:left="4560"/>
        <w:spacing w:after="0" w:line="232" w:lineRule="auto"/>
        <w:rPr>
          <w:sz w:val="20"/>
          <w:szCs w:val="20"/>
          <w:color w:val="auto"/>
        </w:rPr>
      </w:pPr>
      <w:r>
        <w:rPr>
          <w:rFonts w:ascii="Arial" w:cs="Arial" w:eastAsia="Arial" w:hAnsi="Arial"/>
          <w:sz w:val="17"/>
          <w:szCs w:val="17"/>
          <w:color w:val="auto"/>
        </w:rPr>
        <w:t>provision relating to the rights of holders of our Class A</w:t>
      </w:r>
    </w:p>
    <w:p>
      <w:pPr>
        <w:ind w:left="4560"/>
        <w:spacing w:after="0" w:line="232" w:lineRule="auto"/>
        <w:rPr>
          <w:sz w:val="20"/>
          <w:szCs w:val="20"/>
          <w:color w:val="auto"/>
        </w:rPr>
      </w:pPr>
      <w:r>
        <w:rPr>
          <w:rFonts w:ascii="Arial" w:cs="Arial" w:eastAsia="Arial" w:hAnsi="Arial"/>
          <w:sz w:val="17"/>
          <w:szCs w:val="17"/>
          <w:color w:val="auto"/>
        </w:rPr>
        <w:t>ordinary shares; unless we provide our public</w:t>
      </w:r>
    </w:p>
    <w:p>
      <w:pPr>
        <w:ind w:left="4560"/>
        <w:spacing w:after="0" w:line="232" w:lineRule="auto"/>
        <w:rPr>
          <w:sz w:val="20"/>
          <w:szCs w:val="20"/>
          <w:color w:val="auto"/>
        </w:rPr>
      </w:pPr>
      <w:r>
        <w:rPr>
          <w:rFonts w:ascii="Arial" w:cs="Arial" w:eastAsia="Arial" w:hAnsi="Arial"/>
          <w:sz w:val="17"/>
          <w:szCs w:val="17"/>
          <w:color w:val="auto"/>
        </w:rPr>
        <w:t>shareholders with the opportunity to redeem their</w:t>
      </w:r>
    </w:p>
    <w:p>
      <w:pPr>
        <w:ind w:left="4560"/>
        <w:spacing w:after="0" w:line="232" w:lineRule="auto"/>
        <w:rPr>
          <w:sz w:val="20"/>
          <w:szCs w:val="20"/>
          <w:color w:val="auto"/>
        </w:rPr>
      </w:pPr>
      <w:r>
        <w:rPr>
          <w:rFonts w:ascii="Arial" w:cs="Arial" w:eastAsia="Arial" w:hAnsi="Arial"/>
          <w:sz w:val="17"/>
          <w:szCs w:val="17"/>
          <w:color w:val="auto"/>
        </w:rPr>
        <w:t>Class A ordinary shares upon approval of any such</w:t>
      </w:r>
    </w:p>
    <w:p>
      <w:pPr>
        <w:ind w:left="4560"/>
        <w:spacing w:after="0" w:line="232" w:lineRule="auto"/>
        <w:rPr>
          <w:sz w:val="20"/>
          <w:szCs w:val="20"/>
          <w:color w:val="auto"/>
        </w:rPr>
      </w:pPr>
      <w:r>
        <w:rPr>
          <w:rFonts w:ascii="Arial" w:cs="Arial" w:eastAsia="Arial" w:hAnsi="Arial"/>
          <w:sz w:val="17"/>
          <w:szCs w:val="17"/>
          <w:color w:val="auto"/>
        </w:rPr>
        <w:t>amendment at a per-share price, payable in cash, equal</w:t>
      </w:r>
    </w:p>
    <w:p>
      <w:pPr>
        <w:ind w:left="4560"/>
        <w:spacing w:after="0" w:line="232" w:lineRule="auto"/>
        <w:rPr>
          <w:sz w:val="20"/>
          <w:szCs w:val="20"/>
          <w:color w:val="auto"/>
        </w:rPr>
      </w:pPr>
      <w:r>
        <w:rPr>
          <w:rFonts w:ascii="Arial" w:cs="Arial" w:eastAsia="Arial" w:hAnsi="Arial"/>
          <w:sz w:val="17"/>
          <w:szCs w:val="17"/>
          <w:color w:val="auto"/>
        </w:rPr>
        <w:t>to the aggregate amount then on deposit in the trust</w:t>
      </w:r>
    </w:p>
    <w:p>
      <w:pPr>
        <w:ind w:left="4560"/>
        <w:spacing w:after="0" w:line="232" w:lineRule="auto"/>
        <w:rPr>
          <w:sz w:val="20"/>
          <w:szCs w:val="20"/>
          <w:color w:val="auto"/>
        </w:rPr>
      </w:pPr>
      <w:r>
        <w:rPr>
          <w:rFonts w:ascii="Arial" w:cs="Arial" w:eastAsia="Arial" w:hAnsi="Arial"/>
          <w:sz w:val="17"/>
          <w:szCs w:val="17"/>
          <w:color w:val="auto"/>
        </w:rPr>
        <w:t>account, including interest earned on the funds held in</w:t>
      </w:r>
    </w:p>
    <w:p>
      <w:pPr>
        <w:ind w:left="4560"/>
        <w:spacing w:after="0" w:line="232" w:lineRule="auto"/>
        <w:rPr>
          <w:sz w:val="20"/>
          <w:szCs w:val="20"/>
          <w:color w:val="auto"/>
        </w:rPr>
      </w:pPr>
      <w:r>
        <w:rPr>
          <w:rFonts w:ascii="Arial" w:cs="Arial" w:eastAsia="Arial" w:hAnsi="Arial"/>
          <w:sz w:val="17"/>
          <w:szCs w:val="17"/>
          <w:color w:val="auto"/>
        </w:rPr>
        <w:t>the trust account and not previously released to us to</w:t>
      </w:r>
    </w:p>
    <w:p>
      <w:pPr>
        <w:ind w:left="4560"/>
        <w:spacing w:after="0" w:line="232" w:lineRule="auto"/>
        <w:rPr>
          <w:sz w:val="20"/>
          <w:szCs w:val="20"/>
          <w:color w:val="auto"/>
        </w:rPr>
      </w:pPr>
      <w:r>
        <w:rPr>
          <w:rFonts w:ascii="Arial" w:cs="Arial" w:eastAsia="Arial" w:hAnsi="Arial"/>
          <w:sz w:val="17"/>
          <w:szCs w:val="17"/>
          <w:color w:val="auto"/>
        </w:rPr>
        <w:t>pay our income taxes, if any, divided by the number of</w:t>
      </w:r>
    </w:p>
    <w:p>
      <w:pPr>
        <w:ind w:left="4560"/>
        <w:spacing w:after="0" w:line="233" w:lineRule="auto"/>
        <w:rPr>
          <w:sz w:val="20"/>
          <w:szCs w:val="20"/>
          <w:color w:val="auto"/>
        </w:rPr>
      </w:pPr>
      <w:r>
        <w:rPr>
          <w:rFonts w:ascii="Arial" w:cs="Arial" w:eastAsia="Arial" w:hAnsi="Arial"/>
          <w:sz w:val="17"/>
          <w:szCs w:val="17"/>
          <w:color w:val="auto"/>
        </w:rPr>
        <w:t>the then-outstanding public shares, subject to the</w:t>
      </w:r>
    </w:p>
    <w:p>
      <w:pPr>
        <w:ind w:left="4560"/>
        <w:spacing w:after="0" w:line="232" w:lineRule="auto"/>
        <w:rPr>
          <w:sz w:val="20"/>
          <w:szCs w:val="20"/>
          <w:color w:val="auto"/>
        </w:rPr>
      </w:pPr>
      <w:r>
        <w:rPr>
          <w:rFonts w:ascii="Arial" w:cs="Arial" w:eastAsia="Arial" w:hAnsi="Arial"/>
          <w:sz w:val="17"/>
          <w:szCs w:val="17"/>
          <w:color w:val="auto"/>
        </w:rPr>
        <w:t>limitations described above adjacent to the caption</w:t>
      </w:r>
    </w:p>
    <w:p>
      <w:pPr>
        <w:ind w:left="4560"/>
        <w:spacing w:after="0" w:line="232" w:lineRule="auto"/>
        <w:rPr>
          <w:sz w:val="20"/>
          <w:szCs w:val="20"/>
          <w:color w:val="auto"/>
        </w:rPr>
      </w:pPr>
      <w:r>
        <w:rPr>
          <w:rFonts w:ascii="Arial" w:cs="Arial" w:eastAsia="Arial" w:hAnsi="Arial"/>
          <w:sz w:val="17"/>
          <w:szCs w:val="17"/>
          <w:color w:val="auto"/>
        </w:rPr>
        <w:t>“Limitations on redemptions.” For example, our board of</w:t>
      </w:r>
    </w:p>
    <w:p>
      <w:pPr>
        <w:ind w:left="4560"/>
        <w:spacing w:after="0"/>
        <w:rPr>
          <w:sz w:val="20"/>
          <w:szCs w:val="20"/>
          <w:color w:val="auto"/>
        </w:rPr>
      </w:pPr>
      <w:r>
        <w:rPr>
          <w:rFonts w:ascii="Arial" w:cs="Arial" w:eastAsia="Arial" w:hAnsi="Arial"/>
          <w:sz w:val="17"/>
          <w:szCs w:val="17"/>
          <w:color w:val="auto"/>
        </w:rPr>
        <w:t>directors may propose such an</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8021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90565" cy="680212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5300" w:type="dxa"/>
            <w:vAlign w:val="bottom"/>
            <w:gridSpan w:val="2"/>
          </w:tcPr>
          <w:p>
            <w:pPr>
              <w:ind w:left="980"/>
              <w:spacing w:after="0"/>
              <w:rPr>
                <w:sz w:val="20"/>
                <w:szCs w:val="20"/>
                <w:color w:val="auto"/>
              </w:rPr>
            </w:pPr>
            <w:r>
              <w:rPr>
                <w:rFonts w:ascii="Arial" w:cs="Arial" w:eastAsia="Arial" w:hAnsi="Arial"/>
                <w:sz w:val="17"/>
                <w:szCs w:val="17"/>
                <w:color w:val="auto"/>
              </w:rPr>
              <w:t>amendment if it determines that additional time is</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necessary to complete our initial business combination.</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In such event, we will conduct a proxy solicitation and</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distribute proxy materials pursuant to Regulation 14A of</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the Exchange Act seeking shareholder approval of such</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proposal and, in connection therewith, provide our public</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shareholders with the redemption rights described above</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upon shareholder approval of such amendment. This</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redemption right shall apply in the event of the approval</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of any such amendment, whether proposed by our</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sponsor, any executive officer, director or director</w:t>
            </w:r>
          </w:p>
        </w:tc>
      </w:tr>
      <w:tr>
        <w:trPr>
          <w:trHeight w:val="205"/>
        </w:trPr>
        <w:tc>
          <w:tcPr>
            <w:tcW w:w="3340" w:type="dxa"/>
            <w:vAlign w:val="bottom"/>
          </w:tcPr>
          <w:p>
            <w:pPr>
              <w:spacing w:after="0"/>
              <w:rPr>
                <w:sz w:val="17"/>
                <w:szCs w:val="17"/>
                <w:color w:val="auto"/>
              </w:rPr>
            </w:pPr>
          </w:p>
        </w:tc>
        <w:tc>
          <w:tcPr>
            <w:tcW w:w="5300" w:type="dxa"/>
            <w:vAlign w:val="bottom"/>
            <w:gridSpan w:val="2"/>
          </w:tcPr>
          <w:p>
            <w:pPr>
              <w:ind w:left="980"/>
              <w:spacing w:after="0"/>
              <w:rPr>
                <w:sz w:val="20"/>
                <w:szCs w:val="20"/>
                <w:color w:val="auto"/>
              </w:rPr>
            </w:pPr>
            <w:r>
              <w:rPr>
                <w:rFonts w:ascii="Arial" w:cs="Arial" w:eastAsia="Arial" w:hAnsi="Arial"/>
                <w:sz w:val="17"/>
                <w:szCs w:val="17"/>
                <w:color w:val="auto"/>
              </w:rPr>
              <w:t>nominee, or any other person.</w:t>
            </w:r>
          </w:p>
        </w:tc>
      </w:tr>
      <w:tr>
        <w:trPr>
          <w:trHeight w:val="281"/>
        </w:trPr>
        <w:tc>
          <w:tcPr>
            <w:tcW w:w="3340" w:type="dxa"/>
            <w:vAlign w:val="bottom"/>
          </w:tcPr>
          <w:p>
            <w:pPr>
              <w:spacing w:after="0"/>
              <w:rPr>
                <w:sz w:val="24"/>
                <w:szCs w:val="24"/>
                <w:color w:val="auto"/>
              </w:rPr>
            </w:pPr>
          </w:p>
        </w:tc>
        <w:tc>
          <w:tcPr>
            <w:tcW w:w="5300" w:type="dxa"/>
            <w:vAlign w:val="bottom"/>
            <w:gridSpan w:val="2"/>
          </w:tcPr>
          <w:p>
            <w:pPr>
              <w:ind w:left="980"/>
              <w:spacing w:after="0"/>
              <w:rPr>
                <w:sz w:val="20"/>
                <w:szCs w:val="20"/>
                <w:color w:val="auto"/>
              </w:rPr>
            </w:pPr>
            <w:r>
              <w:rPr>
                <w:rFonts w:ascii="Arial" w:cs="Arial" w:eastAsia="Arial" w:hAnsi="Arial"/>
                <w:sz w:val="17"/>
                <w:szCs w:val="17"/>
                <w:color w:val="auto"/>
              </w:rPr>
              <w:t>Our amended and restated memorandum and articles of</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association will provide that, if we wind up for any other</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reason prior to the consummation of our initial business</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combination, we will follow the foregoing procedures with</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respect to the liquidation of the trust account as promptly</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as reasonably possible but not more than ten business</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days thereafter, subject to applicable Cayman Islands</w:t>
            </w:r>
          </w:p>
        </w:tc>
      </w:tr>
      <w:tr>
        <w:trPr>
          <w:trHeight w:val="205"/>
        </w:trPr>
        <w:tc>
          <w:tcPr>
            <w:tcW w:w="3340" w:type="dxa"/>
            <w:vAlign w:val="bottom"/>
          </w:tcPr>
          <w:p>
            <w:pPr>
              <w:spacing w:after="0"/>
              <w:rPr>
                <w:sz w:val="17"/>
                <w:szCs w:val="17"/>
                <w:color w:val="auto"/>
              </w:rPr>
            </w:pPr>
          </w:p>
        </w:tc>
        <w:tc>
          <w:tcPr>
            <w:tcW w:w="1300" w:type="dxa"/>
            <w:vAlign w:val="bottom"/>
          </w:tcPr>
          <w:p>
            <w:pPr>
              <w:ind w:left="980"/>
              <w:spacing w:after="0"/>
              <w:rPr>
                <w:sz w:val="20"/>
                <w:szCs w:val="20"/>
                <w:color w:val="auto"/>
              </w:rPr>
            </w:pPr>
            <w:r>
              <w:rPr>
                <w:rFonts w:ascii="Arial" w:cs="Arial" w:eastAsia="Arial" w:hAnsi="Arial"/>
                <w:sz w:val="17"/>
                <w:szCs w:val="17"/>
                <w:color w:val="auto"/>
                <w:w w:val="99"/>
              </w:rPr>
              <w:t>law.</w:t>
            </w:r>
          </w:p>
        </w:tc>
        <w:tc>
          <w:tcPr>
            <w:tcW w:w="4000" w:type="dxa"/>
            <w:vAlign w:val="bottom"/>
          </w:tcPr>
          <w:p>
            <w:pPr>
              <w:spacing w:after="0"/>
              <w:rPr>
                <w:sz w:val="17"/>
                <w:szCs w:val="17"/>
                <w:color w:val="auto"/>
              </w:rPr>
            </w:pPr>
          </w:p>
        </w:tc>
      </w:tr>
      <w:tr>
        <w:trPr>
          <w:trHeight w:val="295"/>
        </w:trPr>
        <w:tc>
          <w:tcPr>
            <w:tcW w:w="3340" w:type="dxa"/>
            <w:vAlign w:val="bottom"/>
          </w:tcPr>
          <w:p>
            <w:pPr>
              <w:spacing w:after="0"/>
              <w:rPr>
                <w:sz w:val="20"/>
                <w:szCs w:val="20"/>
                <w:color w:val="auto"/>
              </w:rPr>
            </w:pPr>
            <w:r>
              <w:rPr>
                <w:rFonts w:ascii="Arial" w:cs="Arial" w:eastAsia="Arial" w:hAnsi="Arial"/>
                <w:sz w:val="17"/>
                <w:szCs w:val="17"/>
                <w:b w:val="1"/>
                <w:bCs w:val="1"/>
                <w:color w:val="auto"/>
              </w:rPr>
              <w:t>Limited payments to insiders</w:t>
            </w:r>
          </w:p>
        </w:tc>
        <w:tc>
          <w:tcPr>
            <w:tcW w:w="5300" w:type="dxa"/>
            <w:vAlign w:val="bottom"/>
            <w:gridSpan w:val="2"/>
          </w:tcPr>
          <w:p>
            <w:pPr>
              <w:ind w:left="980"/>
              <w:spacing w:after="0"/>
              <w:rPr>
                <w:sz w:val="20"/>
                <w:szCs w:val="20"/>
                <w:color w:val="auto"/>
              </w:rPr>
            </w:pPr>
            <w:r>
              <w:rPr>
                <w:rFonts w:ascii="Arial" w:cs="Arial" w:eastAsia="Arial" w:hAnsi="Arial"/>
                <w:sz w:val="17"/>
                <w:szCs w:val="17"/>
                <w:color w:val="auto"/>
              </w:rPr>
              <w:t>There will be no finder’s fees, reimbursements or cash</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payments made by the company to our sponsor, officers</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or directors, or their affiliates, for services rendered to us</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prior to or in connection with the completion of our initial</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business combination, other than the following</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payments, none of which will be made from the proceeds</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of this offering and the sale of the private placement</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shares held in the trust account prior to the completion of</w:t>
            </w:r>
          </w:p>
        </w:tc>
      </w:tr>
      <w:tr>
        <w:trPr>
          <w:trHeight w:val="205"/>
        </w:trPr>
        <w:tc>
          <w:tcPr>
            <w:tcW w:w="3340" w:type="dxa"/>
            <w:vAlign w:val="bottom"/>
          </w:tcPr>
          <w:p>
            <w:pPr>
              <w:spacing w:after="0"/>
              <w:rPr>
                <w:sz w:val="17"/>
                <w:szCs w:val="17"/>
                <w:color w:val="auto"/>
              </w:rPr>
            </w:pPr>
          </w:p>
        </w:tc>
        <w:tc>
          <w:tcPr>
            <w:tcW w:w="5300" w:type="dxa"/>
            <w:vAlign w:val="bottom"/>
            <w:gridSpan w:val="2"/>
          </w:tcPr>
          <w:p>
            <w:pPr>
              <w:ind w:left="980"/>
              <w:spacing w:after="0"/>
              <w:rPr>
                <w:sz w:val="20"/>
                <w:szCs w:val="20"/>
                <w:color w:val="auto"/>
              </w:rPr>
            </w:pPr>
            <w:r>
              <w:rPr>
                <w:rFonts w:ascii="Arial" w:cs="Arial" w:eastAsia="Arial" w:hAnsi="Arial"/>
                <w:sz w:val="17"/>
                <w:szCs w:val="17"/>
                <w:color w:val="auto"/>
              </w:rPr>
              <w:t>our initial business combination:</w:t>
            </w:r>
          </w:p>
        </w:tc>
      </w:tr>
      <w:tr>
        <w:trPr>
          <w:trHeight w:val="281"/>
        </w:trPr>
        <w:tc>
          <w:tcPr>
            <w:tcW w:w="3340" w:type="dxa"/>
            <w:vAlign w:val="bottom"/>
          </w:tcPr>
          <w:p>
            <w:pPr>
              <w:spacing w:after="0"/>
              <w:rPr>
                <w:sz w:val="24"/>
                <w:szCs w:val="24"/>
                <w:color w:val="auto"/>
              </w:rPr>
            </w:pPr>
          </w:p>
        </w:tc>
        <w:tc>
          <w:tcPr>
            <w:tcW w:w="1300" w:type="dxa"/>
            <w:vAlign w:val="bottom"/>
          </w:tcPr>
          <w:p>
            <w:pPr>
              <w:ind w:left="980"/>
              <w:spacing w:after="0"/>
              <w:rPr>
                <w:sz w:val="20"/>
                <w:szCs w:val="20"/>
                <w:color w:val="auto"/>
              </w:rPr>
            </w:pPr>
            <w:r>
              <w:rPr>
                <w:rFonts w:ascii="Arial" w:cs="Arial" w:eastAsia="Arial" w:hAnsi="Arial"/>
                <w:sz w:val="17"/>
                <w:szCs w:val="17"/>
                <w:color w:val="auto"/>
              </w:rPr>
              <w:t>•</w:t>
            </w:r>
          </w:p>
        </w:tc>
        <w:tc>
          <w:tcPr>
            <w:tcW w:w="4000" w:type="dxa"/>
            <w:vAlign w:val="bottom"/>
          </w:tcPr>
          <w:p>
            <w:pPr>
              <w:ind w:left="40"/>
              <w:spacing w:after="0"/>
              <w:rPr>
                <w:sz w:val="20"/>
                <w:szCs w:val="20"/>
                <w:color w:val="auto"/>
              </w:rPr>
            </w:pPr>
            <w:r>
              <w:rPr>
                <w:rFonts w:ascii="Arial" w:cs="Arial" w:eastAsia="Arial" w:hAnsi="Arial"/>
                <w:sz w:val="17"/>
                <w:szCs w:val="17"/>
                <w:color w:val="auto"/>
              </w:rPr>
              <w:t>repayment of up to an aggregate of $300,000 in</w:t>
            </w:r>
          </w:p>
        </w:tc>
      </w:tr>
      <w:tr>
        <w:trPr>
          <w:trHeight w:val="189"/>
        </w:trPr>
        <w:tc>
          <w:tcPr>
            <w:tcW w:w="3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0" w:type="dxa"/>
            <w:vAlign w:val="bottom"/>
          </w:tcPr>
          <w:p>
            <w:pPr>
              <w:ind w:left="40"/>
              <w:spacing w:after="0" w:line="189" w:lineRule="exact"/>
              <w:rPr>
                <w:sz w:val="20"/>
                <w:szCs w:val="20"/>
                <w:color w:val="auto"/>
              </w:rPr>
            </w:pPr>
            <w:r>
              <w:rPr>
                <w:rFonts w:ascii="Arial" w:cs="Arial" w:eastAsia="Arial" w:hAnsi="Arial"/>
                <w:sz w:val="17"/>
                <w:szCs w:val="17"/>
                <w:color w:val="auto"/>
              </w:rPr>
              <w:t>loans made to us by our sponsor to cover offering-</w:t>
            </w:r>
          </w:p>
        </w:tc>
      </w:tr>
      <w:tr>
        <w:trPr>
          <w:trHeight w:val="205"/>
        </w:trPr>
        <w:tc>
          <w:tcPr>
            <w:tcW w:w="3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0" w:type="dxa"/>
            <w:vAlign w:val="bottom"/>
          </w:tcPr>
          <w:p>
            <w:pPr>
              <w:ind w:left="40"/>
              <w:spacing w:after="0"/>
              <w:rPr>
                <w:sz w:val="20"/>
                <w:szCs w:val="20"/>
                <w:color w:val="auto"/>
              </w:rPr>
            </w:pPr>
            <w:r>
              <w:rPr>
                <w:rFonts w:ascii="Arial" w:cs="Arial" w:eastAsia="Arial" w:hAnsi="Arial"/>
                <w:sz w:val="17"/>
                <w:szCs w:val="17"/>
                <w:color w:val="auto"/>
              </w:rPr>
              <w:t>related and organizational expenses;</w:t>
            </w:r>
          </w:p>
        </w:tc>
      </w:tr>
      <w:tr>
        <w:trPr>
          <w:trHeight w:val="281"/>
        </w:trPr>
        <w:tc>
          <w:tcPr>
            <w:tcW w:w="3340" w:type="dxa"/>
            <w:vAlign w:val="bottom"/>
          </w:tcPr>
          <w:p>
            <w:pPr>
              <w:spacing w:after="0"/>
              <w:rPr>
                <w:sz w:val="24"/>
                <w:szCs w:val="24"/>
                <w:color w:val="auto"/>
              </w:rPr>
            </w:pPr>
          </w:p>
        </w:tc>
        <w:tc>
          <w:tcPr>
            <w:tcW w:w="1300" w:type="dxa"/>
            <w:vAlign w:val="bottom"/>
          </w:tcPr>
          <w:p>
            <w:pPr>
              <w:ind w:left="980"/>
              <w:spacing w:after="0"/>
              <w:rPr>
                <w:sz w:val="20"/>
                <w:szCs w:val="20"/>
                <w:color w:val="auto"/>
              </w:rPr>
            </w:pPr>
            <w:r>
              <w:rPr>
                <w:rFonts w:ascii="Arial" w:cs="Arial" w:eastAsia="Arial" w:hAnsi="Arial"/>
                <w:sz w:val="17"/>
                <w:szCs w:val="17"/>
                <w:color w:val="auto"/>
              </w:rPr>
              <w:t>•</w:t>
            </w:r>
          </w:p>
        </w:tc>
        <w:tc>
          <w:tcPr>
            <w:tcW w:w="4000" w:type="dxa"/>
            <w:vAlign w:val="bottom"/>
          </w:tcPr>
          <w:p>
            <w:pPr>
              <w:ind w:left="40"/>
              <w:spacing w:after="0"/>
              <w:rPr>
                <w:sz w:val="20"/>
                <w:szCs w:val="20"/>
                <w:color w:val="auto"/>
              </w:rPr>
            </w:pPr>
            <w:r>
              <w:rPr>
                <w:rFonts w:ascii="Arial" w:cs="Arial" w:eastAsia="Arial" w:hAnsi="Arial"/>
                <w:sz w:val="17"/>
                <w:szCs w:val="17"/>
                <w:color w:val="auto"/>
              </w:rPr>
              <w:t>reimbursement for office space, secretarial and</w:t>
            </w:r>
          </w:p>
        </w:tc>
      </w:tr>
      <w:tr>
        <w:trPr>
          <w:trHeight w:val="189"/>
        </w:trPr>
        <w:tc>
          <w:tcPr>
            <w:tcW w:w="3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0" w:type="dxa"/>
            <w:vAlign w:val="bottom"/>
          </w:tcPr>
          <w:p>
            <w:pPr>
              <w:ind w:left="40"/>
              <w:spacing w:after="0" w:line="189" w:lineRule="exact"/>
              <w:rPr>
                <w:sz w:val="20"/>
                <w:szCs w:val="20"/>
                <w:color w:val="auto"/>
              </w:rPr>
            </w:pPr>
            <w:r>
              <w:rPr>
                <w:rFonts w:ascii="Arial" w:cs="Arial" w:eastAsia="Arial" w:hAnsi="Arial"/>
                <w:sz w:val="17"/>
                <w:szCs w:val="17"/>
                <w:color w:val="auto"/>
              </w:rPr>
              <w:t>administrative services provided to us by our</w:t>
            </w:r>
          </w:p>
        </w:tc>
      </w:tr>
      <w:tr>
        <w:trPr>
          <w:trHeight w:val="205"/>
        </w:trPr>
        <w:tc>
          <w:tcPr>
            <w:tcW w:w="3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0" w:type="dxa"/>
            <w:vAlign w:val="bottom"/>
          </w:tcPr>
          <w:p>
            <w:pPr>
              <w:ind w:left="40"/>
              <w:spacing w:after="0"/>
              <w:rPr>
                <w:sz w:val="20"/>
                <w:szCs w:val="20"/>
                <w:color w:val="auto"/>
              </w:rPr>
            </w:pPr>
            <w:r>
              <w:rPr>
                <w:rFonts w:ascii="Arial" w:cs="Arial" w:eastAsia="Arial" w:hAnsi="Arial"/>
                <w:sz w:val="17"/>
                <w:szCs w:val="17"/>
                <w:color w:val="auto"/>
              </w:rPr>
              <w:t>sponsor, in the amount of $10,000 per month;</w:t>
            </w:r>
          </w:p>
        </w:tc>
      </w:tr>
      <w:tr>
        <w:trPr>
          <w:trHeight w:val="281"/>
        </w:trPr>
        <w:tc>
          <w:tcPr>
            <w:tcW w:w="3340" w:type="dxa"/>
            <w:vAlign w:val="bottom"/>
          </w:tcPr>
          <w:p>
            <w:pPr>
              <w:spacing w:after="0"/>
              <w:rPr>
                <w:sz w:val="24"/>
                <w:szCs w:val="24"/>
                <w:color w:val="auto"/>
              </w:rPr>
            </w:pPr>
          </w:p>
        </w:tc>
        <w:tc>
          <w:tcPr>
            <w:tcW w:w="1300" w:type="dxa"/>
            <w:vAlign w:val="bottom"/>
          </w:tcPr>
          <w:p>
            <w:pPr>
              <w:ind w:left="980"/>
              <w:spacing w:after="0"/>
              <w:rPr>
                <w:sz w:val="20"/>
                <w:szCs w:val="20"/>
                <w:color w:val="auto"/>
              </w:rPr>
            </w:pPr>
            <w:r>
              <w:rPr>
                <w:rFonts w:ascii="Arial" w:cs="Arial" w:eastAsia="Arial" w:hAnsi="Arial"/>
                <w:sz w:val="17"/>
                <w:szCs w:val="17"/>
                <w:color w:val="auto"/>
              </w:rPr>
              <w:t>•</w:t>
            </w:r>
          </w:p>
        </w:tc>
        <w:tc>
          <w:tcPr>
            <w:tcW w:w="4000" w:type="dxa"/>
            <w:vAlign w:val="bottom"/>
          </w:tcPr>
          <w:p>
            <w:pPr>
              <w:ind w:left="40"/>
              <w:spacing w:after="0"/>
              <w:rPr>
                <w:sz w:val="20"/>
                <w:szCs w:val="20"/>
                <w:color w:val="auto"/>
              </w:rPr>
            </w:pPr>
            <w:r>
              <w:rPr>
                <w:rFonts w:ascii="Arial" w:cs="Arial" w:eastAsia="Arial" w:hAnsi="Arial"/>
                <w:sz w:val="17"/>
                <w:szCs w:val="17"/>
                <w:color w:val="auto"/>
              </w:rPr>
              <w:t>reimbursement for any out-of-pocket expenses</w:t>
            </w:r>
          </w:p>
        </w:tc>
      </w:tr>
      <w:tr>
        <w:trPr>
          <w:trHeight w:val="189"/>
        </w:trPr>
        <w:tc>
          <w:tcPr>
            <w:tcW w:w="3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0" w:type="dxa"/>
            <w:vAlign w:val="bottom"/>
          </w:tcPr>
          <w:p>
            <w:pPr>
              <w:ind w:left="40"/>
              <w:spacing w:after="0" w:line="189" w:lineRule="exact"/>
              <w:rPr>
                <w:sz w:val="20"/>
                <w:szCs w:val="20"/>
                <w:color w:val="auto"/>
              </w:rPr>
            </w:pPr>
            <w:r>
              <w:rPr>
                <w:rFonts w:ascii="Arial" w:cs="Arial" w:eastAsia="Arial" w:hAnsi="Arial"/>
                <w:sz w:val="17"/>
                <w:szCs w:val="17"/>
                <w:color w:val="auto"/>
              </w:rPr>
              <w:t>related to identifying, investigating, negotiating and</w:t>
            </w:r>
          </w:p>
        </w:tc>
      </w:tr>
      <w:tr>
        <w:trPr>
          <w:trHeight w:val="205"/>
        </w:trPr>
        <w:tc>
          <w:tcPr>
            <w:tcW w:w="3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0" w:type="dxa"/>
            <w:vAlign w:val="bottom"/>
          </w:tcPr>
          <w:p>
            <w:pPr>
              <w:ind w:left="40"/>
              <w:spacing w:after="0"/>
              <w:rPr>
                <w:sz w:val="20"/>
                <w:szCs w:val="20"/>
                <w:color w:val="auto"/>
              </w:rPr>
            </w:pPr>
            <w:r>
              <w:rPr>
                <w:rFonts w:ascii="Arial" w:cs="Arial" w:eastAsia="Arial" w:hAnsi="Arial"/>
                <w:sz w:val="17"/>
                <w:szCs w:val="17"/>
                <w:color w:val="auto"/>
              </w:rPr>
              <w:t>completing an initial business combination; and</w:t>
            </w:r>
          </w:p>
        </w:tc>
      </w:tr>
      <w:tr>
        <w:trPr>
          <w:trHeight w:val="281"/>
        </w:trPr>
        <w:tc>
          <w:tcPr>
            <w:tcW w:w="3340" w:type="dxa"/>
            <w:vAlign w:val="bottom"/>
          </w:tcPr>
          <w:p>
            <w:pPr>
              <w:spacing w:after="0"/>
              <w:rPr>
                <w:sz w:val="24"/>
                <w:szCs w:val="24"/>
                <w:color w:val="auto"/>
              </w:rPr>
            </w:pPr>
          </w:p>
        </w:tc>
        <w:tc>
          <w:tcPr>
            <w:tcW w:w="1300" w:type="dxa"/>
            <w:vAlign w:val="bottom"/>
          </w:tcPr>
          <w:p>
            <w:pPr>
              <w:ind w:left="980"/>
              <w:spacing w:after="0"/>
              <w:rPr>
                <w:sz w:val="20"/>
                <w:szCs w:val="20"/>
                <w:color w:val="auto"/>
              </w:rPr>
            </w:pPr>
            <w:r>
              <w:rPr>
                <w:rFonts w:ascii="Arial" w:cs="Arial" w:eastAsia="Arial" w:hAnsi="Arial"/>
                <w:sz w:val="17"/>
                <w:szCs w:val="17"/>
                <w:color w:val="auto"/>
              </w:rPr>
              <w:t>•</w:t>
            </w:r>
          </w:p>
        </w:tc>
        <w:tc>
          <w:tcPr>
            <w:tcW w:w="4000" w:type="dxa"/>
            <w:vAlign w:val="bottom"/>
          </w:tcPr>
          <w:p>
            <w:pPr>
              <w:ind w:left="40"/>
              <w:spacing w:after="0"/>
              <w:rPr>
                <w:sz w:val="20"/>
                <w:szCs w:val="20"/>
                <w:color w:val="auto"/>
              </w:rPr>
            </w:pPr>
            <w:r>
              <w:rPr>
                <w:rFonts w:ascii="Arial" w:cs="Arial" w:eastAsia="Arial" w:hAnsi="Arial"/>
                <w:sz w:val="17"/>
                <w:szCs w:val="17"/>
                <w:color w:val="auto"/>
              </w:rPr>
              <w:t>repayment of loans which may be made by our</w:t>
            </w:r>
          </w:p>
        </w:tc>
      </w:tr>
      <w:tr>
        <w:trPr>
          <w:trHeight w:val="189"/>
        </w:trPr>
        <w:tc>
          <w:tcPr>
            <w:tcW w:w="3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0" w:type="dxa"/>
            <w:vAlign w:val="bottom"/>
          </w:tcPr>
          <w:p>
            <w:pPr>
              <w:ind w:left="40"/>
              <w:spacing w:after="0" w:line="189" w:lineRule="exact"/>
              <w:rPr>
                <w:sz w:val="20"/>
                <w:szCs w:val="20"/>
                <w:color w:val="auto"/>
              </w:rPr>
            </w:pPr>
            <w:r>
              <w:rPr>
                <w:rFonts w:ascii="Arial" w:cs="Arial" w:eastAsia="Arial" w:hAnsi="Arial"/>
                <w:sz w:val="17"/>
                <w:szCs w:val="17"/>
                <w:color w:val="auto"/>
              </w:rPr>
              <w:t>sponsor or an affiliate of our sponsor or certain of</w:t>
            </w:r>
          </w:p>
        </w:tc>
      </w:tr>
      <w:tr>
        <w:trPr>
          <w:trHeight w:val="189"/>
        </w:trPr>
        <w:tc>
          <w:tcPr>
            <w:tcW w:w="3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0" w:type="dxa"/>
            <w:vAlign w:val="bottom"/>
          </w:tcPr>
          <w:p>
            <w:pPr>
              <w:ind w:left="40"/>
              <w:spacing w:after="0" w:line="189" w:lineRule="exact"/>
              <w:rPr>
                <w:sz w:val="20"/>
                <w:szCs w:val="20"/>
                <w:color w:val="auto"/>
              </w:rPr>
            </w:pPr>
            <w:r>
              <w:rPr>
                <w:rFonts w:ascii="Arial" w:cs="Arial" w:eastAsia="Arial" w:hAnsi="Arial"/>
                <w:sz w:val="17"/>
                <w:szCs w:val="17"/>
                <w:color w:val="auto"/>
              </w:rPr>
              <w:t>our officers and directors to finance transaction</w:t>
            </w:r>
          </w:p>
        </w:tc>
      </w:tr>
    </w:tbl>
    <w:p>
      <w:pPr>
        <w:ind w:left="4920"/>
        <w:spacing w:after="0" w:line="232" w:lineRule="auto"/>
        <w:rPr>
          <w:sz w:val="20"/>
          <w:szCs w:val="20"/>
          <w:color w:val="auto"/>
        </w:rPr>
      </w:pPr>
      <w:r>
        <w:rPr>
          <w:rFonts w:ascii="Arial" w:cs="Arial" w:eastAsia="Arial" w:hAnsi="Arial"/>
          <w:sz w:val="17"/>
          <w:szCs w:val="17"/>
          <w:color w:val="auto"/>
        </w:rPr>
        <w:t>costs in connection with an intended initial business</w:t>
      </w:r>
    </w:p>
    <w:p>
      <w:pPr>
        <w:ind w:left="4920"/>
        <w:spacing w:after="0" w:line="232" w:lineRule="auto"/>
        <w:rPr>
          <w:sz w:val="20"/>
          <w:szCs w:val="20"/>
          <w:color w:val="auto"/>
        </w:rPr>
      </w:pPr>
      <w:r>
        <w:rPr>
          <w:rFonts w:ascii="Arial" w:cs="Arial" w:eastAsia="Arial" w:hAnsi="Arial"/>
          <w:sz w:val="17"/>
          <w:szCs w:val="17"/>
          <w:color w:val="auto"/>
        </w:rPr>
        <w:t>combination. Up to $1,500,000 of such loans may</w:t>
      </w:r>
    </w:p>
    <w:p>
      <w:pPr>
        <w:ind w:left="4920"/>
        <w:spacing w:after="0" w:line="232" w:lineRule="auto"/>
        <w:rPr>
          <w:sz w:val="20"/>
          <w:szCs w:val="20"/>
          <w:color w:val="auto"/>
        </w:rPr>
      </w:pPr>
      <w:r>
        <w:rPr>
          <w:rFonts w:ascii="Arial" w:cs="Arial" w:eastAsia="Arial" w:hAnsi="Arial"/>
          <w:sz w:val="17"/>
          <w:szCs w:val="17"/>
          <w:color w:val="auto"/>
        </w:rPr>
        <w:t>be convertible into shares of the post-business</w:t>
      </w:r>
    </w:p>
    <w:p>
      <w:pPr>
        <w:ind w:left="4920"/>
        <w:spacing w:after="0" w:line="232" w:lineRule="auto"/>
        <w:rPr>
          <w:sz w:val="20"/>
          <w:szCs w:val="20"/>
          <w:color w:val="auto"/>
        </w:rPr>
      </w:pPr>
      <w:r>
        <w:rPr>
          <w:rFonts w:ascii="Arial" w:cs="Arial" w:eastAsia="Arial" w:hAnsi="Arial"/>
          <w:sz w:val="17"/>
          <w:szCs w:val="17"/>
          <w:color w:val="auto"/>
        </w:rPr>
        <w:t>combination company at a price of $10.00 per share</w:t>
      </w:r>
    </w:p>
    <w:p>
      <w:pPr>
        <w:ind w:left="4920"/>
        <w:spacing w:after="0" w:line="232" w:lineRule="auto"/>
        <w:rPr>
          <w:sz w:val="20"/>
          <w:szCs w:val="20"/>
          <w:color w:val="auto"/>
        </w:rPr>
      </w:pPr>
      <w:r>
        <w:rPr>
          <w:rFonts w:ascii="Arial" w:cs="Arial" w:eastAsia="Arial" w:hAnsi="Arial"/>
          <w:sz w:val="17"/>
          <w:szCs w:val="17"/>
          <w:color w:val="auto"/>
        </w:rPr>
        <w:t>at the option of the lender. The shares would be</w:t>
      </w:r>
    </w:p>
    <w:p>
      <w:pPr>
        <w:ind w:left="4920"/>
        <w:spacing w:after="0" w:line="232" w:lineRule="auto"/>
        <w:rPr>
          <w:sz w:val="20"/>
          <w:szCs w:val="20"/>
          <w:color w:val="auto"/>
        </w:rPr>
      </w:pPr>
      <w:r>
        <w:rPr>
          <w:rFonts w:ascii="Arial" w:cs="Arial" w:eastAsia="Arial" w:hAnsi="Arial"/>
          <w:sz w:val="17"/>
          <w:szCs w:val="17"/>
          <w:color w:val="auto"/>
        </w:rPr>
        <w:t>identical to the private placement shares. Except for</w:t>
      </w:r>
    </w:p>
    <w:p>
      <w:pPr>
        <w:ind w:left="4920"/>
        <w:spacing w:after="0" w:line="232" w:lineRule="auto"/>
        <w:rPr>
          <w:sz w:val="20"/>
          <w:szCs w:val="20"/>
          <w:color w:val="auto"/>
        </w:rPr>
      </w:pPr>
      <w:r>
        <w:rPr>
          <w:rFonts w:ascii="Arial" w:cs="Arial" w:eastAsia="Arial" w:hAnsi="Arial"/>
          <w:sz w:val="17"/>
          <w:szCs w:val="17"/>
          <w:color w:val="auto"/>
        </w:rPr>
        <w:t>the foregoing, the terms of such loans, if any, have</w:t>
      </w:r>
    </w:p>
    <w:p>
      <w:pPr>
        <w:ind w:left="4920"/>
        <w:spacing w:after="0" w:line="232" w:lineRule="auto"/>
        <w:rPr>
          <w:sz w:val="20"/>
          <w:szCs w:val="20"/>
          <w:color w:val="auto"/>
        </w:rPr>
      </w:pPr>
      <w:r>
        <w:rPr>
          <w:rFonts w:ascii="Arial" w:cs="Arial" w:eastAsia="Arial" w:hAnsi="Arial"/>
          <w:sz w:val="17"/>
          <w:szCs w:val="17"/>
          <w:color w:val="auto"/>
        </w:rPr>
        <w:t>not been determined and no written agreements</w:t>
      </w:r>
    </w:p>
    <w:p>
      <w:pPr>
        <w:ind w:left="4920"/>
        <w:spacing w:after="0"/>
        <w:rPr>
          <w:sz w:val="20"/>
          <w:szCs w:val="20"/>
          <w:color w:val="auto"/>
        </w:rPr>
      </w:pPr>
      <w:r>
        <w:rPr>
          <w:rFonts w:ascii="Arial" w:cs="Arial" w:eastAsia="Arial" w:hAnsi="Arial"/>
          <w:sz w:val="17"/>
          <w:szCs w:val="17"/>
          <w:color w:val="auto"/>
        </w:rPr>
        <w:t>exist with respect to such loans.</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26" w:name="page27"/>
    <w:bookmarkEnd w:id="26"/>
    <w:p>
      <w:pPr>
        <w:ind w:left="96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37"/>
        </w:trPr>
        <w:tc>
          <w:tcPr>
            <w:tcW w:w="980" w:type="dxa"/>
            <w:vAlign w:val="bottom"/>
            <w:tcBorders>
              <w:right w:val="single" w:sz="8" w:color="auto"/>
            </w:tcBorders>
          </w:tcPr>
          <w:p>
            <w:pPr>
              <w:spacing w:after="0"/>
              <w:rPr>
                <w:sz w:val="24"/>
                <w:szCs w:val="24"/>
                <w:color w:val="auto"/>
              </w:rPr>
            </w:pPr>
          </w:p>
        </w:tc>
        <w:tc>
          <w:tcPr>
            <w:tcW w:w="3000" w:type="dxa"/>
            <w:vAlign w:val="bottom"/>
            <w:tcBorders>
              <w:top w:val="single" w:sz="8" w:color="auto"/>
            </w:tcBorders>
          </w:tcPr>
          <w:p>
            <w:pPr>
              <w:spacing w:after="0"/>
              <w:rPr>
                <w:sz w:val="24"/>
                <w:szCs w:val="24"/>
                <w:color w:val="auto"/>
              </w:rPr>
            </w:pPr>
          </w:p>
        </w:tc>
        <w:tc>
          <w:tcPr>
            <w:tcW w:w="610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7"/>
                <w:szCs w:val="17"/>
                <w:color w:val="auto"/>
              </w:rPr>
              <w:t>Any such payments will be made either (i) prior to the</w:t>
            </w:r>
          </w:p>
        </w:tc>
        <w:tc>
          <w:tcPr>
            <w:tcW w:w="940" w:type="dxa"/>
            <w:vAlign w:val="bottom"/>
          </w:tcPr>
          <w:p>
            <w:pPr>
              <w:spacing w:after="0"/>
              <w:rPr>
                <w:sz w:val="24"/>
                <w:szCs w:val="24"/>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completion of our initial business combination using</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proceeds of this offering and the sale of the private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placement shares held outside the trust account or from</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loans made to us by our sponsor or an affiliate of our</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sponsor or certain of our officers and directors or (ii) in</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connection with or after the consummation of our initial</w:t>
            </w:r>
          </w:p>
        </w:tc>
        <w:tc>
          <w:tcPr>
            <w:tcW w:w="940" w:type="dxa"/>
            <w:vAlign w:val="bottom"/>
          </w:tcPr>
          <w:p>
            <w:pPr>
              <w:spacing w:after="0"/>
              <w:rPr>
                <w:sz w:val="16"/>
                <w:szCs w:val="16"/>
                <w:color w:val="auto"/>
              </w:rPr>
            </w:pPr>
          </w:p>
        </w:tc>
      </w:tr>
      <w:tr>
        <w:trPr>
          <w:trHeight w:val="205"/>
        </w:trPr>
        <w:tc>
          <w:tcPr>
            <w:tcW w:w="980" w:type="dxa"/>
            <w:vAlign w:val="bottom"/>
            <w:tcBorders>
              <w:right w:val="single" w:sz="8" w:color="auto"/>
            </w:tcBorders>
          </w:tcPr>
          <w:p>
            <w:pPr>
              <w:spacing w:after="0"/>
              <w:rPr>
                <w:sz w:val="17"/>
                <w:szCs w:val="17"/>
                <w:color w:val="auto"/>
              </w:rPr>
            </w:pPr>
          </w:p>
        </w:tc>
        <w:tc>
          <w:tcPr>
            <w:tcW w:w="3000" w:type="dxa"/>
            <w:vAlign w:val="bottom"/>
          </w:tcPr>
          <w:p>
            <w:pPr>
              <w:spacing w:after="0"/>
              <w:rPr>
                <w:sz w:val="17"/>
                <w:szCs w:val="17"/>
                <w:color w:val="auto"/>
              </w:rPr>
            </w:pPr>
          </w:p>
        </w:tc>
        <w:tc>
          <w:tcPr>
            <w:tcW w:w="6100" w:type="dxa"/>
            <w:vAlign w:val="bottom"/>
            <w:tcBorders>
              <w:right w:val="single" w:sz="8" w:color="auto"/>
            </w:tcBorders>
          </w:tcPr>
          <w:p>
            <w:pPr>
              <w:ind w:left="1540"/>
              <w:spacing w:after="0"/>
              <w:rPr>
                <w:sz w:val="20"/>
                <w:szCs w:val="20"/>
                <w:color w:val="auto"/>
              </w:rPr>
            </w:pPr>
            <w:r>
              <w:rPr>
                <w:rFonts w:ascii="Arial" w:cs="Arial" w:eastAsia="Arial" w:hAnsi="Arial"/>
                <w:sz w:val="17"/>
                <w:szCs w:val="17"/>
                <w:color w:val="auto"/>
              </w:rPr>
              <w:t>business combination.</w:t>
            </w:r>
          </w:p>
        </w:tc>
        <w:tc>
          <w:tcPr>
            <w:tcW w:w="940" w:type="dxa"/>
            <w:vAlign w:val="bottom"/>
          </w:tcPr>
          <w:p>
            <w:pPr>
              <w:spacing w:after="0"/>
              <w:rPr>
                <w:sz w:val="17"/>
                <w:szCs w:val="17"/>
                <w:color w:val="auto"/>
              </w:rPr>
            </w:pPr>
          </w:p>
        </w:tc>
      </w:tr>
      <w:tr>
        <w:trPr>
          <w:trHeight w:val="295"/>
        </w:trPr>
        <w:tc>
          <w:tcPr>
            <w:tcW w:w="980" w:type="dxa"/>
            <w:vAlign w:val="bottom"/>
            <w:tcBorders>
              <w:right w:val="single" w:sz="8" w:color="auto"/>
            </w:tcBorders>
          </w:tcPr>
          <w:p>
            <w:pPr>
              <w:spacing w:after="0"/>
              <w:rPr>
                <w:sz w:val="24"/>
                <w:szCs w:val="24"/>
                <w:color w:val="auto"/>
              </w:rPr>
            </w:pPr>
          </w:p>
        </w:tc>
        <w:tc>
          <w:tcPr>
            <w:tcW w:w="3000" w:type="dxa"/>
            <w:vAlign w:val="bottom"/>
          </w:tcPr>
          <w:p>
            <w:pPr>
              <w:ind w:left="220"/>
              <w:spacing w:after="0"/>
              <w:rPr>
                <w:sz w:val="20"/>
                <w:szCs w:val="20"/>
                <w:color w:val="auto"/>
              </w:rPr>
            </w:pPr>
            <w:r>
              <w:rPr>
                <w:rFonts w:ascii="Arial" w:cs="Arial" w:eastAsia="Arial" w:hAnsi="Arial"/>
                <w:sz w:val="17"/>
                <w:szCs w:val="17"/>
                <w:b w:val="1"/>
                <w:bCs w:val="1"/>
                <w:color w:val="auto"/>
              </w:rPr>
              <w:t>Audit committee</w:t>
            </w:r>
          </w:p>
        </w:tc>
        <w:tc>
          <w:tcPr>
            <w:tcW w:w="6100" w:type="dxa"/>
            <w:vAlign w:val="bottom"/>
            <w:tcBorders>
              <w:right w:val="single" w:sz="8" w:color="auto"/>
            </w:tcBorders>
          </w:tcPr>
          <w:p>
            <w:pPr>
              <w:ind w:left="1540"/>
              <w:spacing w:after="0"/>
              <w:rPr>
                <w:sz w:val="20"/>
                <w:szCs w:val="20"/>
                <w:color w:val="auto"/>
              </w:rPr>
            </w:pPr>
            <w:r>
              <w:rPr>
                <w:rFonts w:ascii="Arial" w:cs="Arial" w:eastAsia="Arial" w:hAnsi="Arial"/>
                <w:sz w:val="17"/>
                <w:szCs w:val="17"/>
                <w:color w:val="auto"/>
              </w:rPr>
              <w:t>We have established and will maintain an audit</w:t>
            </w:r>
          </w:p>
        </w:tc>
        <w:tc>
          <w:tcPr>
            <w:tcW w:w="940" w:type="dxa"/>
            <w:vAlign w:val="bottom"/>
          </w:tcPr>
          <w:p>
            <w:pPr>
              <w:spacing w:after="0"/>
              <w:rPr>
                <w:sz w:val="24"/>
                <w:szCs w:val="24"/>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committee, which is composed entirely of independent</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directors. Among its responsibilities, the audit committee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will review on a quarterly basis all payments that were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made by us to our sponsor, officers or directors, or their</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affiliates and monitor compliance with the other terms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relating to this offering. If any noncompliance is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identified, then the audit committee will be charged with</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the responsibility to promptly take all action necessary to</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rectify such noncompliance or otherwise to cause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compliance with the terms of this offering. For more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information, see the section entitled “Management —</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Committees of the Board of Directors — Audit</w:t>
            </w:r>
          </w:p>
        </w:tc>
        <w:tc>
          <w:tcPr>
            <w:tcW w:w="940" w:type="dxa"/>
            <w:vAlign w:val="bottom"/>
          </w:tcPr>
          <w:p>
            <w:pPr>
              <w:spacing w:after="0"/>
              <w:rPr>
                <w:sz w:val="16"/>
                <w:szCs w:val="16"/>
                <w:color w:val="auto"/>
              </w:rPr>
            </w:pPr>
          </w:p>
        </w:tc>
      </w:tr>
      <w:tr>
        <w:trPr>
          <w:trHeight w:val="205"/>
        </w:trPr>
        <w:tc>
          <w:tcPr>
            <w:tcW w:w="980" w:type="dxa"/>
            <w:vAlign w:val="bottom"/>
            <w:tcBorders>
              <w:right w:val="single" w:sz="8" w:color="auto"/>
            </w:tcBorders>
          </w:tcPr>
          <w:p>
            <w:pPr>
              <w:spacing w:after="0"/>
              <w:rPr>
                <w:sz w:val="17"/>
                <w:szCs w:val="17"/>
                <w:color w:val="auto"/>
              </w:rPr>
            </w:pPr>
          </w:p>
        </w:tc>
        <w:tc>
          <w:tcPr>
            <w:tcW w:w="3000" w:type="dxa"/>
            <w:vAlign w:val="bottom"/>
          </w:tcPr>
          <w:p>
            <w:pPr>
              <w:spacing w:after="0"/>
              <w:rPr>
                <w:sz w:val="17"/>
                <w:szCs w:val="17"/>
                <w:color w:val="auto"/>
              </w:rPr>
            </w:pPr>
          </w:p>
        </w:tc>
        <w:tc>
          <w:tcPr>
            <w:tcW w:w="6100" w:type="dxa"/>
            <w:vAlign w:val="bottom"/>
            <w:tcBorders>
              <w:right w:val="single" w:sz="8" w:color="auto"/>
            </w:tcBorders>
          </w:tcPr>
          <w:p>
            <w:pPr>
              <w:ind w:left="1540"/>
              <w:spacing w:after="0"/>
              <w:rPr>
                <w:sz w:val="20"/>
                <w:szCs w:val="20"/>
                <w:color w:val="auto"/>
              </w:rPr>
            </w:pPr>
            <w:r>
              <w:rPr>
                <w:rFonts w:ascii="Arial" w:cs="Arial" w:eastAsia="Arial" w:hAnsi="Arial"/>
                <w:sz w:val="17"/>
                <w:szCs w:val="17"/>
                <w:color w:val="auto"/>
              </w:rPr>
              <w:t>Committee.”</w:t>
            </w:r>
          </w:p>
        </w:tc>
        <w:tc>
          <w:tcPr>
            <w:tcW w:w="940" w:type="dxa"/>
            <w:vAlign w:val="bottom"/>
          </w:tcPr>
          <w:p>
            <w:pPr>
              <w:spacing w:after="0"/>
              <w:rPr>
                <w:sz w:val="17"/>
                <w:szCs w:val="17"/>
                <w:color w:val="auto"/>
              </w:rPr>
            </w:pPr>
          </w:p>
        </w:tc>
      </w:tr>
      <w:tr>
        <w:trPr>
          <w:trHeight w:val="217"/>
        </w:trPr>
        <w:tc>
          <w:tcPr>
            <w:tcW w:w="980" w:type="dxa"/>
            <w:vAlign w:val="bottom"/>
            <w:tcBorders>
              <w:right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6100" w:type="dxa"/>
            <w:vAlign w:val="bottom"/>
            <w:tcBorders>
              <w:bottom w:val="single" w:sz="8" w:color="auto"/>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r>
      <w:tr>
        <w:trPr>
          <w:trHeight w:val="409"/>
        </w:trPr>
        <w:tc>
          <w:tcPr>
            <w:tcW w:w="9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100" w:type="dxa"/>
            <w:vAlign w:val="bottom"/>
          </w:tcPr>
          <w:p>
            <w:pPr>
              <w:ind w:left="1440"/>
              <w:spacing w:after="0"/>
              <w:rPr>
                <w:sz w:val="20"/>
                <w:szCs w:val="20"/>
                <w:color w:val="auto"/>
              </w:rPr>
            </w:pPr>
            <w:r>
              <w:rPr>
                <w:rFonts w:ascii="Arial" w:cs="Arial" w:eastAsia="Arial" w:hAnsi="Arial"/>
                <w:sz w:val="16"/>
                <w:szCs w:val="16"/>
                <w:color w:val="auto"/>
              </w:rPr>
              <w:t>25</w:t>
            </w:r>
          </w:p>
        </w:tc>
        <w:tc>
          <w:tcPr>
            <w:tcW w:w="940" w:type="dxa"/>
            <w:vAlign w:val="bottom"/>
          </w:tcPr>
          <w:p>
            <w:pPr>
              <w:spacing w:after="0"/>
              <w:rPr>
                <w:sz w:val="24"/>
                <w:szCs w:val="24"/>
                <w:color w:val="auto"/>
              </w:rPr>
            </w:pPr>
          </w:p>
        </w:tc>
      </w:tr>
      <w:tr>
        <w:trPr>
          <w:trHeight w:val="175"/>
        </w:trPr>
        <w:tc>
          <w:tcPr>
            <w:tcW w:w="9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17011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90565" cy="170116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RISKS</w:t>
      </w:r>
    </w:p>
    <w:p>
      <w:pPr>
        <w:spacing w:after="0" w:line="174" w:lineRule="exact"/>
        <w:rPr>
          <w:sz w:val="20"/>
          <w:szCs w:val="20"/>
          <w:color w:val="auto"/>
        </w:rPr>
      </w:pPr>
    </w:p>
    <w:p>
      <w:pPr>
        <w:ind w:left="240" w:right="259"/>
        <w:spacing w:after="0" w:line="234" w:lineRule="auto"/>
        <w:rPr>
          <w:sz w:val="20"/>
          <w:szCs w:val="20"/>
          <w:color w:val="auto"/>
        </w:rPr>
      </w:pPr>
      <w:r>
        <w:rPr>
          <w:rFonts w:ascii="Arial" w:cs="Arial" w:eastAsia="Arial" w:hAnsi="Arial"/>
          <w:sz w:val="17"/>
          <w:szCs w:val="17"/>
          <w:color w:val="auto"/>
        </w:rPr>
        <w:t>We are a newly formed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Comparison of This Offering to Those of Blank Check Companies Subject to Rule 419.” You should carefully consider these and the other risks set forth in the section entitled “Risk Factors” of this prospectus.</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28" w:name="page29"/>
    <w:bookmarkEnd w:id="28"/>
    <w:p>
      <w:pPr>
        <w:ind w:left="96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90170</wp:posOffset>
            </wp:positionV>
            <wp:extent cx="5790565" cy="2601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90565" cy="260159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FINANCIAL DATA</w:t>
      </w:r>
    </w:p>
    <w:p>
      <w:pPr>
        <w:spacing w:after="0" w:line="174" w:lineRule="exact"/>
        <w:rPr>
          <w:sz w:val="20"/>
          <w:szCs w:val="20"/>
          <w:color w:val="auto"/>
        </w:rPr>
      </w:pPr>
    </w:p>
    <w:p>
      <w:pPr>
        <w:ind w:left="1200" w:right="1340"/>
        <w:spacing w:after="0" w:line="238" w:lineRule="auto"/>
        <w:rPr>
          <w:sz w:val="20"/>
          <w:szCs w:val="20"/>
          <w:color w:val="auto"/>
        </w:rPr>
      </w:pPr>
      <w:r>
        <w:rPr>
          <w:rFonts w:ascii="Arial" w:cs="Arial" w:eastAsia="Arial" w:hAnsi="Arial"/>
          <w:sz w:val="17"/>
          <w:szCs w:val="17"/>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160" w:type="dxa"/>
            <w:vAlign w:val="bottom"/>
            <w:gridSpan w:val="4"/>
          </w:tcPr>
          <w:p>
            <w:pPr>
              <w:ind w:left="80"/>
              <w:spacing w:after="0"/>
              <w:rPr>
                <w:sz w:val="20"/>
                <w:szCs w:val="20"/>
                <w:color w:val="auto"/>
              </w:rPr>
            </w:pPr>
            <w:r>
              <w:rPr>
                <w:rFonts w:ascii="Arial" w:cs="Arial" w:eastAsia="Arial" w:hAnsi="Arial"/>
                <w:sz w:val="14"/>
                <w:szCs w:val="14"/>
                <w:b w:val="1"/>
                <w:bCs w:val="1"/>
                <w:color w:val="auto"/>
              </w:rPr>
              <w:t>April 2, 2020</w:t>
            </w:r>
          </w:p>
        </w:tc>
      </w:tr>
      <w:tr>
        <w:trPr>
          <w:trHeight w:val="80"/>
        </w:trPr>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r>
      <w:tr>
        <w:trPr>
          <w:trHeight w:val="324"/>
        </w:trPr>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2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6"/>
        </w:trPr>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60" w:type="dxa"/>
            <w:vAlign w:val="bottom"/>
          </w:tcPr>
          <w:p>
            <w:pPr>
              <w:spacing w:after="0"/>
              <w:rPr>
                <w:sz w:val="20"/>
                <w:szCs w:val="20"/>
                <w:color w:val="auto"/>
              </w:rPr>
            </w:pPr>
            <w:r>
              <w:rPr>
                <w:rFonts w:ascii="Arial" w:cs="Arial" w:eastAsia="Arial" w:hAnsi="Arial"/>
                <w:sz w:val="17"/>
                <w:szCs w:val="17"/>
                <w:color w:val="auto"/>
              </w:rPr>
              <w:t>Working capital (deficiency)</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55"/>
              <w:spacing w:after="0"/>
              <w:rPr>
                <w:sz w:val="20"/>
                <w:szCs w:val="20"/>
                <w:color w:val="auto"/>
              </w:rPr>
            </w:pPr>
            <w:r>
              <w:rPr>
                <w:rFonts w:ascii="Arial" w:cs="Arial" w:eastAsia="Arial" w:hAnsi="Arial"/>
                <w:sz w:val="17"/>
                <w:szCs w:val="17"/>
                <w:color w:val="auto"/>
              </w:rPr>
              <w:t>(4,245)</w:t>
            </w: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58"/>
        </w:trPr>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60" w:type="dxa"/>
            <w:vAlign w:val="bottom"/>
          </w:tcPr>
          <w:p>
            <w:pPr>
              <w:spacing w:after="0"/>
              <w:rPr>
                <w:sz w:val="5"/>
                <w:szCs w:val="5"/>
                <w:color w:val="auto"/>
              </w:rPr>
            </w:pPr>
          </w:p>
        </w:tc>
        <w:tc>
          <w:tcPr>
            <w:tcW w:w="98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304"/>
        </w:trPr>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w:t>
            </w:r>
          </w:p>
        </w:tc>
        <w:tc>
          <w:tcPr>
            <w:tcW w:w="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$25,000</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6"/>
        </w:trPr>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60" w:type="dxa"/>
            <w:vAlign w:val="bottom"/>
          </w:tcPr>
          <w:p>
            <w:pPr>
              <w:spacing w:after="0"/>
              <w:rPr>
                <w:sz w:val="20"/>
                <w:szCs w:val="20"/>
                <w:color w:val="auto"/>
              </w:rPr>
            </w:pPr>
            <w:r>
              <w:rPr>
                <w:rFonts w:ascii="Arial" w:cs="Arial" w:eastAsia="Arial" w:hAnsi="Arial"/>
                <w:sz w:val="17"/>
                <w:szCs w:val="17"/>
                <w:color w:val="auto"/>
              </w:rPr>
              <w:t>Total liabilities</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15"/>
              <w:spacing w:after="0"/>
              <w:rPr>
                <w:sz w:val="20"/>
                <w:szCs w:val="20"/>
                <w:color w:val="auto"/>
              </w:rPr>
            </w:pPr>
            <w:r>
              <w:rPr>
                <w:rFonts w:ascii="Arial" w:cs="Arial" w:eastAsia="Arial" w:hAnsi="Arial"/>
                <w:sz w:val="17"/>
                <w:szCs w:val="17"/>
                <w:color w:val="auto"/>
              </w:rPr>
              <w:t>4,245</w:t>
            </w: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58"/>
        </w:trPr>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80" w:type="dxa"/>
            <w:vAlign w:val="bottom"/>
            <w:gridSpan w:val="3"/>
          </w:tcPr>
          <w:p>
            <w:pPr>
              <w:spacing w:after="0"/>
              <w:rPr>
                <w:sz w:val="5"/>
                <w:szCs w:val="5"/>
                <w:color w:val="auto"/>
              </w:rPr>
            </w:pPr>
          </w:p>
        </w:tc>
      </w:tr>
      <w:tr>
        <w:trPr>
          <w:trHeight w:val="304"/>
        </w:trPr>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Value of Class A ordinary shares subject to possible redemption</w:t>
            </w:r>
          </w:p>
        </w:tc>
        <w:tc>
          <w:tcPr>
            <w:tcW w:w="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80" w:type="dxa"/>
            <w:vAlign w:val="bottom"/>
            <w:gridSpan w:val="2"/>
          </w:tcPr>
          <w:p>
            <w:pPr>
              <w:spacing w:after="0"/>
              <w:rPr>
                <w:sz w:val="24"/>
                <w:szCs w:val="24"/>
                <w:color w:val="auto"/>
              </w:rPr>
            </w:pPr>
          </w:p>
        </w:tc>
      </w:tr>
      <w:tr>
        <w:trPr>
          <w:trHeight w:val="257"/>
        </w:trPr>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Shareholder’s equity</w:t>
            </w: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$20,755</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6"/>
        </w:trPr>
        <w:tc>
          <w:tcPr>
            <w:tcW w:w="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Pr>
          <w:p>
            <w:pPr>
              <w:spacing w:after="0"/>
              <w:rPr>
                <w:sz w:val="17"/>
                <w:szCs w:val="17"/>
                <w:color w:val="auto"/>
              </w:rPr>
            </w:pPr>
          </w:p>
        </w:tc>
      </w:tr>
      <w:tr>
        <w:trPr>
          <w:trHeight w:val="409"/>
        </w:trPr>
        <w:tc>
          <w:tcPr>
            <w:tcW w:w="8860" w:type="dxa"/>
            <w:vAlign w:val="bottom"/>
            <w:gridSpan w:val="3"/>
          </w:tcPr>
          <w:p>
            <w:pPr>
              <w:jc w:val="right"/>
              <w:ind w:right="3175"/>
              <w:spacing w:after="0"/>
              <w:rPr>
                <w:sz w:val="20"/>
                <w:szCs w:val="20"/>
                <w:color w:val="auto"/>
              </w:rPr>
            </w:pPr>
            <w:r>
              <w:rPr>
                <w:rFonts w:ascii="Arial" w:cs="Arial" w:eastAsia="Arial" w:hAnsi="Arial"/>
                <w:sz w:val="16"/>
                <w:szCs w:val="16"/>
                <w:color w:val="auto"/>
              </w:rPr>
              <w:t>27</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bl>
    <w:p>
      <w:pPr>
        <w:sectPr>
          <w:pgSz w:w="11900" w:h="16838" w:orient="portrait"/>
          <w:cols w:equalWidth="0" w:num="1">
            <w:col w:w="11020"/>
          </w:cols>
          <w:pgMar w:left="440" w:top="265" w:right="4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0" w:lineRule="exact"/>
        <w:rPr>
          <w:sz w:val="20"/>
          <w:szCs w:val="20"/>
          <w:color w:val="auto"/>
        </w:rPr>
      </w:pPr>
    </w:p>
    <w:p>
      <w:pPr>
        <w:ind w:right="140"/>
        <w:spacing w:after="0"/>
        <w:rPr>
          <w:sz w:val="20"/>
          <w:szCs w:val="20"/>
          <w:color w:val="auto"/>
        </w:rPr>
      </w:pPr>
      <w:r>
        <w:rPr>
          <w:rFonts w:ascii="Arial" w:cs="Arial" w:eastAsia="Arial" w:hAnsi="Arial"/>
          <w:sz w:val="17"/>
          <w:szCs w:val="17"/>
          <w:i w:val="1"/>
          <w:iCs w:val="1"/>
          <w:color w:val="auto"/>
        </w:rPr>
        <w:t>An investment in our securities involves a high degree of risk. You should consider carefully all of the risks described below, together with the other information contained in this prospectus, before making a decision to invest in our Class A ordinary shares.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3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b w:val="1"/>
          <w:bCs w:val="1"/>
          <w:color w:val="auto"/>
        </w:rPr>
        <w:t>We are a recently incorporated company with no operating history and no revenues, and you have no basis on which to evaluate our ability to achieve our business objective.</w:t>
      </w:r>
    </w:p>
    <w:p>
      <w:pPr>
        <w:spacing w:after="0" w:line="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a recently incorporated company established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33" w:lineRule="exact"/>
        <w:rPr>
          <w:sz w:val="20"/>
          <w:szCs w:val="20"/>
          <w:color w:val="auto"/>
        </w:rPr>
      </w:pPr>
    </w:p>
    <w:p>
      <w:pPr>
        <w:ind w:right="700"/>
        <w:spacing w:after="0" w:line="267" w:lineRule="auto"/>
        <w:rPr>
          <w:sz w:val="20"/>
          <w:szCs w:val="20"/>
          <w:color w:val="auto"/>
        </w:rPr>
      </w:pPr>
      <w:r>
        <w:rPr>
          <w:rFonts w:ascii="Arial" w:cs="Arial" w:eastAsia="Arial" w:hAnsi="Arial"/>
          <w:sz w:val="17"/>
          <w:szCs w:val="17"/>
          <w:b w:val="1"/>
          <w:bCs w:val="1"/>
          <w:color w:val="auto"/>
        </w:rPr>
        <w:t>Past performance by our management team or their affiliates, including Perceptive Advisors and ARYA Sciences Acquisition Corp., may not be indicative of future performance of an investment in us.</w:t>
      </w:r>
    </w:p>
    <w:p>
      <w:pPr>
        <w:spacing w:after="0" w:line="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Information regarding performance by, or businesses associated with, our management team or their affiliates, including Perceptive Advisors and ARYA Sciences Acquisition Corp., is presented for informational purposes only. Any past experience of and performance by our management team or their affiliates, including Perceptive Advisors and ARYA Sciences Acquisition Corp., is not a guarantee either: (1) that we will be able to successfully identify a suitable candidate for our initial business combination; or (2) of any results with respect to any initial business combination we may consummate. You should not rely on the historical record of our management team, Perceptive Advisors or any of their affiliates’ or managed fund’s performance as indicative of the future performance of an investment in us or the returns we will, or are likely to, generate going forward. An investment in us is not an investment in Perceptive Advisors.</w:t>
      </w:r>
    </w:p>
    <w:p>
      <w:pPr>
        <w:spacing w:after="0" w:line="35"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b w:val="1"/>
          <w:bCs w:val="1"/>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1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may not hold a shareholder vote to approve our initial business combination unless the business combination would require shareholder approval under applicable Cayman Islands law or stock exchange listing requirements or if we decide to hold a shareholder vote for business or other reasons. For instance, the Nasdaq rules currently allow us to engage in a tender offer in lieu of a shareholder meeting but would still require us to obtain shareholder approval if we were seeking to issue more than 20% of our issued and outstanding shares (excluding the private placement shares) to a target business as consideration in any business combination. Therefore, if we were structuring a business combination that required us to issue more than 20% of our issued and outstanding ordinary shares (excluding the private placement shares), we would seek shareholder approval of such business combination. However, except as required by applicable law or stock exchange rule,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consummate our initial business combination even if holders of a majority of the outstanding ordinary shares do not approve of the business combination we consummate. Please see the section entitled “Proposed Business — Shareholders May Not Have the Ability to Approve Our Initial Business Combination” for additional information.</w:t>
      </w:r>
    </w:p>
    <w:p>
      <w:pPr>
        <w:spacing w:after="0" w:line="36"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b w:val="1"/>
          <w:bCs w:val="1"/>
          <w:color w:val="auto"/>
        </w:rPr>
        <w:t>Your only opportunity to affect the investment decision regarding a potential business combination may be limited to the exercise of your right to redeem your shares from us for cash.</w:t>
      </w:r>
    </w:p>
    <w:p>
      <w:pPr>
        <w:spacing w:after="0" w:line="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At the time of your investment in us, you will not be provided with an opportunity to evaluate the specific merits or risks of any target businesses. Since our board of directors may complete a business combination without seeking shareholder approval, public shareholders may not have the right or opportunity to vote on the business combination, unless we seek such shareholder approval.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ind w:right="380"/>
        <w:spacing w:after="0" w:line="249" w:lineRule="auto"/>
        <w:rPr>
          <w:sz w:val="20"/>
          <w:szCs w:val="20"/>
          <w:color w:val="auto"/>
        </w:rPr>
      </w:pPr>
      <w:r>
        <w:rPr>
          <w:rFonts w:ascii="Arial" w:cs="Arial" w:eastAsia="Arial" w:hAnsi="Arial"/>
          <w:sz w:val="17"/>
          <w:szCs w:val="17"/>
          <w:b w:val="1"/>
          <w:bCs w:val="1"/>
          <w:color w:val="auto"/>
        </w:rPr>
        <w:t>If we seek shareholder approval of our initial business combination, our sponsor and members of our management team have agreed to vote in favor of such initial business combination, regardless of how our public shareholders vote.</w:t>
      </w:r>
    </w:p>
    <w:p>
      <w:pPr>
        <w:spacing w:after="0" w:line="19"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Our sponsor will own, on an as-converted basis, 20% of our outstanding ordinary shares (excluding the private placement shares) immediately following the completion of this offering. Our sponsor and members of our management team also may from time to time purchase Class A ordinary shares prior to the completion of our initial business combination. Our amended and restated memorandum and articles of association will provide that, if we seek shareholder approval, we will complete our initial business combination only if a majority of the ordinary shares, represented in person or by proxy and entitled to vote thereon, voted at a shareholder meeting are voted in favor of the business combination. As a result, in addition to our initial shareholders’ founder shares and private placement shares, we would need 4,645,001, or 35.73%, of the 13,000,000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over-allotment option is not exercised). Accordingly, if we seek shareholder approval of our initial business combination, the agreement by our sponsor and our management team to vote in favor of our initial business combination will increase the likelihood that we will receive the requisite shareholder approval for such initial business combination.</w:t>
      </w:r>
    </w:p>
    <w:p>
      <w:pPr>
        <w:spacing w:after="0" w:line="37" w:lineRule="exact"/>
        <w:rPr>
          <w:sz w:val="20"/>
          <w:szCs w:val="20"/>
          <w:color w:val="auto"/>
        </w:rPr>
      </w:pPr>
    </w:p>
    <w:p>
      <w:pPr>
        <w:jc w:val="both"/>
        <w:ind w:right="680"/>
        <w:spacing w:after="0" w:line="249" w:lineRule="auto"/>
        <w:rPr>
          <w:sz w:val="20"/>
          <w:szCs w:val="20"/>
          <w:color w:val="auto"/>
        </w:rPr>
      </w:pPr>
      <w:r>
        <w:rPr>
          <w:rFonts w:ascii="Arial" w:cs="Arial" w:eastAsia="Arial" w:hAnsi="Arial"/>
          <w:sz w:val="17"/>
          <w:szCs w:val="17"/>
          <w:b w:val="1"/>
          <w:b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(so that we do not then become subject to the SEC’s “penny stock” rules).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40" w:lineRule="exact"/>
        <w:rPr>
          <w:sz w:val="20"/>
          <w:szCs w:val="20"/>
          <w:color w:val="auto"/>
        </w:rPr>
      </w:pPr>
    </w:p>
    <w:p>
      <w:pPr>
        <w:ind w:right="520"/>
        <w:spacing w:after="0" w:line="249" w:lineRule="auto"/>
        <w:rPr>
          <w:sz w:val="20"/>
          <w:szCs w:val="20"/>
          <w:color w:val="auto"/>
        </w:rPr>
      </w:pPr>
      <w:r>
        <w:rPr>
          <w:rFonts w:ascii="Arial" w:cs="Arial" w:eastAsia="Arial" w:hAnsi="Arial"/>
          <w:sz w:val="17"/>
          <w:szCs w:val="17"/>
          <w:b w:val="1"/>
          <w:b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19"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a large number of shares are submitted for redemption, we may need to restructure the transaction to reserve a greater portion of the cash in the trust account or arrange for additional third party financing. Raising additional third party financing may involve dilutive equity issuances or the incurrence of indebtedness at higher than desirable levels. The above considerations may limit our ability to complete the most desirable business combination available to us or optimize our capital structure. The amount of the deferred underwriting commissions payable to the underwriters will not be adjusted for any shares that are redeemed in connection with an initial business combination. The per-share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w:t>
      </w:r>
    </w:p>
    <w:p>
      <w:pPr>
        <w:spacing w:after="0" w:line="38"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b w:val="1"/>
          <w:b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funds in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b w:val="1"/>
          <w:bCs w:val="1"/>
          <w:color w:val="auto"/>
        </w:rPr>
        <w:t>The requirement that we consummate an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24"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Any potential target business with which we enter into negotiations concerning a business combination will be aware that we must consummate an initial business combination within 24 months from the closing of this offering. Consequently, such target business may obtain leverage over us in negotiating a business combination, knowing that if we do not complete our initial business combination within the required time period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35" w:lineRule="exact"/>
        <w:rPr>
          <w:sz w:val="20"/>
          <w:szCs w:val="20"/>
          <w:color w:val="auto"/>
        </w:rPr>
      </w:pPr>
    </w:p>
    <w:p>
      <w:pPr>
        <w:ind w:right="340"/>
        <w:spacing w:after="0" w:line="249" w:lineRule="auto"/>
        <w:rPr>
          <w:sz w:val="20"/>
          <w:szCs w:val="20"/>
          <w:color w:val="auto"/>
        </w:rPr>
      </w:pPr>
      <w:r>
        <w:rPr>
          <w:rFonts w:ascii="Arial" w:cs="Arial" w:eastAsia="Arial" w:hAnsi="Arial"/>
          <w:sz w:val="17"/>
          <w:szCs w:val="17"/>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In December 2019, a novel strain of coronavirus was reported to have surfaced in Wuhan, China, which has and is continuing to spread throughout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62"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color w:val="auto"/>
        </w:rPr>
        <w:t>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14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Finally, the outbreak of COVID-19 may also have the effect of heightening many of the other risks described in this “Risk Factors” section, such as those related to the market for our securities and cross-border transactions.</w:t>
      </w:r>
    </w:p>
    <w:p>
      <w:pPr>
        <w:spacing w:after="0" w:line="43"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b w:val="1"/>
          <w:bCs w:val="1"/>
          <w:color w:val="auto"/>
        </w:rPr>
        <w:t>We may not be able to consummate an initial business combination within 24 months after the closing of this offering, in which case we would cease all operations except for the purpose of winding up and we would redeem our public shares and liquidate.</w:t>
      </w:r>
    </w:p>
    <w:p>
      <w:pPr>
        <w:spacing w:after="0" w:line="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may not be able to find a suitable target business and consummate an initial business combination within 24 months after the closing of this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COVID-19 outbreak may negatively impact businesses we may seek to acquire.</w:t>
      </w:r>
    </w:p>
    <w:p>
      <w:pPr>
        <w:spacing w:after="0" w:line="16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If we have not consummated an initial business combination within such applicable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 In either such case, our public shareholders may receive only $10.00 per public share, or less than $10.00 per public share, on the redemption of their shares. See “— If third parties bring claims against us, the proceeds held in the trust account could be reduced and the per-share redemption amount received by shareholders may be less than $10.00 per public share” and other risk factors herein.</w:t>
      </w:r>
    </w:p>
    <w:p>
      <w:pPr>
        <w:spacing w:after="0" w:line="51"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b w:val="1"/>
          <w:bCs w:val="1"/>
          <w:color w:val="auto"/>
        </w:rPr>
        <w:t>If we seek shareholder approval of our initial business combination, our sponsor, directors, executive officers, advisors and their affiliates may elect to purchase public shares, which may influence a vote on a proposed business combination and reduce the public “float” of our Class A ordinary shares.</w:t>
      </w:r>
    </w:p>
    <w:p>
      <w:pPr>
        <w:spacing w:after="0" w:line="6"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in privately negotiated transactions or in the open market either prior to or following the completion of our initial business combination, although they are under no obligation to do so. However, other than as expressly stated herein, they have no current commitments, plans or intentions to engage in such transactions and have not formulated any terms or conditions for any such transactions. None of the funds in the trust account will be used to purchase public shares in such transactions.</w:t>
      </w:r>
    </w:p>
    <w:p>
      <w:pPr>
        <w:spacing w:after="0" w:line="16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the event that our sponsor, directors, executive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transaction could be to (1) vote in favor of the business combination and thereby increase the likelihood of obtaining shareholder approval of the business combination or (2)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 In addition, if such purchases are made, the public “float” of our Class A ordinary shares may be reduced and the number of beneficial holders of our securities may be reduced, which may make it difficult to maintain or obtain the quotation, listing or trading of our securities on a national securities exchange. Any such purchases will be reported pursuant to Section 13 and Section 16 of the Exchange Act to the extent such purchasers are subject to such reporting requirements. See “Proposed Business — Permitted Purchases and Other Transactions with Respect to Our Securities” for a description of how our sponsor, directors, executive officers, advisors or their affiliates will select which shareholders to purchase securities from in any private transaction.</w:t>
      </w:r>
    </w:p>
    <w:p>
      <w:pPr>
        <w:spacing w:after="0" w:line="36"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b w:val="1"/>
          <w:b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1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will comply with the proxy rules or tender offer rules, as applicable, when conducting redemptions in connection with our initial business combination. Despite our compliance with these rules, if a shareholder fails to receive our proxy solicitation or tender offer materials, as applicable, such shareholder may not become aware of the opportunity to redeem its shares. In addition, the proxy solicitation or tender offer materials, as applicable, that we will furnish to holders of our public shares in connection with our initial business combination will describe the various procedures that must be complied with in order to validly redeem or tender public shares. In the event that a shareholder fails to comply with these procedures, its shares may not be redeemed. See “Proposed Business — Effecting Our Initial Business Combination — Tendering Share Certificates in Connection with a Tender Offer or Redemption Rights.”</w:t>
      </w:r>
    </w:p>
    <w:p>
      <w:pPr>
        <w:spacing w:after="0" w:line="35" w:lineRule="exact"/>
        <w:rPr>
          <w:sz w:val="20"/>
          <w:szCs w:val="20"/>
          <w:color w:val="auto"/>
        </w:rPr>
      </w:pPr>
    </w:p>
    <w:p>
      <w:pPr>
        <w:jc w:val="both"/>
        <w:ind w:right="860"/>
        <w:spacing w:after="0" w:line="249" w:lineRule="auto"/>
        <w:rPr>
          <w:sz w:val="20"/>
          <w:szCs w:val="20"/>
          <w:color w:val="auto"/>
        </w:rPr>
      </w:pPr>
      <w:r>
        <w:rPr>
          <w:rFonts w:ascii="Arial" w:cs="Arial" w:eastAsia="Arial" w:hAnsi="Arial"/>
          <w:sz w:val="17"/>
          <w:szCs w:val="17"/>
          <w:b w:val="1"/>
          <w:bCs w:val="1"/>
          <w:color w:val="auto"/>
        </w:rPr>
        <w:t>You will not have any rights or interests in funds from the trust account, except under certain limited circumstances. Therefore, to liquidate your investment, you may be forced to sell your public shares, potentially at a loss.</w:t>
      </w:r>
    </w:p>
    <w:p>
      <w:pPr>
        <w:spacing w:after="0" w:line="1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Our public shareholders will be entitled to receive funds from the trust account only upon the earlier to occur of: (i) our completion of an initial business combination, and then only in connection with those Class A ordinary shares that such</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shareholder properly elected to redeem, subject to the limitations described herein,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and</w:t>
      </w:r>
    </w:p>
    <w:p>
      <w:pPr>
        <w:ind w:firstLine="8"/>
        <w:spacing w:after="0" w:line="234" w:lineRule="auto"/>
        <w:tabs>
          <w:tab w:leader="none" w:pos="27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redemption of our public shares if we have not consummated an initial business within 24 months from the closing of this offering, subject to applicable law and as further described herein.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have not consummated an initial business combination within 24 months from the closing of this offering, with respect to such Class A ordinary shares so redeemed. In no other circumstances will a shareholder have any right or interest of any kind to or in the trust account. Accordingly, to liquidate your investment, you may be forced to sell your public shares, potentially at a loss.</w:t>
      </w:r>
    </w:p>
    <w:p>
      <w:pPr>
        <w:spacing w:after="0" w:line="48" w:lineRule="exact"/>
        <w:rPr>
          <w:sz w:val="20"/>
          <w:szCs w:val="20"/>
          <w:color w:val="auto"/>
        </w:rPr>
      </w:pPr>
    </w:p>
    <w:p>
      <w:pPr>
        <w:ind w:right="420"/>
        <w:spacing w:after="0" w:line="260" w:lineRule="auto"/>
        <w:rPr>
          <w:sz w:val="20"/>
          <w:szCs w:val="20"/>
          <w:color w:val="auto"/>
        </w:rPr>
      </w:pPr>
      <w:r>
        <w:rPr>
          <w:rFonts w:ascii="Arial" w:cs="Arial" w:eastAsia="Arial" w:hAnsi="Arial"/>
          <w:sz w:val="17"/>
          <w:szCs w:val="17"/>
          <w:b w:val="1"/>
          <w:bCs w:val="1"/>
          <w:color w:val="auto"/>
        </w:rPr>
        <w:t>Nasdaq may delist our securities from trading on its exchange, which could limit investors’ ability to make transactions in our securities and subject us to additional trading restrictions.</w:t>
      </w:r>
    </w:p>
    <w:p>
      <w:pPr>
        <w:spacing w:after="0" w:line="1"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We have been approved to list our Class A ordinary shares on Nasdaq. Although after giving effect to this offering we expect to meet, on a pro forma basis, the minimum initial listing standards set forth in Nasdaq’s listing standards, our securities may not be, or may not continue to be, listed on Nasdaq in the future or prior to the completion of our initial business combination. In order to continue listing our securities on Nasdaq prior to the completion of our initial business combination, we must maintain certain financial, distribution and share price levels. Generally, we must maintain a minimum amount in shareholders’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the share price of our securities would generally be required to be at least $4.00 per share and our shareholders’ equity would generally be required to be at least $5,000,000 and we would be required to have a minimum of 300 round-lot holders (with at least 50% of such round lot holders holding securities with a market value of at least $2,500). We may not be able to meet those initial listing requirements at that time.</w:t>
      </w:r>
    </w:p>
    <w:p>
      <w:pPr>
        <w:spacing w:after="0" w:line="165"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 limited availability of market quotations for our securities;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reduced liquidity for our securities;</w:t>
      </w:r>
    </w:p>
    <w:p>
      <w:pPr>
        <w:spacing w:after="0" w:line="102" w:lineRule="exact"/>
        <w:rPr>
          <w:sz w:val="20"/>
          <w:szCs w:val="20"/>
          <w:color w:val="auto"/>
        </w:rPr>
      </w:pPr>
    </w:p>
    <w:p>
      <w:pPr>
        <w:ind w:left="580" w:right="300"/>
        <w:spacing w:after="0" w:line="238" w:lineRule="auto"/>
        <w:rPr>
          <w:sz w:val="20"/>
          <w:szCs w:val="20"/>
          <w:color w:val="auto"/>
        </w:rPr>
      </w:pPr>
      <w:r>
        <w:rPr>
          <w:rFonts w:ascii="Arial" w:cs="Arial" w:eastAsia="Arial" w:hAnsi="Arial"/>
          <w:sz w:val="17"/>
          <w:szCs w:val="17"/>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 limited amount of news and analyst coverage; and</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 decreased ability to issue additional securities or obtain additional financing in the future.</w:t>
      </w:r>
    </w:p>
    <w:p>
      <w:pPr>
        <w:spacing w:after="0" w:line="16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Class A ordinary shares will be listed on Nasdaq, our Class A ordinary shares will qualify as covered securities under the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threaten to use these powers, to hinder the sale of securities of blank check companies in their states. Further, if we were no longer listed on Nasdaq, our shares would not qualify as covered securities under the statute and we would be subject to regulation in each state in which we offer our shares.</w:t>
      </w:r>
    </w:p>
    <w:p>
      <w:pPr>
        <w:spacing w:after="0" w:line="46"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b w:val="1"/>
          <w:bCs w:val="1"/>
          <w:color w:val="auto"/>
        </w:rPr>
        <w:t>Since only holders of our founder shares will have the right to vote on the election of directors prior to our initial business combination, Nasdaq may consider us to be a “controlled company” within the meaning of Nasdaq’s rules and, as a result, we may qualify for exemptions from certain corporate governance requirements that would otherwise provide protection to shareholders of other companies.</w:t>
      </w:r>
    </w:p>
    <w:p>
      <w:pPr>
        <w:spacing w:after="0" w:line="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After completion of this offering, only holders of our founder shares will have the right to vote on the election of directors. As a result, Nasdaq may consider us to be a “controlled company” within the meaning of Nasdaq’s corporate governance standards. Under Nasdaq corporate governance standards, a company of which more than 50% of the voting power for the election of directors is held by an individual, a group or another company is a “controlled company” and may elect not to comply with certain corporate governance requirements, including the requirements that:</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have a board that includes a majority of “independent directors,” as defined under Nasdaq rules;</w:t>
      </w:r>
    </w:p>
    <w:p>
      <w:pPr>
        <w:spacing w:after="0" w:line="102" w:lineRule="exact"/>
        <w:rPr>
          <w:sz w:val="20"/>
          <w:szCs w:val="20"/>
          <w:color w:val="auto"/>
        </w:rPr>
      </w:pPr>
    </w:p>
    <w:p>
      <w:pPr>
        <w:ind w:left="580" w:right="480"/>
        <w:spacing w:after="0" w:line="243" w:lineRule="auto"/>
        <w:rPr>
          <w:sz w:val="20"/>
          <w:szCs w:val="20"/>
          <w:color w:val="auto"/>
        </w:rPr>
      </w:pPr>
      <w:r>
        <w:rPr>
          <w:rFonts w:ascii="Arial" w:cs="Arial" w:eastAsia="Arial" w:hAnsi="Arial"/>
          <w:sz w:val="17"/>
          <w:szCs w:val="17"/>
          <w:color w:val="auto"/>
        </w:rPr>
        <w:t>we have a compensation committee of our board that is comprised entirely of independent directors with a written charter addressing the committee’s purpose and responsibilities; and</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have independent director oversight of our director nominations.</w:t>
      </w:r>
    </w:p>
    <w:p>
      <w:pPr>
        <w:spacing w:after="0" w:line="169" w:lineRule="exact"/>
        <w:rPr>
          <w:sz w:val="20"/>
          <w:szCs w:val="20"/>
          <w:color w:val="auto"/>
        </w:rPr>
      </w:pPr>
    </w:p>
    <w:p>
      <w:pPr>
        <w:ind w:right="440"/>
        <w:spacing w:after="0" w:line="236" w:lineRule="auto"/>
        <w:rPr>
          <w:sz w:val="20"/>
          <w:szCs w:val="20"/>
          <w:color w:val="auto"/>
        </w:rPr>
      </w:pPr>
      <w:r>
        <w:rPr>
          <w:rFonts w:ascii="Arial" w:cs="Arial" w:eastAsia="Arial" w:hAnsi="Arial"/>
          <w:sz w:val="17"/>
          <w:szCs w:val="17"/>
          <w:color w:val="auto"/>
        </w:rPr>
        <w:t>We do not intend to utilize these exemptions and intend to comply with the corporate governance requirements of Nasdaq, subject to applicable phase-in rules. However, if we determine in the future to utilize some or all of these exemptions, you will not have the same protections afforded to shareholders of companies that are subject to all of Nasdaq’s corporate governance requirements.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 will not be entitled to protections normally afforded to investors of many other blank check companies.</w:t>
      </w:r>
    </w:p>
    <w:p>
      <w:pPr>
        <w:spacing w:after="0" w:line="4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Since the net proceeds of this offering and the sale of the private placement shares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shares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shares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5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b w:val="1"/>
          <w:b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which we refer to as the “Excess Shares,” without our prior consent.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b w:val="1"/>
          <w:bCs w:val="1"/>
          <w:color w:val="auto"/>
        </w:rPr>
        <w:t>Because of our limited resources and the significant competition for business combination opportunities, it may be more difficult for us to complete our initial business combination. If we do not complete our initial business combination within the required time period, our public shareholders may receive only approximately $10.00 per public share, or less in certain circumstances, on the liquidation of our trust account.</w:t>
      </w:r>
    </w:p>
    <w:p>
      <w:pPr>
        <w:spacing w:after="0" w:line="2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shares,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have not consummated our initial business combination within the required time period, our public shareholders may receive only approximately $10.00 per public share, or less in certain circumstances, on the liquidation of our trust account. See “— If third parties bring claims against us, the proceeds held in the trust account could be reduced and the per-share redemption amount received by shareholders may be less than $10.00 per public share” and other risk factors herein.</w:t>
      </w:r>
    </w:p>
    <w:p>
      <w:pPr>
        <w:spacing w:after="0" w:line="33"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b w:val="1"/>
          <w:bCs w:val="1"/>
          <w:color w:val="auto"/>
        </w:rPr>
        <w:t>If the net proceeds of this offering and the sale of the private placement shares not being held in the trust account are insufficient to allow us to operate for the 24 months following the closing of this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24"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Of the net proceeds of this offering and the sale of the private placement shares, only $1,000,000 will be available to us initially outside the trust account to fund our working capital requirements. We believe that, upon the closing of this offering, the funds available to us outside of the trust account, together with funds available from loans from our sponsor, members of our management team or any of their affiliates will be sufficient to allow us to operate for at least the 24 months following the closing of this offering; however, our estimate may not be accurate, and our sponsor, members of our management team or any of their affiliates are under no obligation to advance funds to us in such circumstances. Of the funds available to us, we expect to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65"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In the event that our offering expenses exceed our estimate of $1,000,000, we may fund such excess with funds not to be held in the trust account. In such case, unless funded by the proceeds of loans available from our sponsor, members of our management team or any of their affiliates,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members of our management team or any of their affiliates or other third parties to operate or may be forced to liquidate. Neither our sponsor, members of our management team nor any of their affiliates is under any obligation to advance funds to us in such circumstances. Any such advances may be repaid only from funds held outside the trust account or from funds released to us upon completion of our initial business combination. Up to $1,500,000 of such loans may be convertible into shares of the post-business combination entity at a price of $10.00 per share at the option of the lender. The shares would be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identical to the private placement shares. Prior to the completion of our initial business combination, we do not expect to seek loans from parties other than our sponsor, members of our management team or any of their affiliates as we do not believe third parties will be willing to loan such funds and provide a waiver against any and all rights to seek access to funds in our trust account. If we do not complete our initial business combination within the required time period because we do not have sufficient funds available to us, we will be forced to cease operations and liquidate the trust account. Consequently, our public shareholders may only receive an estimated $10.00 per public share, or possibly less, on our redemption of our public shares. See “— If third parties bring claims against us, the proceeds held in the trust account could be reduced and the per-share redemption amount received by shareholders may be less than $10.00 per public share” and other risk factors herein.</w:t>
      </w:r>
    </w:p>
    <w:p>
      <w:pPr>
        <w:spacing w:after="0" w:line="47" w:lineRule="exact"/>
        <w:rPr>
          <w:sz w:val="20"/>
          <w:szCs w:val="20"/>
          <w:color w:val="auto"/>
        </w:rPr>
      </w:pPr>
    </w:p>
    <w:p>
      <w:pPr>
        <w:jc w:val="both"/>
        <w:ind w:right="180"/>
        <w:spacing w:after="0" w:line="244" w:lineRule="auto"/>
        <w:rPr>
          <w:sz w:val="20"/>
          <w:szCs w:val="20"/>
          <w:color w:val="auto"/>
        </w:rPr>
      </w:pPr>
      <w:r>
        <w:rPr>
          <w:rFonts w:ascii="Arial" w:cs="Arial" w:eastAsia="Arial" w:hAnsi="Arial"/>
          <w:sz w:val="17"/>
          <w:szCs w:val="17"/>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share price of our securities, which could cause you to lose some or all of your investment.</w:t>
      </w:r>
    </w:p>
    <w:p>
      <w:pPr>
        <w:spacing w:after="0" w:line="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Even if we conduct due diligence on a target business with which we combine, this diligence may not surface all material issues with a particular target business. In addition, factors outside of the target business and outside of our control may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holders who choose to retain their securities following the business combination could suffer a reduction in the value of their securities. Such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49" w:lineRule="exact"/>
        <w:rPr>
          <w:sz w:val="20"/>
          <w:szCs w:val="20"/>
          <w:color w:val="auto"/>
        </w:rPr>
      </w:pPr>
    </w:p>
    <w:p>
      <w:pPr>
        <w:ind w:right="300"/>
        <w:spacing w:after="0" w:line="260" w:lineRule="auto"/>
        <w:rPr>
          <w:sz w:val="20"/>
          <w:szCs w:val="20"/>
          <w:color w:val="auto"/>
        </w:rPr>
      </w:pPr>
      <w:r>
        <w:rPr>
          <w:rFonts w:ascii="Arial" w:cs="Arial" w:eastAsia="Arial" w:hAnsi="Arial"/>
          <w:sz w:val="17"/>
          <w:szCs w:val="17"/>
          <w:b w:val="1"/>
          <w:bCs w:val="1"/>
          <w:color w:val="auto"/>
        </w:rPr>
        <w:t>If third parties bring claims against us, the proceeds held in the trust account could be reduced and the per-share redemption amount received by shareholders may be less than $10.00 per public share.</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Our placing of funds in the trust account may not protect those funds from third party claims against us. Although we will seek to have all vendors, service providers (excluding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w:t>
      </w:r>
    </w:p>
    <w:p>
      <w:pPr>
        <w:spacing w:after="0" w:line="166"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consummated an initial business combination within 24 months from the closing of this offering,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a letter</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 xml:space="preserve">agreement, our sponsor has agreed that it will be liable to us if and to the extent any claims by a third party (excluding our independent registered public accounting firm) for services rendered or products sold to us, or a prospective target business with which we have discussed entering into a transaction agreement, reduce the amounts in the trust account to below the lesser of (i) $10.00 per public share and (ii) the actual amount per share held in the trust account as of the date of the liquidation of the trust account if less than $10.00 per public share due to reductions in the value of the trust assets, in each case net of the interest that may be withdrawn to pay our tax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liability will not apply to any claims by a third party or prospective target business who executed a waiver of any and all rights to seek access to the trust account nor will it apply to any claims under our indemnity of the underwriters of this offering against certain liabilities, including liabilities under the Securities Act. Moreover, in the event that an executed waiver is deemed to be unenforceable against a third party, our sponsor will not be responsible to the extent of any liability for such third 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Our sponsor may not be able to satisfy those obligations. None of our officers or directors will indemnify us for claims by third parties including, without limitation, claims by vendors and prospective target businesses.</w:t>
      </w:r>
    </w:p>
    <w:p>
      <w:pPr>
        <w:spacing w:after="0" w:line="49"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and (ii) the actual amount per share held in the trust account as of the date of the liquidation of the trust account if less than $10.00 per public share due to reductions in the value of the trust assets, in each case net of the interest that may be withdrawn to pay our tax obligations,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shareholders may be reduced below $10.00 per public share.</w:t>
      </w:r>
    </w:p>
    <w:p>
      <w:pPr>
        <w:spacing w:after="0" w:line="53" w:lineRule="exact"/>
        <w:rPr>
          <w:sz w:val="20"/>
          <w:szCs w:val="20"/>
          <w:color w:val="auto"/>
        </w:rPr>
      </w:pPr>
    </w:p>
    <w:p>
      <w:pPr>
        <w:spacing w:after="0" w:line="249" w:lineRule="auto"/>
        <w:rPr>
          <w:sz w:val="20"/>
          <w:szCs w:val="20"/>
          <w:color w:val="auto"/>
        </w:rPr>
      </w:pPr>
      <w:r>
        <w:rPr>
          <w:rFonts w:ascii="Arial" w:cs="Arial" w:eastAsia="Arial" w:hAnsi="Arial"/>
          <w:sz w:val="17"/>
          <w:szCs w:val="17"/>
          <w:b w:val="1"/>
          <w:b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6"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net of income taxes paid or payable (less, in the case we are unable to complete our initial business combination, $100,000 of interest to pay dissolution expenses). Negative interest rates could reduce the value of the assets held in trust such that the per-share redemption amount received by public shareholders may be less than $10.00 per share.</w:t>
      </w:r>
    </w:p>
    <w:p>
      <w:pPr>
        <w:spacing w:after="0" w:line="5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b w:val="1"/>
          <w:bCs w:val="1"/>
          <w:color w:val="auto"/>
        </w:rPr>
        <w:t>If, after we distribute the proceeds in the trust account to our public shareholders,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46"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b w:val="1"/>
          <w:bCs w:val="1"/>
          <w:color w:val="auto"/>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 -share amount that would otherwise be received by our shareholders in connection with our liquidation may be reduced.</w:t>
      </w:r>
    </w:p>
    <w:p>
      <w:pPr>
        <w:spacing w:after="0" w:line="8"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47"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6"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If we are deemed to be an investment company under the Investment Company Act, our activities may be restricted, including:</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restrictions on the nature of our investments; and</w:t>
      </w:r>
    </w:p>
    <w:p>
      <w:pPr>
        <w:spacing w:after="0" w:line="61" w:lineRule="exact"/>
        <w:rPr>
          <w:sz w:val="20"/>
          <w:szCs w:val="20"/>
          <w:color w:val="auto"/>
        </w:rPr>
      </w:pPr>
    </w:p>
    <w:p>
      <w:pPr>
        <w:ind w:left="580" w:right="640"/>
        <w:spacing w:after="0" w:line="243" w:lineRule="auto"/>
        <w:rPr>
          <w:sz w:val="20"/>
          <w:szCs w:val="20"/>
          <w:color w:val="auto"/>
        </w:rPr>
      </w:pPr>
      <w:r>
        <w:rPr>
          <w:rFonts w:ascii="Arial" w:cs="Arial" w:eastAsia="Arial" w:hAnsi="Arial"/>
          <w:sz w:val="17"/>
          <w:szCs w:val="17"/>
          <w:color w:val="auto"/>
        </w:rPr>
        <w:t>restrictions on the issuance of securities, each of which may make it difficult for us to complete our initial business combination.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may have imposed upon us burdensome requirements, including:</w:t>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registration as an investment company with the SEC;</w:t>
      </w:r>
    </w:p>
    <w:p>
      <w:pPr>
        <w:spacing w:after="0" w:line="7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adoption of a specific form of corporate structure; and</w:t>
      </w:r>
    </w:p>
    <w:p>
      <w:pPr>
        <w:spacing w:after="0" w:line="61" w:lineRule="exact"/>
        <w:rPr>
          <w:sz w:val="20"/>
          <w:szCs w:val="20"/>
          <w:color w:val="auto"/>
        </w:rPr>
      </w:pPr>
    </w:p>
    <w:p>
      <w:pPr>
        <w:ind w:left="580" w:right="40"/>
        <w:spacing w:after="0" w:line="243" w:lineRule="auto"/>
        <w:rPr>
          <w:sz w:val="20"/>
          <w:szCs w:val="20"/>
          <w:color w:val="auto"/>
        </w:rPr>
      </w:pPr>
      <w:r>
        <w:rPr>
          <w:rFonts w:ascii="Arial" w:cs="Arial" w:eastAsia="Arial" w:hAnsi="Arial"/>
          <w:sz w:val="17"/>
          <w:szCs w:val="17"/>
          <w:color w:val="auto"/>
        </w:rPr>
        <w:t>reporting, record keeping, voting, proxy and disclosure requirements and other rules and regulations that we are currently not subject to.</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post-business combination business or assets for the long term. We do not plan to buy businesses or assets with a view to resale or profit from their resale. We do not plan to buy unrelated businesses or assets or to be a passive investor.</w:t>
      </w:r>
    </w:p>
    <w:p>
      <w:pPr>
        <w:spacing w:after="0" w:line="306"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firstLine="8"/>
        <w:spacing w:after="0" w:line="234" w:lineRule="auto"/>
        <w:tabs>
          <w:tab w:leader="none" w:pos="27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redemption of our public shares if we have not consummated an initial business within 24 months from the closing of this offering, subject to applicable law and as further described herein.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do not complete our initial business combination within the required time period, our public shareholders may receive only approximately $10.00 per public share, or less in certain circumstances, on the liquidation of our trust account.</w:t>
      </w:r>
    </w:p>
    <w:p>
      <w:pPr>
        <w:spacing w:after="0" w:line="50"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6"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50"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b w:val="1"/>
          <w:bCs w:val="1"/>
          <w:color w:val="auto"/>
        </w:rPr>
        <w:t>If we do not consummate an initial business combination within 24 months from the closing of this offering, our public shareholders may be forced to wait beyond such 24 months before redemption from our trust account.</w:t>
      </w:r>
    </w:p>
    <w:p>
      <w:pPr>
        <w:spacing w:after="0" w:line="6"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If we do not consummate an initial business combination within 24 months from the closing of this offering, the proceeds then on deposit in the trust account, including interest earned on the funds held in the trust account and not previously released to us to pay our income taxes, if any (less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 up, liquidate the trust account and distribute such amount therein, pro rata, to our public shareholders, as part of any liquidation process, such winding up, liquidation and distribution must comply with the applicable provisions of the Companies Law. In that case, investors may be forced to wait beyond 24 months from the closing of this offering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prior thereto, we consummate our initial business combination or amend certain provisions of our amended and restated memorandum and articles of association, and only then in cases where investors have sought to redeem their Class A ordinary shares. Only upon our redemption or any liquidation will public shareholders be entitled to distributions if we do not complete our initial business combination and do not amend certain provisions of our amended and restated memorandum and articles of association.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color w:val="auto"/>
        </w:rPr>
        <w:t>Our shareholders may be held liable for claims by third parties against us to the extent of distributions received by them upon redemption of their shares.</w:t>
      </w:r>
    </w:p>
    <w:p>
      <w:pPr>
        <w:spacing w:after="0" w:line="1"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Claims may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for a fine of $18,292.68 and imprisonment for five years in the Cayman Islands.</w:t>
      </w:r>
    </w:p>
    <w:p>
      <w:pPr>
        <w:spacing w:after="0" w:line="94" w:lineRule="exact"/>
        <w:rPr>
          <w:sz w:val="20"/>
          <w:szCs w:val="20"/>
          <w:color w:val="auto"/>
        </w:rPr>
      </w:pPr>
    </w:p>
    <w:p>
      <w:pPr>
        <w:ind w:right="620"/>
        <w:spacing w:after="0" w:line="267" w:lineRule="auto"/>
        <w:rPr>
          <w:sz w:val="20"/>
          <w:szCs w:val="20"/>
          <w:color w:val="auto"/>
        </w:rPr>
      </w:pPr>
      <w:r>
        <w:rPr>
          <w:rFonts w:ascii="Arial" w:cs="Arial" w:eastAsia="Arial" w:hAnsi="Arial"/>
          <w:sz w:val="17"/>
          <w:szCs w:val="17"/>
          <w:b w:val="1"/>
          <w:bCs w:val="1"/>
          <w:color w:val="auto"/>
        </w:rPr>
        <w:t>We may not hold an annual meeting of shareholders until after the consummation of our initial business combination.</w:t>
      </w:r>
    </w:p>
    <w:p>
      <w:pPr>
        <w:spacing w:after="0" w:line="4"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As an exempted company, there is no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requirement under the Companies Law for us to hold annual or shareholder meetings to elect directors. Until we hold an annual meeting of shareholders, public shareholders may not be afforded the opportunity to elect directors and to discuss company affairs with management. Our board of directors is divided into three classes with only one class of directors being elected in each year and each class (except for those directors appointed prior to our first annual meeting of shareholders) serving a three-year term.</w:t>
      </w:r>
    </w:p>
    <w:p>
      <w:pPr>
        <w:spacing w:after="0" w:line="49"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b w:val="1"/>
          <w:bCs w:val="1"/>
          <w:color w:val="auto"/>
        </w:rPr>
        <w:t>Holders of Class A ordinary shares will not be entitled to vote on any election of directors we hold prior to the completion of our initial business combination.</w:t>
      </w:r>
    </w:p>
    <w:p>
      <w:pPr>
        <w:spacing w:after="0" w:line="1"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Prior to the completion of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Accordingly, you may not have any say in the management of our company prior to the consummation of an initial business combination.</w:t>
      </w:r>
    </w:p>
    <w:p>
      <w:pPr>
        <w:spacing w:after="0" w:line="49" w:lineRule="exact"/>
        <w:rPr>
          <w:sz w:val="20"/>
          <w:szCs w:val="20"/>
          <w:color w:val="auto"/>
        </w:rPr>
      </w:pPr>
    </w:p>
    <w:p>
      <w:pPr>
        <w:jc w:val="both"/>
        <w:ind w:right="460"/>
        <w:spacing w:after="0" w:line="249" w:lineRule="auto"/>
        <w:rPr>
          <w:sz w:val="20"/>
          <w:szCs w:val="20"/>
          <w:color w:val="auto"/>
        </w:rPr>
      </w:pPr>
      <w:r>
        <w:rPr>
          <w:rFonts w:ascii="Arial" w:cs="Arial" w:eastAsia="Arial" w:hAnsi="Arial"/>
          <w:sz w:val="17"/>
          <w:szCs w:val="17"/>
          <w:b w:val="1"/>
          <w:bCs w:val="1"/>
          <w:color w:val="auto"/>
        </w:rPr>
        <w:t>The grant of registration rights to our initial shareholders may make it more difficult to complete our initial business combination, and the future exercise of such rights may adversely affect the market price of our Class A ordinary shares.</w:t>
      </w:r>
    </w:p>
    <w:p>
      <w:pPr>
        <w:spacing w:after="0" w:line="6"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Pursuant to an agreement to be entered into concurrently with the issuance and sale of the securities in this offering, our initial shareholders, and their permitted transferees can demand that we register the Class A ordinary shares into which founder shares are convertible and the private placement shares, including the private placement shares that may be issued upon conversion of working capital loans.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securities that is expected when the securities owned by our initial shareholders or their permitted transferees are registered for resale.</w:t>
      </w:r>
    </w:p>
    <w:p>
      <w:pPr>
        <w:spacing w:after="0" w:line="53" w:lineRule="exact"/>
        <w:rPr>
          <w:sz w:val="20"/>
          <w:szCs w:val="20"/>
          <w:color w:val="auto"/>
        </w:rPr>
      </w:pPr>
    </w:p>
    <w:p>
      <w:pPr>
        <w:jc w:val="both"/>
        <w:ind w:right="480"/>
        <w:spacing w:after="0" w:line="249" w:lineRule="auto"/>
        <w:rPr>
          <w:sz w:val="20"/>
          <w:szCs w:val="20"/>
          <w:color w:val="auto"/>
        </w:rPr>
      </w:pPr>
      <w:r>
        <w:rPr>
          <w:rFonts w:ascii="Arial" w:cs="Arial" w:eastAsia="Arial" w:hAnsi="Arial"/>
          <w:sz w:val="17"/>
          <w:szCs w:val="17"/>
          <w:b w:val="1"/>
          <w:b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6"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may pursue business combination opportunities in any sector, except that we will not, under our amended and restated memorandum and articles of association,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An investment in our Class A ordinary shares may not ultimately prove to be more favorable to investors than a direct investment, if such opportunity were available, in a business combination target. Accordingly, any holders who choose to retain their securities following our initial business combination could suffer a reduction in the value of their securities. Such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46"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b w:val="1"/>
          <w:bCs w:val="1"/>
          <w:color w:val="auto"/>
        </w:rPr>
        <w:t>Because we intend to seek a business combination with a target business in the healthcare industry, we expect our future operations to be subject to risks associated with this industry.</w:t>
      </w:r>
    </w:p>
    <w:p>
      <w:pPr>
        <w:spacing w:after="0" w:line="1"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Because we intend to seek a business combination with a target business in the healthcare industry, we expect our future operations to be subject to risks associated with this industry.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Healthcare related companies are generally subject to greater governmental regulation than most other industries at the U.S. state and federal levels, and internationally. In recent years, both local and national governmental budgets have come under pressure to reduce spending and control healthcare costs, which could both adversely affect regulatory processes and public funding available for healthcare products, services and facilities. In March 2010, comprehensive healthcare reform legislation was enacted in the United States. These laws are intended to increase health insurance coverage through individual and employer mandates, subsidies offered to lower income individuals, tax credits available to smaller employers and broadening of Medicaid eligibility.</w:t>
      </w:r>
    </w:p>
    <w:p>
      <w:pPr>
        <w:spacing w:after="0" w:line="16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While one intent of healthcare reform is to expand health insurance coverage to more individuals, it may also involve additional regulatory mandates and other measures designed to constrain medical costs, including coverage and reimbursement for healthcare services. Healthcare reform has had a significant impact on the healthcare sector in the United States and consequently has the ability to affect companies within the healthcare industry. The ultimate effects of federal healthcare reform or any future legislation or regulation, or healthcare initiatives, if any, on the healthcare sector, whether implemented at the federal or state level or internationally, cannot be predicted with certainty and such reform, legislation, regulation or initiatives may adversely affect the performance of a potential business combination.</w:t>
      </w:r>
    </w:p>
    <w:p>
      <w:pPr>
        <w:spacing w:after="0" w:line="164" w:lineRule="exact"/>
        <w:rPr>
          <w:sz w:val="20"/>
          <w:szCs w:val="20"/>
          <w:color w:val="auto"/>
        </w:rPr>
      </w:pPr>
    </w:p>
    <w:p>
      <w:pPr>
        <w:ind w:right="180"/>
        <w:spacing w:after="0" w:line="233" w:lineRule="auto"/>
        <w:rPr>
          <w:sz w:val="20"/>
          <w:szCs w:val="20"/>
          <w:color w:val="auto"/>
        </w:rPr>
      </w:pPr>
      <w:r>
        <w:rPr>
          <w:rFonts w:ascii="Arial" w:cs="Arial" w:eastAsia="Arial" w:hAnsi="Arial"/>
          <w:sz w:val="17"/>
          <w:szCs w:val="17"/>
          <w:color w:val="auto"/>
        </w:rPr>
        <w:t>Changes in governmental policies may have a material effect on the demand for or costs of certain products and services. A healthcare related company must receive government approval before introducing new drugs and medical devices or procedures. This process may delay the introduction of these products and services to the marketplace, resulting in increased development costs, delayed cost recovery and loss of competitive advantage to the extent that rival companies have developed competing products or procedures, adversely affecting the company’s revenues and profitability. Failure to obtain governmental approval of a key drug or device or other regulatory action could have a material adverse effect on the business of a target company. Additionally, expansion of facilities by healthcare related providers is subject to “determinations of need” by the appropriate government authorities. This process not only increases the time and cost involved in these expansions, but also makes expansion plans uncertain, limiting the revenue and profitability growth potential of healthcare related facilities operators.</w:t>
      </w:r>
    </w:p>
    <w:p>
      <w:pPr>
        <w:spacing w:after="0" w:line="15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Certain healthcare related companies depend on the exclusive rights or patents for the products they develop and distribute. Patents have a limited duration and, upon expiration, other companies may market substantially similar “generic” products that are typically sold at a lower price than the patented product, causing the original developer of the product to lose market share and/or reduce the price charged for the product, resulting in lower profits for the original developer. As a result, the expiration of patents may adversely affect the profitability of these companies. The profitability of healthcare related companies may also be affected, among other factors, by restrictions on government reimbursement for medical expenses, rising or falling costs of medical products and services, pricing pressure, an increased emphasis on outpatient services, a limited product offering, industry innovation, changes in technologies and other market developments. Finally, because the products and services of healthcare related companies affect the health and well-being of many individuals, these companies are especially susceptible to product liability lawsuits.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healthcare industry spends heavily on research and development. Research findings (e.g., regarding side effects or comparative benefits of one or more particular treatments, services or products) and technological innovation (together with patent expirations) may make any particular treatment, service or product less attractive if previously unknown or underappreciated risks are revealed, or if a more effective, less costly or less risky solution is or becomes available. Any such development could have a material adverse effect on the companies that are target businesses for investment.</w:t>
      </w:r>
    </w:p>
    <w:p>
      <w:pPr>
        <w:spacing w:after="0" w:line="204" w:lineRule="exact"/>
        <w:rPr>
          <w:sz w:val="20"/>
          <w:szCs w:val="20"/>
          <w:color w:val="auto"/>
        </w:rPr>
      </w:pPr>
    </w:p>
    <w:p>
      <w:pPr>
        <w:ind w:right="680"/>
        <w:spacing w:after="0" w:line="267" w:lineRule="auto"/>
        <w:rPr>
          <w:sz w:val="20"/>
          <w:szCs w:val="20"/>
          <w:color w:val="auto"/>
        </w:rPr>
      </w:pPr>
      <w:r>
        <w:rPr>
          <w:rFonts w:ascii="Arial" w:cs="Arial" w:eastAsia="Arial" w:hAnsi="Arial"/>
          <w:sz w:val="17"/>
          <w:szCs w:val="17"/>
          <w:b w:val="1"/>
          <w:bCs w:val="1"/>
          <w:color w:val="auto"/>
        </w:rPr>
        <w:t>We may seek acquisition opportunities in industries or sectors which may or may not be outside of our management’s area of expertise.</w:t>
      </w:r>
    </w:p>
    <w:p>
      <w:pPr>
        <w:spacing w:after="0" w:line="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will consider a business combination outside of our management’s area of expertise if a business combination target is presented to us and we determine that such candidate offers an attractive acquisition opportunity for our company. Although our management will endeavor to evaluate the risks inherent in any particular business combination target, we may not adequately ascertain or assess all of the significant risk factors. We also cannot assure you that an investment in our Class A ordinary shares will not ultimately prove to be less favorable to investors in this offering than a direct investment, if an opportunity were available, in a business combination target. In the event we elect to pursue an acquisition outside of the areas of our management’s expertise, our management’s expertise may not be directly applicable to its evaluation or operation, and the information contained in this prospectus regarding the areas of our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management’s expertise would not be relevant to an understanding of the business that we elect to acquire. As a result, our management may not be able to adequately ascertain or assess all of the significant risk factors. Accordingly, any holders who choose to retain their securities following our initial business combination could suffer a reduction in the value of their securities. Such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48"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b w:val="1"/>
          <w:bCs w:val="1"/>
          <w:color w:val="auto"/>
        </w:rPr>
        <w:t>Although we have identified general criteria that we believe are important in evaluating prospective target businesses, we may enter into our initial business combination with a target that does not meet such criteria, and as a result, the target business with which we enter into our initial business combination may not have attributes entirely consistent with our general criteria.</w:t>
      </w:r>
    </w:p>
    <w:p>
      <w:pPr>
        <w:spacing w:after="0" w:line="8" w:lineRule="exact"/>
        <w:rPr>
          <w:sz w:val="20"/>
          <w:szCs w:val="20"/>
          <w:color w:val="auto"/>
        </w:rPr>
      </w:pPr>
    </w:p>
    <w:p>
      <w:pPr>
        <w:ind w:right="240"/>
        <w:spacing w:after="0" w:line="232" w:lineRule="auto"/>
        <w:rPr>
          <w:sz w:val="20"/>
          <w:szCs w:val="20"/>
          <w:color w:val="auto"/>
        </w:rPr>
      </w:pPr>
      <w:r>
        <w:rPr>
          <w:rFonts w:ascii="Arial" w:cs="Arial" w:eastAsia="Arial" w:hAnsi="Arial"/>
          <w:sz w:val="17"/>
          <w:szCs w:val="17"/>
          <w:color w:val="auto"/>
        </w:rPr>
        <w:t>Although we have identified general criteria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such combination may not be as successful as a combination with a business that does meet all of our general criteria. In addition, if we announce a prospective business combination with a target that does not meet our general criteria, a greater number of shareholders may exercise their redemption rights, which may make it difficult for us to meet any closing condition with a target business that requires us to have a minimum net worth or a certain amount of cash.</w:t>
      </w:r>
    </w:p>
    <w:p>
      <w:pPr>
        <w:ind w:right="60"/>
        <w:spacing w:after="0" w:line="235" w:lineRule="auto"/>
        <w:rPr>
          <w:sz w:val="20"/>
          <w:szCs w:val="20"/>
          <w:color w:val="auto"/>
        </w:rPr>
      </w:pPr>
      <w:r>
        <w:rPr>
          <w:rFonts w:ascii="Arial" w:cs="Arial" w:eastAsia="Arial" w:hAnsi="Arial"/>
          <w:sz w:val="17"/>
          <w:szCs w:val="17"/>
          <w:color w:val="auto"/>
        </w:rPr>
        <w:t>In addition, if shareholder approval of the transaction is required by applicable law or stock exchange rule, or we decide to obtain shareholder approval for business or other reasons, it may be more difficult for us to attain shareholder approval of our initial business combination if the target business does not meet our general criteria. If we do not complete our initial business combination within the required time period, our public shareholders may receive only approximately $10.00 per public share, or less in certain circumstances, on the liquidation of our trust account.</w:t>
      </w:r>
    </w:p>
    <w:p>
      <w:pPr>
        <w:spacing w:after="0" w:line="49" w:lineRule="exact"/>
        <w:rPr>
          <w:sz w:val="20"/>
          <w:szCs w:val="20"/>
          <w:color w:val="auto"/>
        </w:rPr>
      </w:pPr>
    </w:p>
    <w:p>
      <w:pPr>
        <w:jc w:val="both"/>
        <w:ind w:right="380"/>
        <w:spacing w:after="0" w:line="249" w:lineRule="auto"/>
        <w:rPr>
          <w:sz w:val="20"/>
          <w:szCs w:val="20"/>
          <w:color w:val="auto"/>
        </w:rPr>
      </w:pPr>
      <w:r>
        <w:rPr>
          <w:rFonts w:ascii="Arial" w:cs="Arial" w:eastAsia="Arial" w:hAnsi="Arial"/>
          <w:sz w:val="17"/>
          <w:szCs w:val="17"/>
          <w:b w:val="1"/>
          <w:bCs w:val="1"/>
          <w:color w:val="auto"/>
        </w:rPr>
        <w:t>We are not required to obtain an opinion from an independent accounting or investment banking firm, and consequently, you may have no assurance from an independent source that the price we are paying for the business is fair to our shareholders from a financial point of view.</w:t>
      </w:r>
    </w:p>
    <w:p>
      <w:pPr>
        <w:spacing w:after="0" w:line="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Unless we complete our initial business combination with an affiliated entity, we are not required to obtain an opinion from an independent accounting firm or independent investment banking firm which is a member of FINRA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spacing w:after="0" w:line="47"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color w:val="auto"/>
        </w:rPr>
        <w:t>We may issue additional Class A ordinary shares or preference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in our amended and restated memorandum and articles of association. Any such issuances would dilute the interest of our shareholders and likely present other risks.</w:t>
      </w:r>
    </w:p>
    <w:p>
      <w:pPr>
        <w:spacing w:after="0" w:line="1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amended and restated memorandum and articles of association will authorize the issuance of up to 479,000,000 Class A ordinary shares, par value $0.0001 per share, 20,000,000 Class B ordinary shares, par value $0.0001 per share, and 1,000,000 preference shares, par value $0.0001 per share. Immediately after this offering, there will be 465,540,000 and 16,750,000 (assuming in each case that the underwriters have not exercised their over-allotment option) authorized but unissued Class A ordinary shares and Class B ordinary shares, respectively, available for issuance which amount does not take into account shares issuable upon conversion of the Class B ordinary shares, if any. The Class B ordinary shares are automatically convertible into Class A ordinary shares at the time of our initial business combination as described herein and in our amended and restated memorandum and articles of association. Immediately after this offering, there will be no preference shares issued and outstanding.</w:t>
      </w:r>
    </w:p>
    <w:p>
      <w:pPr>
        <w:spacing w:after="0" w:line="16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may issue a substantial number of additional Class A ordinary shares or preference shares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the completion of our initial business combination, we may not issue additional shares that would entitle the holders thereof</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to (i) receive funds from the trust account or (ii) vote on any initial business combination or on any other proposal presented to shareholders prior to or in connection with the completion of an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preference shares:</w:t>
      </w:r>
    </w:p>
    <w:p>
      <w:pPr>
        <w:spacing w:after="0" w:line="96" w:lineRule="exact"/>
        <w:rPr>
          <w:sz w:val="20"/>
          <w:szCs w:val="20"/>
          <w:color w:val="auto"/>
        </w:rPr>
      </w:pPr>
    </w:p>
    <w:p>
      <w:pPr>
        <w:ind w:left="580" w:right="260"/>
        <w:spacing w:after="0" w:line="238" w:lineRule="auto"/>
        <w:rPr>
          <w:sz w:val="20"/>
          <w:szCs w:val="20"/>
          <w:color w:val="auto"/>
        </w:rPr>
      </w:pPr>
      <w:r>
        <w:rPr>
          <w:rFonts w:ascii="Arial" w:cs="Arial" w:eastAsia="Arial" w:hAnsi="Arial"/>
          <w:sz w:val="17"/>
          <w:szCs w:val="17"/>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93" w:lineRule="exact"/>
        <w:rPr>
          <w:sz w:val="20"/>
          <w:szCs w:val="20"/>
          <w:color w:val="auto"/>
        </w:rPr>
      </w:pPr>
    </w:p>
    <w:p>
      <w:pPr>
        <w:ind w:left="580" w:right="420"/>
        <w:spacing w:after="0" w:line="243" w:lineRule="auto"/>
        <w:rPr>
          <w:sz w:val="20"/>
          <w:szCs w:val="20"/>
          <w:color w:val="auto"/>
        </w:rPr>
      </w:pPr>
      <w:r>
        <w:rPr>
          <w:rFonts w:ascii="Arial" w:cs="Arial" w:eastAsia="Arial" w:hAnsi="Arial"/>
          <w:sz w:val="17"/>
          <w:szCs w:val="17"/>
          <w:color w:val="auto"/>
        </w:rPr>
        <w:t>may subordinate the rights of holders of Class A ordinary shares if preference shares are issued with rights senior to those afforded our Class A ordinary shares;</w:t>
      </w:r>
    </w:p>
    <w:p>
      <w:pPr>
        <w:spacing w:after="0" w:line="90" w:lineRule="exact"/>
        <w:rPr>
          <w:sz w:val="20"/>
          <w:szCs w:val="20"/>
          <w:color w:val="auto"/>
        </w:rPr>
      </w:pPr>
    </w:p>
    <w:p>
      <w:pPr>
        <w:ind w:left="580" w:right="100"/>
        <w:spacing w:after="0" w:line="238" w:lineRule="auto"/>
        <w:rPr>
          <w:sz w:val="20"/>
          <w:szCs w:val="20"/>
          <w:color w:val="auto"/>
        </w:rPr>
      </w:pPr>
      <w:r>
        <w:rPr>
          <w:rFonts w:ascii="Arial" w:cs="Arial" w:eastAsia="Arial" w:hAnsi="Arial"/>
          <w:sz w:val="17"/>
          <w:szCs w:val="17"/>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93" w:lineRule="exact"/>
        <w:rPr>
          <w:sz w:val="20"/>
          <w:szCs w:val="20"/>
          <w:color w:val="auto"/>
        </w:rPr>
      </w:pPr>
    </w:p>
    <w:p>
      <w:pPr>
        <w:ind w:left="580" w:right="60"/>
        <w:spacing w:after="0" w:line="243" w:lineRule="auto"/>
        <w:rPr>
          <w:sz w:val="20"/>
          <w:szCs w:val="20"/>
          <w:color w:val="auto"/>
        </w:rPr>
      </w:pPr>
      <w:r>
        <w:rPr>
          <w:rFonts w:ascii="Arial" w:cs="Arial" w:eastAsia="Arial" w:hAnsi="Arial"/>
          <w:sz w:val="17"/>
          <w:szCs w:val="17"/>
          <w:color w:val="auto"/>
        </w:rPr>
        <w:t>may have the effect of delaying or preventing a change of control of us by diluting the share ownership or voting rights of a person seeking to obtain control of us; and</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may adversely affect prevailing market prices for our Class A ordinary shares.</w:t>
      </w:r>
    </w:p>
    <w:p>
      <w:pPr>
        <w:spacing w:after="0" w:line="55"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b w:val="1"/>
          <w:bCs w:val="1"/>
          <w:color w:val="auto"/>
        </w:rPr>
        <w:t>Our initial shareholders may receive additional Class A ordinary shares if we issue shares to consummate an initial business combination.</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founder shares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completion of this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our sponsor, members of our management team or any of their affiliates upon conversion of working capital loans. In no event will the Class B ordinary shares convert into Class A ordinary shares at a rate of less than one to one.</w:t>
      </w:r>
    </w:p>
    <w:p>
      <w:pPr>
        <w:spacing w:after="0" w:line="53"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b w:val="1"/>
          <w:bCs w:val="1"/>
          <w:color w:val="auto"/>
        </w:rPr>
        <w:t>Resources could be wasted in researching acquisitions that are not completed, which could materially adversely affect subsequent attempts to locate and acquire or merge with another business. If we do not complete our initial business combination within the required time period, our public shareholders may receive only approximately $10.00 per public share, or less in certain circumstances, on the liquidation of our trust account.</w:t>
      </w:r>
    </w:p>
    <w:p>
      <w:pPr>
        <w:spacing w:after="0" w:line="1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do not complete our initial business combination within the required time period, our public shareholders may receive only approximately $10.00 per public share, or less in certain circumstances, on the liquidation of our trust account.</w:t>
      </w:r>
    </w:p>
    <w:p>
      <w:pPr>
        <w:spacing w:after="0" w:line="53"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color w:val="auto"/>
        </w:rPr>
        <w:t>We may be a passive foreign investment company, or “PFIC,” which could result in adverse U.S. federal income tax consequences to U.S. investors.</w:t>
      </w:r>
    </w:p>
    <w:p>
      <w:pPr>
        <w:spacing w:after="0" w:line="233" w:lineRule="auto"/>
        <w:rPr>
          <w:sz w:val="20"/>
          <w:szCs w:val="20"/>
          <w:color w:val="auto"/>
        </w:rPr>
      </w:pPr>
      <w:r>
        <w:rPr>
          <w:rFonts w:ascii="Arial" w:cs="Arial" w:eastAsia="Arial" w:hAnsi="Arial"/>
          <w:sz w:val="17"/>
          <w:szCs w:val="17"/>
          <w:color w:val="auto"/>
        </w:rPr>
        <w:t>If we are a PFIC for any taxable year (or portion thereof) that is included in the holding period of a U.S. Holder</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(as defined in the section of this prospectus captioned “Taxation — United States Federal Income Tax Considerations — General”) of our Class A ordinary shares,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captioned “Taxation — United States Federal Income Tax Considerations — U.S. Holders — Passive Foreign Investment Company Rules”).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We urge U.S. investors to consult their tax advisors regarding the possible application of the PFIC rules. For a more detailed discussion of the tax consequences of PFIC classification to U.S. Holders, see the section of this prospectus captioned “Taxation — United States Federal Income Tax Considerations — U.S. Holders — Passive Foreign Investment Company Rules.”</w:t>
      </w:r>
    </w:p>
    <w:p>
      <w:pPr>
        <w:spacing w:after="0" w:line="52" w:lineRule="exact"/>
        <w:rPr>
          <w:sz w:val="20"/>
          <w:szCs w:val="20"/>
          <w:color w:val="auto"/>
        </w:rPr>
      </w:pPr>
    </w:p>
    <w:p>
      <w:pPr>
        <w:ind w:right="400"/>
        <w:spacing w:after="0" w:line="260" w:lineRule="auto"/>
        <w:rPr>
          <w:sz w:val="20"/>
          <w:szCs w:val="20"/>
          <w:color w:val="auto"/>
        </w:rPr>
      </w:pPr>
      <w:r>
        <w:rPr>
          <w:rFonts w:ascii="Arial" w:cs="Arial" w:eastAsia="Arial" w:hAnsi="Arial"/>
          <w:sz w:val="17"/>
          <w:szCs w:val="17"/>
          <w:b w:val="1"/>
          <w:bCs w:val="1"/>
          <w:color w:val="auto"/>
        </w:rPr>
        <w:t>We may reincorporate in another jurisdiction in connection with our initial business combination and such reincorporation may result in taxes imposed on shareholders.</w:t>
      </w:r>
    </w:p>
    <w:p>
      <w:pPr>
        <w:spacing w:after="0" w:line="1" w:lineRule="exact"/>
        <w:rPr>
          <w:sz w:val="20"/>
          <w:szCs w:val="20"/>
          <w:color w:val="auto"/>
        </w:rPr>
      </w:pPr>
    </w:p>
    <w:p>
      <w:pPr>
        <w:ind w:right="280"/>
        <w:spacing w:after="0" w:line="235" w:lineRule="auto"/>
        <w:rPr>
          <w:sz w:val="20"/>
          <w:szCs w:val="20"/>
          <w:color w:val="auto"/>
        </w:rPr>
      </w:pPr>
      <w:r>
        <w:rPr>
          <w:rFonts w:ascii="Arial" w:cs="Arial" w:eastAsia="Arial" w:hAnsi="Arial"/>
          <w:sz w:val="17"/>
          <w:szCs w:val="17"/>
          <w:color w:val="auto"/>
        </w:rPr>
        <w:t>We may, in connection with our initial business combination and subject to requisite shareholder approval under the Companies Law,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4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6"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63"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In particular, there is uncertainty as to whether the courts of the Cayman Islands or any other applicable jurisdictions would recognize and enforce judgments of U.S. courts obtained against us or our directors or officers predicated upon the civil liability provisions of the securities laws of the United States or any state in the United States or entertain original actions brought in the Cayman Islands or any other applicable jurisdiction’s courts against us or our directors or officers predicated upon the securities laws of the United States or any state in the United States. For a more detailed discussion, see the section of this prospectus captioned “Description of Securities — Certain Differences in Corporate Law.”</w:t>
      </w:r>
    </w:p>
    <w:p>
      <w:pPr>
        <w:spacing w:after="0" w:line="90"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b w:val="1"/>
          <w:bCs w:val="1"/>
          <w:color w:val="auto"/>
        </w:rPr>
        <w:t>We are dependent upon our executive officers and directors and their loss could adversely affect our ability to operate.</w:t>
      </w:r>
    </w:p>
    <w:p>
      <w:pPr>
        <w:spacing w:after="0" w:line="1"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In particular, certain of our officers and directors serve as an officer and/or director of ARYA Sciences Acquisition Corp II, which is a blank check company sponsored by an affiliate of Perceptive Advisors.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53"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b w:val="1"/>
          <w:b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8"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49"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1"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Our key personnel may be able to remain with our company after the completion of our initial business combination only if they are able to negotiate employment or consulting agreements in connection with the business combination.</w:t>
      </w:r>
    </w:p>
    <w:p>
      <w:pPr>
        <w:ind w:right="60"/>
        <w:spacing w:after="0" w:line="234" w:lineRule="auto"/>
        <w:rPr>
          <w:sz w:val="20"/>
          <w:szCs w:val="20"/>
          <w:color w:val="auto"/>
        </w:rPr>
      </w:pPr>
      <w:r>
        <w:rPr>
          <w:rFonts w:ascii="Arial" w:cs="Arial" w:eastAsia="Arial" w:hAnsi="Arial"/>
          <w:sz w:val="17"/>
          <w:szCs w:val="17"/>
          <w:color w:val="auto"/>
        </w:rPr>
        <w:t>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In addition, 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 which is described under the section of this prospectus entitled “Description of Securities — Registration and Shareholder Rights.”</w:t>
      </w:r>
    </w:p>
    <w:p>
      <w:pPr>
        <w:spacing w:after="0" w:line="4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b w:val="1"/>
          <w:b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6" w:lineRule="exact"/>
        <w:rPr>
          <w:sz w:val="20"/>
          <w:szCs w:val="20"/>
          <w:color w:val="auto"/>
        </w:rPr>
      </w:pPr>
    </w:p>
    <w:p>
      <w:pPr>
        <w:ind w:right="400"/>
        <w:spacing w:after="0" w:line="232"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business’s management may be limited due to a lack of time, resources or information.</w:t>
      </w:r>
    </w:p>
    <w:p>
      <w:pPr>
        <w:ind w:right="40"/>
        <w:spacing w:after="0" w:line="235" w:lineRule="auto"/>
        <w:rPr>
          <w:sz w:val="20"/>
          <w:szCs w:val="20"/>
          <w:color w:val="auto"/>
        </w:rPr>
      </w:pPr>
      <w:r>
        <w:rPr>
          <w:rFonts w:ascii="Arial" w:cs="Arial" w:eastAsia="Arial" w:hAnsi="Arial"/>
          <w:sz w:val="17"/>
          <w:szCs w:val="17"/>
          <w:color w:val="auto"/>
        </w:rPr>
        <w:t>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holders who choose to retain their securities following our initial business combination could suffer a reduction in the value of their securities. Such holders are unlikely to have a remedy for such reduction in value.</w:t>
      </w:r>
    </w:p>
    <w:p>
      <w:pPr>
        <w:spacing w:after="0" w:line="47" w:lineRule="exact"/>
        <w:rPr>
          <w:sz w:val="20"/>
          <w:szCs w:val="20"/>
          <w:color w:val="auto"/>
        </w:rPr>
      </w:pPr>
    </w:p>
    <w:p>
      <w:pPr>
        <w:spacing w:after="0" w:line="249" w:lineRule="auto"/>
        <w:rPr>
          <w:sz w:val="20"/>
          <w:szCs w:val="20"/>
          <w:color w:val="auto"/>
        </w:rPr>
      </w:pPr>
      <w:r>
        <w:rPr>
          <w:rFonts w:ascii="Arial" w:cs="Arial" w:eastAsia="Arial" w:hAnsi="Arial"/>
          <w:sz w:val="17"/>
          <w:szCs w:val="17"/>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6"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48"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b w:val="1"/>
          <w:b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6"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 In particular, certain of our officers and directors serve as an officer and/or director of ARYA Sciences Acquisition Corp II, which is a blank check company sponsored by an affiliate of Perceptive Advisors. Our independent directors also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ability to complete our initial business combination. For a complete discussion of our executive officers’ and directors’ other business affairs, please see “Management — Officers, Directors and Director Nominees.”</w:t>
      </w:r>
    </w:p>
    <w:p>
      <w:pPr>
        <w:spacing w:after="0" w:line="43"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b w:val="1"/>
          <w:bCs w:val="1"/>
          <w:color w:val="auto"/>
        </w:rPr>
        <w:t>Our officers and directors presently have, and any of them in the future may have additional, fiduciary or contractual obligations to other entities, including another blank check company, and, accordingly, may have conflicts of interest in determining to which entity a particular business opportunity should be presented.</w:t>
      </w:r>
    </w:p>
    <w:p>
      <w:pPr>
        <w:spacing w:after="0" w:line="6"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entity, including ARYA Sciences Acquisition Corp II, subject to his or her fiduciary duties under Cayman Islands law.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w:t>
      </w:r>
    </w:p>
    <w:p>
      <w:pPr>
        <w:spacing w:after="0" w:line="163"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In addition, our founders and our directors and officers, Perceptive Advisors, or its affiliates may in the future become affiliated with other blank check companies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such other blank check companies, including ARYA Sciences Acquisition Corp II, prior to its presentation to us, subject to our officers’ and directors’ fiduciary duties under Cayman Islands law. Our amended and restated memorandum and articles of association will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61" w:lineRule="exact"/>
        <w:rPr>
          <w:sz w:val="20"/>
          <w:szCs w:val="20"/>
          <w:color w:val="auto"/>
        </w:rPr>
      </w:pPr>
    </w:p>
    <w:p>
      <w:pPr>
        <w:ind w:right="420"/>
        <w:spacing w:after="0" w:line="238" w:lineRule="auto"/>
        <w:rPr>
          <w:sz w:val="20"/>
          <w:szCs w:val="20"/>
          <w:color w:val="auto"/>
        </w:rPr>
      </w:pPr>
      <w:r>
        <w:rPr>
          <w:rFonts w:ascii="Arial" w:cs="Arial" w:eastAsia="Arial" w:hAnsi="Arial"/>
          <w:sz w:val="17"/>
          <w:szCs w:val="17"/>
          <w:color w:val="auto"/>
        </w:rPr>
        <w:t>For a complete discussion of our executive officers’ and directors’ business affiliations and the potential conflicts of interest that you should be aware of, please see “Management — Officers, Directors and Director Nominees,” “Management — Conflicts of Interest” and “Certain Relationships and Related Party Transactions.”</w:t>
      </w:r>
    </w:p>
    <w:p>
      <w:pPr>
        <w:spacing w:after="0" w:line="33" w:lineRule="exact"/>
        <w:rPr>
          <w:sz w:val="20"/>
          <w:szCs w:val="20"/>
          <w:color w:val="auto"/>
        </w:rPr>
      </w:pPr>
    </w:p>
    <w:p>
      <w:pPr>
        <w:ind w:right="800"/>
        <w:spacing w:after="0" w:line="267" w:lineRule="auto"/>
        <w:rPr>
          <w:sz w:val="20"/>
          <w:szCs w:val="20"/>
          <w:color w:val="auto"/>
        </w:rPr>
      </w:pPr>
      <w:r>
        <w:rPr>
          <w:rFonts w:ascii="Arial" w:cs="Arial" w:eastAsia="Arial" w:hAnsi="Arial"/>
          <w:sz w:val="17"/>
          <w:szCs w:val="17"/>
          <w:b w:val="1"/>
          <w:bCs w:val="1"/>
          <w:color w:val="auto"/>
        </w:rPr>
        <w:t>Our executive officers, directors, security holders and their respective affiliates may have competitive pecuniary interests that conflict with our interests.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31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See the section titled “Description of Securities — Certain Differences in Corporate Law — Shareholders’ Suits” for further information on the ability to bring such claims. However, we might not ultimately be successful in any claim we may make against them for such reason.</w:t>
      </w:r>
    </w:p>
    <w:p>
      <w:pPr>
        <w:spacing w:after="0" w:line="47"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b w:val="1"/>
          <w:bCs w:val="1"/>
          <w:color w:val="auto"/>
        </w:rPr>
        <w:t>We may engage in a business combination with one or more target businesses that have relationships with entities that may be affiliated with our sponsor, executive officers, directors or initial shareholders which may raise potential conflicts of interest.</w:t>
      </w:r>
    </w:p>
    <w:p>
      <w:pPr>
        <w:spacing w:after="0" w:line="6"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light of the involvement of our sponsor, executive officers and directors with other entities, we may decide to acquire one or more businesses affiliated with our sponsor, executive officers, directors or initial shareholders. Our directors also serve as officers and board members for other entities, including, without limitation, those described under “Management — Conflicts of Interest.” Our sponsor and our officers and directors may sponsor or form other special purpose acquisition companies similar to ours or may pursue other business or investment ventures during the period in which we are seeking an initial business combination. Such entities may compete with us for business combination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 Evaluation of a Target Business and Structuring of Our Initial Business Combination” and such transaction was approved by a majority of our independent and disinterested directors. Despite our agreement to obtain an opinion from an independent investment banking firm which is a member of FINRA or an independent valuation or accounting firm regarding the fairness to our company from a financial point of view of a business combination with one or more domestic or international businesses affiliated with our sponsor, executive officers, directors or initial shareholders, potential conflicts of interest still may exist and, as a result, the terms of the business combination may not be as advantageous to our public shareholders as they would be absent any conflicts of interest.</w:t>
      </w:r>
    </w:p>
    <w:p>
      <w:pPr>
        <w:spacing w:after="0" w:line="5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b w:val="1"/>
          <w:b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On April 2, 2020 we issued to our sponsor 3,593,750 founder shares in exchange for a capital contribution of $25,000,</w:t>
      </w:r>
    </w:p>
    <w:p>
      <w:pPr>
        <w:spacing w:after="0" w:line="232" w:lineRule="auto"/>
        <w:rPr>
          <w:sz w:val="20"/>
          <w:szCs w:val="20"/>
          <w:color w:val="auto"/>
        </w:rPr>
      </w:pPr>
      <w:r>
        <w:rPr>
          <w:rFonts w:ascii="Arial" w:cs="Arial" w:eastAsia="Arial" w:hAnsi="Arial"/>
          <w:sz w:val="17"/>
          <w:szCs w:val="17"/>
          <w:color w:val="auto"/>
        </w:rPr>
        <w:t>or approximately $0.007 per share. In July 2020, our sponsor transferred 30,000 founder shares to each of Messrs.</w:t>
      </w:r>
    </w:p>
    <w:p>
      <w:pPr>
        <w:spacing w:after="0" w:line="232" w:lineRule="auto"/>
        <w:rPr>
          <w:sz w:val="20"/>
          <w:szCs w:val="20"/>
          <w:color w:val="auto"/>
        </w:rPr>
      </w:pPr>
      <w:r>
        <w:rPr>
          <w:rFonts w:ascii="Arial" w:cs="Arial" w:eastAsia="Arial" w:hAnsi="Arial"/>
          <w:sz w:val="17"/>
          <w:szCs w:val="17"/>
          <w:color w:val="auto"/>
        </w:rPr>
        <w:t>Campbell, Islam and Wider. Such shares will not be subject to forfeiture in the event the underwriters’ over-allotment</w:t>
      </w:r>
    </w:p>
    <w:p>
      <w:pPr>
        <w:spacing w:after="0" w:line="232" w:lineRule="auto"/>
        <w:rPr>
          <w:sz w:val="20"/>
          <w:szCs w:val="20"/>
          <w:color w:val="auto"/>
        </w:rPr>
      </w:pPr>
      <w:r>
        <w:rPr>
          <w:rFonts w:ascii="Arial" w:cs="Arial" w:eastAsia="Arial" w:hAnsi="Arial"/>
          <w:sz w:val="17"/>
          <w:szCs w:val="17"/>
          <w:color w:val="auto"/>
        </w:rPr>
        <w:t>option is not exercised. On August 6, 2020, we effected share capitalizations resulting in our initial shareholders holding</w:t>
      </w:r>
    </w:p>
    <w:p>
      <w:pPr>
        <w:spacing w:after="0" w:line="232" w:lineRule="auto"/>
        <w:rPr>
          <w:sz w:val="20"/>
          <w:szCs w:val="20"/>
          <w:color w:val="auto"/>
        </w:rPr>
      </w:pPr>
      <w:r>
        <w:rPr>
          <w:rFonts w:ascii="Arial" w:cs="Arial" w:eastAsia="Arial" w:hAnsi="Arial"/>
          <w:sz w:val="17"/>
          <w:szCs w:val="17"/>
          <w:color w:val="auto"/>
        </w:rPr>
        <w:t>3,737,500 Class B ordinary shares. Prior to the initial investment in the company of $25,000 by the sponsor, the</w:t>
      </w:r>
    </w:p>
    <w:p>
      <w:pPr>
        <w:spacing w:after="0" w:line="232" w:lineRule="auto"/>
        <w:rPr>
          <w:sz w:val="20"/>
          <w:szCs w:val="20"/>
          <w:color w:val="auto"/>
        </w:rPr>
      </w:pPr>
      <w:r>
        <w:rPr>
          <w:rFonts w:ascii="Arial" w:cs="Arial" w:eastAsia="Arial" w:hAnsi="Arial"/>
          <w:sz w:val="17"/>
          <w:szCs w:val="17"/>
          <w:color w:val="auto"/>
        </w:rPr>
        <w:t>company had no assets, tangible or intangible. The per share price of the founder shares was determined by dividing</w:t>
      </w:r>
    </w:p>
    <w:p>
      <w:pPr>
        <w:spacing w:after="0" w:line="232" w:lineRule="auto"/>
        <w:rPr>
          <w:sz w:val="20"/>
          <w:szCs w:val="20"/>
          <w:color w:val="auto"/>
        </w:rPr>
      </w:pPr>
      <w:r>
        <w:rPr>
          <w:rFonts w:ascii="Arial" w:cs="Arial" w:eastAsia="Arial" w:hAnsi="Arial"/>
          <w:sz w:val="17"/>
          <w:szCs w:val="17"/>
          <w:color w:val="auto"/>
        </w:rPr>
        <w:t>the amount contributed to the company by the number of founder shares issued. The founder shares and private</w:t>
      </w:r>
    </w:p>
    <w:p>
      <w:pPr>
        <w:spacing w:after="0" w:line="232" w:lineRule="auto"/>
        <w:rPr>
          <w:sz w:val="20"/>
          <w:szCs w:val="20"/>
          <w:color w:val="auto"/>
        </w:rPr>
      </w:pPr>
      <w:r>
        <w:rPr>
          <w:rFonts w:ascii="Arial" w:cs="Arial" w:eastAsia="Arial" w:hAnsi="Arial"/>
          <w:sz w:val="17"/>
          <w:szCs w:val="17"/>
          <w:color w:val="auto"/>
        </w:rPr>
        <w:t>placement shares will be worthless if we do not complete an initial business combination. In addition, our sponsor has</w:t>
      </w:r>
    </w:p>
    <w:p>
      <w:pPr>
        <w:spacing w:after="0" w:line="232" w:lineRule="auto"/>
        <w:rPr>
          <w:sz w:val="20"/>
          <w:szCs w:val="20"/>
          <w:color w:val="auto"/>
        </w:rPr>
      </w:pPr>
      <w:r>
        <w:rPr>
          <w:rFonts w:ascii="Arial" w:cs="Arial" w:eastAsia="Arial" w:hAnsi="Arial"/>
          <w:sz w:val="17"/>
          <w:szCs w:val="17"/>
          <w:color w:val="auto"/>
        </w:rPr>
        <w:t>committed, pursuant to a written agreement, to purchase 460,000 private placement shares (or 499,000 private</w:t>
      </w:r>
    </w:p>
    <w:p>
      <w:pPr>
        <w:spacing w:after="0" w:line="232" w:lineRule="auto"/>
        <w:rPr>
          <w:sz w:val="20"/>
          <w:szCs w:val="20"/>
          <w:color w:val="auto"/>
        </w:rPr>
      </w:pPr>
      <w:r>
        <w:rPr>
          <w:rFonts w:ascii="Arial" w:cs="Arial" w:eastAsia="Arial" w:hAnsi="Arial"/>
          <w:sz w:val="17"/>
          <w:szCs w:val="17"/>
          <w:color w:val="auto"/>
        </w:rPr>
        <w:t>placement shares if the underwriters’ over-allotment option is exercised in full), at a price of $10.00 per share</w:t>
      </w:r>
    </w:p>
    <w:p>
      <w:pPr>
        <w:spacing w:after="0" w:line="232" w:lineRule="auto"/>
        <w:rPr>
          <w:sz w:val="20"/>
          <w:szCs w:val="20"/>
          <w:color w:val="auto"/>
        </w:rPr>
      </w:pPr>
      <w:r>
        <w:rPr>
          <w:rFonts w:ascii="Arial" w:cs="Arial" w:eastAsia="Arial" w:hAnsi="Arial"/>
          <w:sz w:val="17"/>
          <w:szCs w:val="17"/>
          <w:color w:val="auto"/>
        </w:rPr>
        <w:t>($4,600,000 in the aggregate or $4,990,000 if the underwriters’ over-allotment option is exercised in full), in a private</w:t>
      </w:r>
    </w:p>
    <w:p>
      <w:pPr>
        <w:spacing w:after="0" w:line="232" w:lineRule="auto"/>
        <w:rPr>
          <w:sz w:val="20"/>
          <w:szCs w:val="20"/>
          <w:color w:val="auto"/>
        </w:rPr>
      </w:pPr>
      <w:r>
        <w:rPr>
          <w:rFonts w:ascii="Arial" w:cs="Arial" w:eastAsia="Arial" w:hAnsi="Arial"/>
          <w:sz w:val="17"/>
          <w:szCs w:val="17"/>
          <w:color w:val="auto"/>
        </w:rPr>
        <w:t>placement that will close simultaneously with the closing of this offering. The personal and financial interests of our</w:t>
      </w:r>
    </w:p>
    <w:p>
      <w:pPr>
        <w:spacing w:after="0" w:line="232" w:lineRule="auto"/>
        <w:rPr>
          <w:sz w:val="20"/>
          <w:szCs w:val="20"/>
          <w:color w:val="auto"/>
        </w:rPr>
      </w:pPr>
      <w:r>
        <w:rPr>
          <w:rFonts w:ascii="Arial" w:cs="Arial" w:eastAsia="Arial" w:hAnsi="Arial"/>
          <w:sz w:val="17"/>
          <w:szCs w:val="17"/>
          <w:color w:val="auto"/>
        </w:rPr>
        <w:t>executive officers and directors may influence their motivation in identifying and selecting a target business</w:t>
      </w:r>
    </w:p>
    <w:p>
      <w:pPr>
        <w:spacing w:after="0" w:line="232" w:lineRule="auto"/>
        <w:rPr>
          <w:sz w:val="20"/>
          <w:szCs w:val="20"/>
          <w:color w:val="auto"/>
        </w:rPr>
      </w:pPr>
      <w:r>
        <w:rPr>
          <w:rFonts w:ascii="Arial" w:cs="Arial" w:eastAsia="Arial" w:hAnsi="Arial"/>
          <w:sz w:val="17"/>
          <w:szCs w:val="17"/>
          <w:color w:val="auto"/>
        </w:rPr>
        <w:t>combination, completing an initial business combination and influencing the operation of the business following the</w:t>
      </w:r>
    </w:p>
    <w:p>
      <w:pPr>
        <w:spacing w:after="0" w:line="232" w:lineRule="auto"/>
        <w:rPr>
          <w:sz w:val="20"/>
          <w:szCs w:val="20"/>
          <w:color w:val="auto"/>
        </w:rPr>
      </w:pPr>
      <w:r>
        <w:rPr>
          <w:rFonts w:ascii="Arial" w:cs="Arial" w:eastAsia="Arial" w:hAnsi="Arial"/>
          <w:sz w:val="17"/>
          <w:szCs w:val="17"/>
          <w:color w:val="auto"/>
        </w:rPr>
        <w:t>initial business combination. This risk may become more acute as the 24-month anniversary of the closing of this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offering nears, which is the deadline for our consummation of an initial business combination.</w:t>
      </w:r>
    </w:p>
    <w:p>
      <w:pPr>
        <w:spacing w:after="0" w:line="55" w:lineRule="exact"/>
        <w:rPr>
          <w:sz w:val="20"/>
          <w:szCs w:val="20"/>
          <w:color w:val="auto"/>
        </w:rPr>
      </w:pPr>
    </w:p>
    <w:p>
      <w:pPr>
        <w:jc w:val="both"/>
        <w:ind w:right="300"/>
        <w:spacing w:after="0" w:line="249" w:lineRule="auto"/>
        <w:rPr>
          <w:sz w:val="20"/>
          <w:szCs w:val="20"/>
          <w:color w:val="auto"/>
        </w:rPr>
      </w:pPr>
      <w:r>
        <w:rPr>
          <w:rFonts w:ascii="Arial" w:cs="Arial" w:eastAsia="Arial" w:hAnsi="Arial"/>
          <w:sz w:val="17"/>
          <w:szCs w:val="17"/>
          <w:b w:val="1"/>
          <w:bCs w:val="1"/>
          <w:color w:val="auto"/>
        </w:rPr>
        <w:t>We may issue notes or other debt, or otherwise incur substantial debt, to complete a business combination, which may adversely affect our leverage and financial condition and thus negatively impact the value of our shareholders’ investment in us.</w:t>
      </w:r>
    </w:p>
    <w:p>
      <w:pPr>
        <w:spacing w:after="0" w:line="6"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Although we have no commitments as of the date of this prospectus to issue any notes or other debt, or to otherwise incur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94" w:lineRule="exact"/>
        <w:rPr>
          <w:sz w:val="20"/>
          <w:szCs w:val="20"/>
          <w:color w:val="auto"/>
        </w:rPr>
      </w:pPr>
    </w:p>
    <w:p>
      <w:pPr>
        <w:ind w:left="580" w:right="680"/>
        <w:spacing w:after="0" w:line="243" w:lineRule="auto"/>
        <w:rPr>
          <w:sz w:val="20"/>
          <w:szCs w:val="20"/>
          <w:color w:val="auto"/>
        </w:rPr>
      </w:pPr>
      <w:r>
        <w:rPr>
          <w:rFonts w:ascii="Arial" w:cs="Arial" w:eastAsia="Arial" w:hAnsi="Arial"/>
          <w:sz w:val="17"/>
          <w:szCs w:val="17"/>
          <w:color w:val="auto"/>
        </w:rPr>
        <w:t>default and foreclosure on our assets if our operating revenues after an initial business combination are insufficient to repay our debt obligations;</w:t>
      </w:r>
    </w:p>
    <w:p>
      <w:pPr>
        <w:spacing w:after="0" w:line="90" w:lineRule="exact"/>
        <w:rPr>
          <w:sz w:val="20"/>
          <w:szCs w:val="20"/>
          <w:color w:val="auto"/>
        </w:rPr>
      </w:pPr>
    </w:p>
    <w:p>
      <w:pPr>
        <w:jc w:val="both"/>
        <w:ind w:left="580" w:right="280"/>
        <w:spacing w:after="0" w:line="238" w:lineRule="auto"/>
        <w:rPr>
          <w:sz w:val="20"/>
          <w:szCs w:val="20"/>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immediate payment of all principal and accrued interest, if any, if the debt is payable on demand;</w:t>
      </w:r>
    </w:p>
    <w:p>
      <w:pPr>
        <w:spacing w:after="0" w:line="102" w:lineRule="exact"/>
        <w:rPr>
          <w:sz w:val="20"/>
          <w:szCs w:val="20"/>
          <w:color w:val="auto"/>
        </w:rPr>
      </w:pPr>
    </w:p>
    <w:p>
      <w:pPr>
        <w:ind w:left="580"/>
        <w:spacing w:after="0" w:line="243" w:lineRule="auto"/>
        <w:rPr>
          <w:sz w:val="20"/>
          <w:szCs w:val="20"/>
          <w:color w:val="auto"/>
        </w:rPr>
      </w:pPr>
      <w:r>
        <w:rPr>
          <w:rFonts w:ascii="Arial" w:cs="Arial" w:eastAsia="Arial" w:hAnsi="Arial"/>
          <w:sz w:val="17"/>
          <w:szCs w:val="17"/>
          <w:color w:val="auto"/>
        </w:rPr>
        <w:t>our inability to obtain necessary additional financing if the debt contains covenants restricting our ability to obtain such financing while the debt is outstanding;</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inability to pay dividends on our Class A ordinary shares;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jc w:val="both"/>
        <w:ind w:left="580" w:right="80"/>
        <w:spacing w:after="0" w:line="238" w:lineRule="auto"/>
        <w:rPr>
          <w:sz w:val="20"/>
          <w:szCs w:val="20"/>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93" w:lineRule="exact"/>
        <w:rPr>
          <w:sz w:val="20"/>
          <w:szCs w:val="20"/>
          <w:color w:val="auto"/>
        </w:rPr>
      </w:pPr>
    </w:p>
    <w:p>
      <w:pPr>
        <w:ind w:left="580" w:right="200"/>
        <w:spacing w:after="0" w:line="243" w:lineRule="auto"/>
        <w:rPr>
          <w:sz w:val="20"/>
          <w:szCs w:val="20"/>
          <w:color w:val="auto"/>
        </w:rPr>
      </w:pPr>
      <w:r>
        <w:rPr>
          <w:rFonts w:ascii="Arial" w:cs="Arial" w:eastAsia="Arial" w:hAnsi="Arial"/>
          <w:sz w:val="17"/>
          <w:szCs w:val="17"/>
          <w:color w:val="auto"/>
        </w:rPr>
        <w:t>limitations on our flexibility in planning for and reacting to changes in our business and in the industry in which we operate;</w:t>
      </w:r>
    </w:p>
    <w:p>
      <w:pPr>
        <w:spacing w:after="0" w:line="90" w:lineRule="exact"/>
        <w:rPr>
          <w:sz w:val="20"/>
          <w:szCs w:val="20"/>
          <w:color w:val="auto"/>
        </w:rPr>
      </w:pPr>
    </w:p>
    <w:p>
      <w:pPr>
        <w:ind w:left="580" w:right="600"/>
        <w:spacing w:after="0" w:line="243" w:lineRule="auto"/>
        <w:rPr>
          <w:sz w:val="20"/>
          <w:szCs w:val="20"/>
          <w:color w:val="auto"/>
        </w:rPr>
      </w:pPr>
      <w:r>
        <w:rPr>
          <w:rFonts w:ascii="Arial" w:cs="Arial" w:eastAsia="Arial" w:hAnsi="Arial"/>
          <w:sz w:val="17"/>
          <w:szCs w:val="17"/>
          <w:color w:val="auto"/>
        </w:rPr>
        <w:t>increased vulnerability to adverse changes in general economic, industry and competitive conditions and adverse changes in government regulation; and</w:t>
      </w:r>
    </w:p>
    <w:p>
      <w:pPr>
        <w:spacing w:after="0" w:line="90" w:lineRule="exact"/>
        <w:rPr>
          <w:sz w:val="20"/>
          <w:szCs w:val="20"/>
          <w:color w:val="auto"/>
        </w:rPr>
      </w:pPr>
    </w:p>
    <w:p>
      <w:pPr>
        <w:ind w:left="580" w:right="200"/>
        <w:spacing w:after="0" w:line="238" w:lineRule="auto"/>
        <w:rPr>
          <w:sz w:val="20"/>
          <w:szCs w:val="20"/>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46"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b w:val="1"/>
          <w:bCs w:val="1"/>
          <w:color w:val="auto"/>
        </w:rPr>
        <w:t>We may only be able to complete one business combination with the proceeds of this offering and the sale of the private placement shares, which will cause us to be solely dependent on a single business which may have a limited number of products or services. This lack of diversification may negatively impact our operations and profitability.</w:t>
      </w:r>
    </w:p>
    <w:p>
      <w:pPr>
        <w:spacing w:after="0" w:line="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net proceeds from this offering and the sale of the private placement shares will provide us with up to $126,450,000 (or $145,267,500 if the underwriters’ over-allotment option is exercised in full) that we may use to complete our initial business combination (after taking into account the $4,550,000, or $5,232,500 if the over-allotment option is exercised in full, of deferred underwriting commissions being held in the trust account and the estimated expenses of this offering).</w:t>
      </w:r>
    </w:p>
    <w:p>
      <w:pPr>
        <w:spacing w:after="0" w:line="163"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solely dependent upon the performance of a single business, property or asset; or</w:t>
      </w:r>
    </w:p>
    <w:p>
      <w:pPr>
        <w:spacing w:after="0" w:line="102" w:lineRule="exact"/>
        <w:rPr>
          <w:sz w:val="20"/>
          <w:szCs w:val="20"/>
          <w:color w:val="auto"/>
        </w:rPr>
      </w:pPr>
    </w:p>
    <w:p>
      <w:pPr>
        <w:ind w:left="580" w:right="100"/>
        <w:spacing w:after="0" w:line="243" w:lineRule="auto"/>
        <w:rPr>
          <w:sz w:val="20"/>
          <w:szCs w:val="20"/>
          <w:color w:val="auto"/>
        </w:rPr>
      </w:pPr>
      <w:r>
        <w:rPr>
          <w:rFonts w:ascii="Arial" w:cs="Arial" w:eastAsia="Arial" w:hAnsi="Arial"/>
          <w:sz w:val="17"/>
          <w:szCs w:val="17"/>
          <w:color w:val="auto"/>
        </w:rPr>
        <w:t>dependent upon the development or market acceptance of a single or limited number of products, processes or services.</w:t>
      </w:r>
    </w:p>
    <w:p>
      <w:pPr>
        <w:spacing w:after="0" w:line="158"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33" w:lineRule="exact"/>
        <w:rPr>
          <w:sz w:val="20"/>
          <w:szCs w:val="20"/>
          <w:color w:val="auto"/>
        </w:rPr>
      </w:pPr>
    </w:p>
    <w:p>
      <w:pPr>
        <w:jc w:val="both"/>
        <w:ind w:right="180"/>
        <w:spacing w:after="0" w:line="249" w:lineRule="auto"/>
        <w:rPr>
          <w:sz w:val="20"/>
          <w:szCs w:val="20"/>
          <w:color w:val="auto"/>
        </w:rPr>
      </w:pPr>
      <w:r>
        <w:rPr>
          <w:rFonts w:ascii="Arial" w:cs="Arial" w:eastAsia="Arial" w:hAnsi="Arial"/>
          <w:sz w:val="17"/>
          <w:szCs w:val="17"/>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9"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spacing w:after="0" w:line="249" w:lineRule="auto"/>
        <w:rPr>
          <w:sz w:val="20"/>
          <w:szCs w:val="20"/>
          <w:color w:val="auto"/>
        </w:rPr>
      </w:pPr>
      <w:r>
        <w:rPr>
          <w:rFonts w:ascii="Arial" w:cs="Arial" w:eastAsia="Arial" w:hAnsi="Arial"/>
          <w:sz w:val="17"/>
          <w:szCs w:val="17"/>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9"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35" w:lineRule="exact"/>
        <w:rPr>
          <w:sz w:val="20"/>
          <w:szCs w:val="20"/>
          <w:color w:val="auto"/>
        </w:rPr>
      </w:pPr>
    </w:p>
    <w:p>
      <w:pPr>
        <w:ind w:right="540"/>
        <w:spacing w:after="0" w:line="249" w:lineRule="auto"/>
        <w:rPr>
          <w:sz w:val="20"/>
          <w:szCs w:val="20"/>
          <w:color w:val="auto"/>
        </w:rPr>
      </w:pPr>
      <w:r>
        <w:rPr>
          <w:rFonts w:ascii="Arial" w:cs="Arial" w:eastAsia="Arial" w:hAnsi="Arial"/>
          <w:sz w:val="17"/>
          <w:szCs w:val="17"/>
          <w:b w:val="1"/>
          <w:bCs w:val="1"/>
          <w:color w:val="auto"/>
        </w:rPr>
        <w:t>Our management may not be able to maintain control of a target business after our initial business combination. Upon the loss of control of a target business, new management may not possess the skills, qualifications or abilities necessary to profitably operate such business.</w:t>
      </w:r>
    </w:p>
    <w:p>
      <w:pPr>
        <w:spacing w:after="0" w:line="19"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We may structure our initial business combination so that the post-business combination company in which our public shareholders own shares will own less than 100% of the equity interests or assets of a target business, but we will only complete such business combination if the post-business combination company owns or acquires 50% or more of the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post-business combination company owns 50% or more of the voting securities of the target, our shareholders prior to the completion of our initial business combination may collectively own a minority interest in the post-business combination company, depending on valuations ascribed to the target and us in the business combination. For example, we could pursue a transaction in which we issue a substantial number of new Class A ordinary shares in exchange for all of the outstanding capital stock of a target. In this case, we would acquire a 100% interest in the target. However, as a result of the issuance of a substantial number of new Class A ordinary shares, our shareholders immediately prior to such transaction could own less than a majority of our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35"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b w:val="1"/>
          <w:bCs w:val="1"/>
          <w:color w:val="auto"/>
        </w:rPr>
        <w:t>We may seek business combination opportunities with a high degree of complexity that require significant operational improvements, which could delay or prevent us from achieving our desired results.</w:t>
      </w:r>
    </w:p>
    <w:p>
      <w:pPr>
        <w:spacing w:after="0" w:line="4"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 chances that those risks and complexities will adversely impact a target business. Such combination may not be as successful as a combination with a smaller, less complex organization.</w:t>
      </w:r>
    </w:p>
    <w:p>
      <w:pPr>
        <w:spacing w:after="0" w:line="178"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b w:val="1"/>
          <w:b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19"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Our amended and restated memorandum and articles of association will not provide a specified maximum redemption threshold, except that in no event will we redeem our public shares in an amount that would cause our net tangible assets to be less than $5,000,001 (so that we do not then become subject to the SEC’s “penny stock” rules).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19"/>
        <w:spacing w:after="0" w:line="243" w:lineRule="auto"/>
        <w:rPr>
          <w:sz w:val="20"/>
          <w:szCs w:val="20"/>
          <w:color w:val="auto"/>
        </w:rPr>
      </w:pPr>
      <w:r>
        <w:rPr>
          <w:rFonts w:ascii="Arial" w:cs="Arial" w:eastAsia="Arial" w:hAnsi="Arial"/>
          <w:sz w:val="17"/>
          <w:szCs w:val="17"/>
          <w:color w:val="auto"/>
        </w:rPr>
        <w:t>us, we will not complete the business combination or redeem any shares, all Class A ordinary shares submitted for redemption will be returned to the holders thereof, and we instead may search for an alternate business combination.</w:t>
      </w:r>
    </w:p>
    <w:p>
      <w:pPr>
        <w:spacing w:after="0" w:line="43" w:lineRule="exact"/>
        <w:rPr>
          <w:sz w:val="20"/>
          <w:szCs w:val="20"/>
          <w:color w:val="auto"/>
        </w:rPr>
      </w:pPr>
    </w:p>
    <w:p>
      <w:pPr>
        <w:ind w:right="59"/>
        <w:spacing w:after="0" w:line="244" w:lineRule="auto"/>
        <w:rPr>
          <w:sz w:val="20"/>
          <w:szCs w:val="20"/>
          <w:color w:val="auto"/>
        </w:rPr>
      </w:pPr>
      <w:r>
        <w:rPr>
          <w:rFonts w:ascii="Arial" w:cs="Arial" w:eastAsia="Arial" w:hAnsi="Arial"/>
          <w:sz w:val="17"/>
          <w:szCs w:val="17"/>
          <w:b w:val="1"/>
          <w:bCs w:val="1"/>
          <w:color w:val="auto"/>
        </w:rPr>
        <w:t>In order to effectuate an initial business combination, blank check companies have, in the recent past, amended various provisions of their charters and other governing instruments. We may seek to amend our amended and restated memorandum and articles of association or governing instruments in a manner that will make it easier for us to complete our initial business combination that our shareholders may not support.</w:t>
      </w:r>
    </w:p>
    <w:p>
      <w:pPr>
        <w:spacing w:after="0" w:line="8" w:lineRule="exact"/>
        <w:rPr>
          <w:sz w:val="20"/>
          <w:szCs w:val="20"/>
          <w:color w:val="auto"/>
        </w:rPr>
      </w:pPr>
    </w:p>
    <w:p>
      <w:pPr>
        <w:ind w:right="39"/>
        <w:spacing w:after="0" w:line="233" w:lineRule="auto"/>
        <w:rPr>
          <w:sz w:val="20"/>
          <w:szCs w:val="20"/>
          <w:color w:val="auto"/>
        </w:rPr>
      </w:pPr>
      <w:r>
        <w:rPr>
          <w:rFonts w:ascii="Arial" w:cs="Arial" w:eastAsia="Arial" w:hAnsi="Arial"/>
          <w:sz w:val="17"/>
          <w:szCs w:val="17"/>
          <w:color w:val="auto"/>
        </w:rPr>
        <w:t>In order to effectuate a business combination, blank check companies have, in the recent past, amended various provisions of their charters and governing instruments. For example, blank check companies have amended the definition of business combination, increased redemption thresholds, and extended the time to consummate a business combination. Amending our amended and restated memorandum and articles of association will require at least a special resolution of our shareholders as a matter of Cayman Islands law, meaning the approval of holders of at least two-thirds of our ordinary shares who attend and vote at a shareholder meeting of the company. In addition, our amended and restated memorandum and articles of association will require us to provide our public shareholders with the opportunity to redeem their public shares for cash if we propose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To the extent any of such amendments would be deemed to fundamentally change the nature of the securities offered hereby, we would register, or seek an exemption from registration for, the affected securities.</w:t>
      </w:r>
    </w:p>
    <w:p>
      <w:pPr>
        <w:spacing w:after="0" w:line="50" w:lineRule="exact"/>
        <w:rPr>
          <w:sz w:val="20"/>
          <w:szCs w:val="20"/>
          <w:color w:val="auto"/>
        </w:rPr>
      </w:pPr>
    </w:p>
    <w:p>
      <w:pPr>
        <w:ind w:right="59"/>
        <w:spacing w:after="0" w:line="238" w:lineRule="auto"/>
        <w:rPr>
          <w:sz w:val="20"/>
          <w:szCs w:val="20"/>
          <w:color w:val="auto"/>
        </w:rPr>
      </w:pPr>
      <w:r>
        <w:rPr>
          <w:rFonts w:ascii="Arial" w:cs="Arial" w:eastAsia="Arial" w:hAnsi="Arial"/>
          <w:sz w:val="17"/>
          <w:szCs w:val="17"/>
          <w:b w:val="1"/>
          <w:b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a special resolution which requires the approval of the holders of at least two-thirds of our ordinary shares who attend and vote at a shareholder meeting of the company, which is a lower amendment threshold than that of some other blank check companies. It may be easier for us, therefore, to amend our amended and restated memorandum and articles of association to facilitate the completion of an initial business combination that some of our shareholders may not support.</w:t>
      </w:r>
    </w:p>
    <w:p>
      <w:pPr>
        <w:spacing w:after="0" w:line="13" w:lineRule="exact"/>
        <w:rPr>
          <w:sz w:val="20"/>
          <w:szCs w:val="20"/>
          <w:color w:val="auto"/>
        </w:rPr>
      </w:pPr>
    </w:p>
    <w:p>
      <w:pPr>
        <w:ind w:right="19"/>
        <w:spacing w:after="0" w:line="232" w:lineRule="auto"/>
        <w:rPr>
          <w:sz w:val="20"/>
          <w:szCs w:val="20"/>
          <w:color w:val="auto"/>
        </w:rPr>
      </w:pPr>
      <w:r>
        <w:rPr>
          <w:rFonts w:ascii="Arial" w:cs="Arial" w:eastAsia="Arial" w:hAnsi="Arial"/>
          <w:sz w:val="17"/>
          <w:szCs w:val="17"/>
          <w:color w:val="auto"/>
        </w:rPr>
        <w:t xml:space="preserve">Some other blank check companies have a provision in their charter which prohibits the amendment of certain of its provisions, including those which relate to a company’s pre-business combination activity, without approval by a certain percentage of the company’s shareholders. In those companies, amendment of these provisions typically requires approval by between 90% and 100% of the company’s shareholders. Our amended and restated memorandum and articles of association will provide that any of its provisions related to pre-business combination activity (including the requirement to deposit proceeds of this offering and the sale of the private placement shares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shareholder meeting of the company, and corresponding provisions of the trust agreement governing the release of funds from our trust account may be amended if approved by holders of at least 65% of our ordinary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provisions of our amended and restated memorandum and articles of association governing the appointment or removal of directors prior to our initial business combination may only be amended by a special resolution passed by holders representing at least two-thirds of our outstanding Class B ordinary shares. Our initial shareholders, and their permitted transferees, if any, who will collectively beneficially own, on an as-converted basis, 20% of our Class A ordinary shares upon the closing of this offering (excluding the private placement shares and assuming they do not purchase any shares in this offering), will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w:t>
      </w:r>
    </w:p>
    <w:p>
      <w:pPr>
        <w:spacing w:after="0" w:line="176" w:lineRule="exact"/>
        <w:rPr>
          <w:sz w:val="20"/>
          <w:szCs w:val="20"/>
          <w:color w:val="auto"/>
        </w:rPr>
      </w:pPr>
    </w:p>
    <w:p>
      <w:pPr>
        <w:ind w:right="39"/>
        <w:spacing w:after="0" w:line="236" w:lineRule="auto"/>
        <w:rPr>
          <w:sz w:val="20"/>
          <w:szCs w:val="20"/>
          <w:color w:val="auto"/>
        </w:rPr>
      </w:pPr>
      <w:r>
        <w:rPr>
          <w:rFonts w:ascii="Arial" w:cs="Arial" w:eastAsia="Arial" w:hAnsi="Arial"/>
          <w:sz w:val="17"/>
          <w:szCs w:val="17"/>
          <w:color w:val="auto"/>
        </w:rPr>
        <w:t>Our sponsor, executive officers, directors and director nominees have agreed, pursuant to a written agreement with us, that they will not propose any amendment to our amended and restated memorandum and articles of association (A) that would modify the substance or timing of our obligation to provide holders of our Class A ordinary shares the right to have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Our shareholders are not parties to, or third-party beneficiaries of, this agreement and, as a result, will not have the ability to pursue remedies against our sponsor, executive officers, directors or director nominees for any breach of this agreement. As a result, in the event of a breach, our shareholders would need to pursue a shareholder derivative action, subject to applicable law.</w:t>
      </w:r>
    </w:p>
    <w:p>
      <w:pPr>
        <w:spacing w:after="0" w:line="53"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shareholders may receive only approximately $10.00 per public share, or less in certain circumstances, on the liquidation of our trust account.</w:t>
      </w:r>
    </w:p>
    <w:p>
      <w:pPr>
        <w:spacing w:after="0" w:line="11"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Although we believe that the net proceeds of this offering and the sale of the private placement shares will be sufficient to allow us to complete our initial business combination, because we have not yet selected any prospective target business we cannot ascertain the capital requirements for any particular transaction. If the net proceeds of this offering and the sale of the private placement shares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Such financing may not be available on acceptable terms, if at all. The current economic environment may make difficult for companies to obtain acquisition financing.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do not complete our initial business combination within the required time period, our public shareholders may receive only approximately $10.00 per public share, or less in certain circumstances, on the liquidation of our trust account.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47" w:lineRule="exact"/>
        <w:rPr>
          <w:sz w:val="20"/>
          <w:szCs w:val="20"/>
          <w:color w:val="auto"/>
        </w:rPr>
      </w:pPr>
    </w:p>
    <w:p>
      <w:pPr>
        <w:ind w:right="560"/>
        <w:spacing w:after="0" w:line="260" w:lineRule="auto"/>
        <w:rPr>
          <w:sz w:val="20"/>
          <w:szCs w:val="20"/>
          <w:color w:val="auto"/>
        </w:rPr>
      </w:pPr>
      <w:r>
        <w:rPr>
          <w:rFonts w:ascii="Arial" w:cs="Arial" w:eastAsia="Arial" w:hAnsi="Arial"/>
          <w:sz w:val="17"/>
          <w:szCs w:val="17"/>
          <w:b w:val="1"/>
          <w:bCs w:val="1"/>
          <w:color w:val="auto"/>
        </w:rPr>
        <w:t>Our initial shareholders control a substantial interest in us and thus may exert a substantial influence on actions requiring a shareholder vote, potentially in a manner that you do not support.</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Upon the closing of this offering, our initial shareholders will own, on an as-converted basis, 20% of our issued and outstanding ordinary shares (excluding the private placement shares and assuming they do not purchase any shares in this offering). Accordingly, they may exert a substantial influence on actions requiring a shareholder vote, potentially in a manner that you do not support, including amendments to our amended and restated memorandum and articles of association. If our initial shareholders purchase any shares in this offering or if our initial shareholders purchase any additional Class A ordinary shares in the aftermarket or in privately negotiated transactions, this would increase their control. Neither our sponsor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our board of directors, whose members were elected by our sponsor, is and will be divided into three classes, each of which will generally serve for a term of three years with only one class of directors being elected in each year. We may not hold an annual meeting of shareholders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sponsor, because of its ownership position, will control the outcome, as only holders of our Class B ordinary shares will have the right to vote on the election of directors and to remove directors prior to our initial business combination. Accordingly, our sponsor will continue to exert control at least until the completion of our initial business combination. In addition, we have agreed not to enter into a definitive agreement regarding an initial business combination without the prior consent of our sponsor.</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ind w:right="680"/>
        <w:spacing w:after="0" w:line="267" w:lineRule="auto"/>
        <w:rPr>
          <w:sz w:val="20"/>
          <w:szCs w:val="20"/>
          <w:color w:val="auto"/>
        </w:rPr>
      </w:pPr>
      <w:r>
        <w:rPr>
          <w:rFonts w:ascii="Arial" w:cs="Arial" w:eastAsia="Arial" w:hAnsi="Arial"/>
          <w:sz w:val="17"/>
          <w:szCs w:val="17"/>
          <w:b w:val="1"/>
          <w:bCs w:val="1"/>
          <w:color w:val="auto"/>
        </w:rPr>
        <w:t>Our sponsor contributed $25,000, or approximately $0.007 per founder share, and, accordingly, you will experience immediate and substantial dilution from the purchase of our Class A ordinary shares.</w:t>
      </w:r>
    </w:p>
    <w:p>
      <w:pPr>
        <w:spacing w:after="0" w:line="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difference between the public offering price per share and the pro forma net tangible book value per Class A ordinary share after this offering constitutes the dilution to you and the other investors in this offering. Our sponsor acquired the founder shares at a nominal price, significantly contributing to this dilution. Upon the closing of this offering, you and the other public shareholders will incur an immediate and substantial dilution of approximately 89.0% (or $8.90 per share, assuming no exercise of the underwriters’ over-allotment option), the difference between the pro forma net tangible book value per share of $1.10 and the initial offering price of $10.00 per share. This dilution would increase to the extent that the anti-dilution provisions of the founder shares result in the issuance of Class A ordinary shares on a greater than one-to-one basis upon conversion of the founder shares at the time of our initial business combination and would become exacerbated to the extent that public shareholders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ordinary shares.</w:t>
      </w:r>
    </w:p>
    <w:p>
      <w:pPr>
        <w:spacing w:after="0" w:line="38"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b w:val="1"/>
          <w:bCs w:val="1"/>
          <w:color w:val="auto"/>
        </w:rPr>
        <w:t>The determination of the offering price of our Class A ordinary shares and the size of this offering is more arbitrary than the pricing of securities and size of an offering of an operating company in a particular industry. You may have less assurance, therefore, that the offering price of our Class A ordinary shares properly reflects the value of such shares than you would have in a typical offering of an operating company.</w:t>
      </w:r>
    </w:p>
    <w:p>
      <w:pPr>
        <w:spacing w:after="0" w:line="22"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Prior to this offering there has been no public market for any of our securities. The public offering price of the Class A ordinary shares was negotiated between us and the underwriters. In determining the size of this offering, management held customary organizational meetings with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Class A ordinary shares include:</w:t>
      </w:r>
    </w:p>
    <w:p>
      <w:pPr>
        <w:spacing w:after="0" w:line="94" w:lineRule="exact"/>
        <w:rPr>
          <w:sz w:val="20"/>
          <w:szCs w:val="20"/>
          <w:color w:val="auto"/>
        </w:rPr>
      </w:pPr>
    </w:p>
    <w:p>
      <w:pPr>
        <w:ind w:left="580" w:right="700"/>
        <w:spacing w:after="0" w:line="364" w:lineRule="auto"/>
        <w:rPr>
          <w:sz w:val="20"/>
          <w:szCs w:val="20"/>
          <w:color w:val="auto"/>
        </w:rPr>
      </w:pPr>
      <w:r>
        <w:rPr>
          <w:rFonts w:ascii="Arial" w:cs="Arial" w:eastAsia="Arial" w:hAnsi="Arial"/>
          <w:sz w:val="17"/>
          <w:szCs w:val="17"/>
          <w:color w:val="auto"/>
        </w:rPr>
        <w:t>the history and prospects of companies whose principal business is the acquisition of other companies; prior offerings of those companies;</w:t>
      </w:r>
    </w:p>
    <w:p>
      <w:pPr>
        <w:spacing w:after="0" w:line="1" w:lineRule="exact"/>
        <w:rPr>
          <w:sz w:val="20"/>
          <w:szCs w:val="20"/>
          <w:color w:val="auto"/>
        </w:rPr>
      </w:pPr>
    </w:p>
    <w:p>
      <w:pPr>
        <w:ind w:left="580" w:right="3200"/>
        <w:spacing w:after="0" w:line="364" w:lineRule="auto"/>
        <w:rPr>
          <w:sz w:val="20"/>
          <w:szCs w:val="20"/>
          <w:color w:val="auto"/>
        </w:rPr>
      </w:pPr>
      <w:r>
        <w:rPr>
          <w:rFonts w:ascii="Arial" w:cs="Arial" w:eastAsia="Arial" w:hAnsi="Arial"/>
          <w:sz w:val="17"/>
          <w:szCs w:val="17"/>
          <w:color w:val="auto"/>
        </w:rPr>
        <w:t>our prospects for acquiring an operating business at attractive values; a review of debt-to-equity ratios in leveraged transactions; our capital structure;</w:t>
      </w:r>
    </w:p>
    <w:p>
      <w:pPr>
        <w:spacing w:after="0" w:line="2" w:lineRule="exact"/>
        <w:rPr>
          <w:sz w:val="20"/>
          <w:szCs w:val="20"/>
          <w:color w:val="auto"/>
        </w:rPr>
      </w:pPr>
    </w:p>
    <w:p>
      <w:pPr>
        <w:ind w:left="580" w:right="1520"/>
        <w:spacing w:after="0" w:line="370" w:lineRule="auto"/>
        <w:rPr>
          <w:sz w:val="20"/>
          <w:szCs w:val="20"/>
          <w:color w:val="auto"/>
        </w:rPr>
      </w:pPr>
      <w:r>
        <w:rPr>
          <w:rFonts w:ascii="Arial" w:cs="Arial" w:eastAsia="Arial" w:hAnsi="Arial"/>
          <w:sz w:val="17"/>
          <w:szCs w:val="17"/>
          <w:color w:val="auto"/>
        </w:rPr>
        <w:t>an assessment of our management and their experience in identifying operating companies; general conditions of the securities markets at the time of this offering; and other factors as were deemed relevant.</w:t>
      </w:r>
    </w:p>
    <w:p>
      <w:pPr>
        <w:spacing w:after="0" w:line="54"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30"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b w:val="1"/>
          <w:bCs w:val="1"/>
          <w:color w:val="auto"/>
        </w:rPr>
        <w:t>There is currently no market for our securities and a market for our securities may not develop, which would adversely affect the liquidity and price of our securities.</w:t>
      </w:r>
    </w:p>
    <w:p>
      <w:pPr>
        <w:spacing w:after="0" w:line="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Furthermore, an active trading market for our securities may never develop or, if developed, it may not be sustained. You may be unable to sell your securities unless a market can be established and sustained.</w:t>
      </w:r>
    </w:p>
    <w:p>
      <w:pPr>
        <w:spacing w:after="0" w:line="33"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federal proxy rules require that a proxy statement with respect to a vote on our proposed business combination include historical and/or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24 months from the closing of this offering.</w:t>
      </w:r>
    </w:p>
    <w:p>
      <w:pPr>
        <w:spacing w:after="0" w:line="47" w:lineRule="exact"/>
        <w:rPr>
          <w:sz w:val="20"/>
          <w:szCs w:val="20"/>
          <w:color w:val="auto"/>
        </w:rPr>
      </w:pPr>
    </w:p>
    <w:p>
      <w:pPr>
        <w:ind w:right="340"/>
        <w:spacing w:after="0" w:line="244" w:lineRule="auto"/>
        <w:rPr>
          <w:sz w:val="20"/>
          <w:szCs w:val="20"/>
          <w:color w:val="auto"/>
        </w:rPr>
      </w:pPr>
      <w:r>
        <w:rPr>
          <w:rFonts w:ascii="Arial" w:cs="Arial" w:eastAsia="Arial" w:hAnsi="Arial"/>
          <w:sz w:val="17"/>
          <w:szCs w:val="17"/>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8"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65"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35" w:lineRule="exact"/>
        <w:rPr>
          <w:sz w:val="20"/>
          <w:szCs w:val="20"/>
          <w:color w:val="auto"/>
        </w:rPr>
      </w:pPr>
    </w:p>
    <w:p>
      <w:pPr>
        <w:ind w:right="400"/>
        <w:spacing w:after="0" w:line="249" w:lineRule="auto"/>
        <w:rPr>
          <w:sz w:val="20"/>
          <w:szCs w:val="20"/>
          <w:color w:val="auto"/>
        </w:rPr>
      </w:pPr>
      <w:r>
        <w:rPr>
          <w:rFonts w:ascii="Arial" w:cs="Arial" w:eastAsia="Arial" w:hAnsi="Arial"/>
          <w:sz w:val="17"/>
          <w:szCs w:val="17"/>
          <w:b w:val="1"/>
          <w:bCs w:val="1"/>
          <w:color w:val="auto"/>
        </w:rPr>
        <w:t>Compliance obligations under the Sarbanes-Oxley Act may make it more difficult for us to effectuate a business combination, require substantial financial and management resources, and increase the time and costs of completing an acquisition.</w:t>
      </w:r>
    </w:p>
    <w:p>
      <w:pPr>
        <w:spacing w:after="0" w:line="19" w:lineRule="exact"/>
        <w:rPr>
          <w:sz w:val="20"/>
          <w:szCs w:val="20"/>
          <w:color w:val="auto"/>
        </w:rPr>
      </w:pPr>
    </w:p>
    <w:p>
      <w:pPr>
        <w:ind w:right="20"/>
        <w:spacing w:after="0"/>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48"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color w:val="auto"/>
        </w:rPr>
        <w:t>Because we are incorporated under the laws of the Cayman Islands, you may face difficulties in protecting your interests, and your ability to protect your rights through the U.S. federal courts may be limited.</w:t>
      </w:r>
    </w:p>
    <w:p>
      <w:pPr>
        <w:spacing w:after="0" w:line="1"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16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Our corporate affairs and the rights of shareholders will be governed by our amended and restated memorandum and articles of association, the Companies Law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 For a more detailed discussion of the principal differences between the provisions of the Companies Law applicable to us and, for example, the laws applicable to companies incorporated in the United States and their shareholders, see the section of this prospectus captioned “Description of Securities — Certain Differences in Corporate Law.”</w:t>
      </w:r>
    </w:p>
    <w:p>
      <w:pPr>
        <w:spacing w:after="0" w:line="16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Shareholders of Cayman Islands exempted companies like the Company have no general rights under Cayman Islands law to inspect corporate records or to obtain copies of the register of members of these companies.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4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 xml:space="preserve">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6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b w:val="1"/>
          <w:b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1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amended and restated memorandum and articles of association will contain provisions that may discourage unsolicited takeover proposals that shareholders may consider to be in their best interests. These provisions will include a staggered board of directors, the ability of the board of directors to designate the terms of and issue new series of preference shares, and the fact that prior to the completion of our initial business combination only holders of our Class B ordinary shares, which have been issued to our sponsor, are entitled to vote on the election of directors, which may make more difficult the removal of management and may discourage transactions that otherwise could involve payment of a premium over prevailing market prices for our securities.</w:t>
      </w:r>
    </w:p>
    <w:p>
      <w:pPr>
        <w:spacing w:after="0" w:line="36" w:lineRule="exact"/>
        <w:rPr>
          <w:sz w:val="20"/>
          <w:szCs w:val="20"/>
          <w:color w:val="auto"/>
        </w:rPr>
      </w:pPr>
    </w:p>
    <w:p>
      <w:pPr>
        <w:ind w:right="780"/>
        <w:spacing w:after="0" w:line="267" w:lineRule="auto"/>
        <w:rPr>
          <w:sz w:val="20"/>
          <w:szCs w:val="20"/>
          <w:color w:val="auto"/>
        </w:rPr>
      </w:pPr>
      <w:r>
        <w:rPr>
          <w:rFonts w:ascii="Arial" w:cs="Arial" w:eastAsia="Arial" w:hAnsi="Arial"/>
          <w:sz w:val="17"/>
          <w:szCs w:val="17"/>
          <w:b w:val="1"/>
          <w:bCs w:val="1"/>
          <w:color w:val="auto"/>
        </w:rPr>
        <w:t>Cyber incidents or attacks directed at us could result in information theft, data corruption, operational disruption and/or financial loss.</w:t>
      </w:r>
    </w:p>
    <w:p>
      <w:pPr>
        <w:spacing w:after="0" w:line="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Associated with Acquiring and Operating a Business in Foreign Countries</w:t>
      </w:r>
    </w:p>
    <w:p>
      <w:pPr>
        <w:spacing w:after="0" w:line="75"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b w:val="1"/>
          <w:bCs w:val="1"/>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63"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90" w:lineRule="exact"/>
        <w:rPr>
          <w:sz w:val="20"/>
          <w:szCs w:val="20"/>
          <w:color w:val="auto"/>
        </w:rPr>
      </w:pPr>
    </w:p>
    <w:p>
      <w:pPr>
        <w:ind w:left="580" w:right="2680"/>
        <w:spacing w:after="0" w:line="364" w:lineRule="auto"/>
        <w:rPr>
          <w:sz w:val="20"/>
          <w:szCs w:val="20"/>
          <w:color w:val="auto"/>
        </w:rPr>
      </w:pPr>
      <w:r>
        <w:rPr>
          <w:rFonts w:ascii="Arial" w:cs="Arial" w:eastAsia="Arial" w:hAnsi="Arial"/>
          <w:sz w:val="17"/>
          <w:szCs w:val="17"/>
          <w:color w:val="auto"/>
        </w:rPr>
        <w:t>costs and difficulties inherent in managing cross-border business operations; rules and regulations regarding currency redemption; complex corporate withholding taxes on individuals;</w:t>
      </w:r>
    </w:p>
    <w:p>
      <w:pPr>
        <w:spacing w:after="0" w:line="2" w:lineRule="exact"/>
        <w:rPr>
          <w:sz w:val="20"/>
          <w:szCs w:val="20"/>
          <w:color w:val="auto"/>
        </w:rPr>
      </w:pPr>
    </w:p>
    <w:p>
      <w:pPr>
        <w:ind w:left="580" w:right="2180"/>
        <w:spacing w:after="0" w:line="413" w:lineRule="auto"/>
        <w:rPr>
          <w:sz w:val="20"/>
          <w:szCs w:val="20"/>
          <w:color w:val="auto"/>
        </w:rPr>
      </w:pPr>
      <w:r>
        <w:rPr>
          <w:rFonts w:ascii="Arial" w:cs="Arial" w:eastAsia="Arial" w:hAnsi="Arial"/>
          <w:sz w:val="17"/>
          <w:szCs w:val="17"/>
          <w:color w:val="auto"/>
        </w:rPr>
        <w:t>laws governing the manner in which future business combinations may be effected; exchange listing and/or delisting requirements; tariffs and trade barriers;</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regulations related to customs and import/export matters;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local or regional economic policies and market conditions;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unexpected changes in regulatory requirements;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longer payment cycles;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tax issues, such as tax law changes and variations in tax laws as compared to the United States;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currency fluctuations and exchange controls;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rates of inflation;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challenges in collecting accounts receivable;</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cultural and language differences;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employment regulations;</w:t>
      </w:r>
    </w:p>
    <w:p>
      <w:pPr>
        <w:spacing w:after="0" w:line="102" w:lineRule="exact"/>
        <w:rPr>
          <w:sz w:val="20"/>
          <w:szCs w:val="20"/>
          <w:color w:val="auto"/>
        </w:rPr>
      </w:pPr>
    </w:p>
    <w:p>
      <w:pPr>
        <w:ind w:left="580" w:right="3840"/>
        <w:spacing w:after="0" w:line="364" w:lineRule="auto"/>
        <w:rPr>
          <w:sz w:val="20"/>
          <w:szCs w:val="20"/>
          <w:color w:val="auto"/>
        </w:rPr>
      </w:pPr>
      <w:r>
        <w:rPr>
          <w:rFonts w:ascii="Arial" w:cs="Arial" w:eastAsia="Arial" w:hAnsi="Arial"/>
          <w:sz w:val="17"/>
          <w:szCs w:val="17"/>
          <w:color w:val="auto"/>
        </w:rPr>
        <w:t>underdeveloped or unpredictable legal or regulatory systems; corruption;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protection of intellectual property;</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social unrest, crime, strikes, riots and civil disturbances;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regime changes and political upheaval;</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terrorist attacks, natural disasters and wars; and</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deterioration of political relations with the United States.</w:t>
      </w:r>
    </w:p>
    <w:p>
      <w:pPr>
        <w:spacing w:after="0" w:line="169"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We may not be able to adequately address these additional risks. If we were unable to do so, we may be unable to complete such initial business combination, or, if we complete such combination, our operations might suffer, either of which may adversely impact our business, financial condition and results of operations.</w:t>
      </w:r>
    </w:p>
    <w:p>
      <w:pPr>
        <w:spacing w:after="0" w:line="33"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b w:val="1"/>
          <w:b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1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33"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b w:val="1"/>
          <w:bCs w:val="1"/>
          <w:color w:val="auto"/>
        </w:rPr>
        <w:t>After our initial business combination, substantially all of our assets may be located in a foreign country and substantially all of our revenue may be derived from our operations in such country. Accordingly, our results of operations and prospects will be subject, to a significant extent, to the economic, political and social conditions and government policies, developments and conditions in the country in which we operate.</w:t>
      </w:r>
    </w:p>
    <w:p>
      <w:pPr>
        <w:spacing w:after="0" w:line="2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w:t>
      </w:r>
    </w:p>
    <w:p>
      <w:pPr>
        <w:ind w:right="40"/>
        <w:spacing w:after="0" w:line="238" w:lineRule="auto"/>
        <w:rPr>
          <w:sz w:val="20"/>
          <w:szCs w:val="20"/>
          <w:color w:val="auto"/>
        </w:rPr>
      </w:pPr>
      <w:r>
        <w:rPr>
          <w:rFonts w:ascii="Arial" w:cs="Arial" w:eastAsia="Arial" w:hAnsi="Arial"/>
          <w:sz w:val="17"/>
          <w:szCs w:val="17"/>
          <w:color w:val="auto"/>
        </w:rPr>
        <w:t>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33" w:lineRule="exact"/>
        <w:rPr>
          <w:sz w:val="20"/>
          <w:szCs w:val="20"/>
          <w:color w:val="auto"/>
        </w:rPr>
      </w:pPr>
    </w:p>
    <w:p>
      <w:pPr>
        <w:ind w:right="660"/>
        <w:spacing w:after="0" w:line="267" w:lineRule="auto"/>
        <w:rPr>
          <w:sz w:val="20"/>
          <w:szCs w:val="20"/>
          <w:color w:val="auto"/>
        </w:rPr>
      </w:pPr>
      <w:r>
        <w:rPr>
          <w:rFonts w:ascii="Arial" w:cs="Arial" w:eastAsia="Arial" w:hAnsi="Arial"/>
          <w:sz w:val="17"/>
          <w:szCs w:val="17"/>
          <w:b w:val="1"/>
          <w:bCs w:val="1"/>
          <w:color w:val="auto"/>
        </w:rPr>
        <w:t>Exchange rate fluctuations and currency policies may cause a target business’ ability to succeed in the international markets to be diminished.</w:t>
      </w:r>
    </w:p>
    <w:p>
      <w:pPr>
        <w:spacing w:after="0" w:line="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35"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1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9"/>
        <w:spacing w:after="0" w:line="243" w:lineRule="auto"/>
        <w:rPr>
          <w:sz w:val="20"/>
          <w:szCs w:val="20"/>
          <w:color w:val="auto"/>
        </w:rPr>
      </w:pPr>
      <w:r>
        <w:rPr>
          <w:rFonts w:ascii="Arial" w:cs="Arial" w:eastAsia="Arial" w:hAnsi="Arial"/>
          <w:sz w:val="17"/>
          <w:szCs w:val="17"/>
          <w:color w:val="auto"/>
        </w:rPr>
        <w:t>as certain in implementation and interpretation as in the United States. The inability to enforce or obtain a remedy under any of our future agreements could result in a significant loss of business, business opportunities or capital.</w:t>
      </w:r>
    </w:p>
    <w:p>
      <w:pPr>
        <w:spacing w:after="0" w:line="43" w:lineRule="exact"/>
        <w:rPr>
          <w:sz w:val="20"/>
          <w:szCs w:val="20"/>
          <w:color w:val="auto"/>
        </w:rPr>
      </w:pPr>
    </w:p>
    <w:p>
      <w:pPr>
        <w:ind w:right="19"/>
        <w:spacing w:after="0" w:line="260" w:lineRule="auto"/>
        <w:rPr>
          <w:sz w:val="20"/>
          <w:szCs w:val="20"/>
          <w:color w:val="auto"/>
        </w:rPr>
      </w:pPr>
      <w:r>
        <w:rPr>
          <w:rFonts w:ascii="Arial" w:cs="Arial" w:eastAsia="Arial" w:hAnsi="Arial"/>
          <w:sz w:val="17"/>
          <w:szCs w:val="17"/>
          <w:b w:val="1"/>
          <w:bCs w:val="1"/>
          <w:color w:val="auto"/>
        </w:rPr>
        <w:t>We are subject to changing law and regulations regarding regulatory matters, corporate governance and public disclosure that have increased both our costs and the risk of non-compliance.</w:t>
      </w:r>
    </w:p>
    <w:p>
      <w:pPr>
        <w:spacing w:after="0" w:line="1" w:lineRule="exact"/>
        <w:rPr>
          <w:sz w:val="20"/>
          <w:szCs w:val="20"/>
          <w:color w:val="auto"/>
        </w:rPr>
      </w:pPr>
    </w:p>
    <w:p>
      <w:pPr>
        <w:ind w:right="39"/>
        <w:spacing w:after="0" w:line="235" w:lineRule="auto"/>
        <w:rPr>
          <w:sz w:val="20"/>
          <w:szCs w:val="20"/>
          <w:color w:val="auto"/>
        </w:rPr>
      </w:pPr>
      <w:r>
        <w:rPr>
          <w:rFonts w:ascii="Arial" w:cs="Arial" w:eastAsia="Arial" w:hAnsi="Arial"/>
          <w:sz w:val="17"/>
          <w:szCs w:val="17"/>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seeking a business combination target.</w:t>
      </w:r>
    </w:p>
    <w:p>
      <w:pPr>
        <w:spacing w:after="0" w:line="163" w:lineRule="exact"/>
        <w:rPr>
          <w:sz w:val="20"/>
          <w:szCs w:val="20"/>
          <w:color w:val="auto"/>
        </w:rPr>
      </w:pPr>
    </w:p>
    <w:p>
      <w:pPr>
        <w:ind w:right="59"/>
        <w:spacing w:after="0" w:line="235" w:lineRule="auto"/>
        <w:rPr>
          <w:sz w:val="20"/>
          <w:szCs w:val="20"/>
          <w:color w:val="auto"/>
        </w:rPr>
      </w:pPr>
      <w:r>
        <w:rPr>
          <w:rFonts w:ascii="Arial" w:cs="Arial" w:eastAsia="Arial" w:hAnsi="Arial"/>
          <w:sz w:val="17"/>
          <w:szCs w:val="17"/>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94" w:lineRule="exact"/>
        <w:rPr>
          <w:sz w:val="20"/>
          <w:szCs w:val="20"/>
          <w:color w:val="auto"/>
        </w:rPr>
      </w:pPr>
    </w:p>
    <w:p>
      <w:pPr>
        <w:ind w:left="580" w:right="3580"/>
        <w:spacing w:after="0" w:line="364" w:lineRule="auto"/>
        <w:rPr>
          <w:sz w:val="20"/>
          <w:szCs w:val="20"/>
          <w:color w:val="auto"/>
        </w:rPr>
      </w:pPr>
      <w:r>
        <w:rPr>
          <w:rFonts w:ascii="Arial" w:cs="Arial" w:eastAsia="Arial" w:hAnsi="Arial"/>
          <w:sz w:val="17"/>
          <w:szCs w:val="17"/>
          <w:color w:val="auto"/>
        </w:rPr>
        <w:t>our ability to select an appropriate target business or businesses; our ability to complete our initial business combination;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expectations around the performance of a prospective target business or businesses;</w:t>
      </w:r>
    </w:p>
    <w:p>
      <w:pPr>
        <w:spacing w:after="0" w:line="102" w:lineRule="exact"/>
        <w:rPr>
          <w:sz w:val="20"/>
          <w:szCs w:val="20"/>
          <w:color w:val="auto"/>
        </w:rPr>
      </w:pPr>
    </w:p>
    <w:p>
      <w:pPr>
        <w:ind w:left="580" w:right="160"/>
        <w:spacing w:after="0" w:line="243" w:lineRule="auto"/>
        <w:rPr>
          <w:sz w:val="20"/>
          <w:szCs w:val="20"/>
          <w:color w:val="auto"/>
        </w:rPr>
      </w:pPr>
      <w:r>
        <w:rPr>
          <w:rFonts w:ascii="Arial" w:cs="Arial" w:eastAsia="Arial" w:hAnsi="Arial"/>
          <w:sz w:val="17"/>
          <w:szCs w:val="17"/>
          <w:color w:val="auto"/>
        </w:rPr>
        <w:t>our success in retaining or recruiting, or changes required in, our officers, key employees or directors following our initial business combination;</w:t>
      </w:r>
    </w:p>
    <w:p>
      <w:pPr>
        <w:spacing w:after="0" w:line="90" w:lineRule="exact"/>
        <w:rPr>
          <w:sz w:val="20"/>
          <w:szCs w:val="20"/>
          <w:color w:val="auto"/>
        </w:rPr>
      </w:pPr>
    </w:p>
    <w:p>
      <w:pPr>
        <w:ind w:left="580" w:right="60"/>
        <w:spacing w:after="0" w:line="243" w:lineRule="auto"/>
        <w:rPr>
          <w:sz w:val="20"/>
          <w:szCs w:val="20"/>
          <w:color w:val="auto"/>
        </w:rPr>
      </w:pPr>
      <w:r>
        <w:rPr>
          <w:rFonts w:ascii="Arial" w:cs="Arial" w:eastAsia="Arial" w:hAnsi="Arial"/>
          <w:sz w:val="17"/>
          <w:szCs w:val="17"/>
          <w:color w:val="auto"/>
        </w:rPr>
        <w:t>our officers and directors allocating their time to other businesses and potentially having conflicts of interest with our business or in approving our initial business combination;</w:t>
      </w:r>
    </w:p>
    <w:p>
      <w:pPr>
        <w:spacing w:after="0" w:line="90" w:lineRule="exact"/>
        <w:rPr>
          <w:sz w:val="20"/>
          <w:szCs w:val="20"/>
          <w:color w:val="auto"/>
        </w:rPr>
      </w:pPr>
    </w:p>
    <w:p>
      <w:pPr>
        <w:ind w:left="580" w:right="1460"/>
        <w:spacing w:after="0" w:line="364" w:lineRule="auto"/>
        <w:rPr>
          <w:sz w:val="20"/>
          <w:szCs w:val="20"/>
          <w:color w:val="auto"/>
        </w:rPr>
      </w:pPr>
      <w:r>
        <w:rPr>
          <w:rFonts w:ascii="Arial" w:cs="Arial" w:eastAsia="Arial" w:hAnsi="Arial"/>
          <w:sz w:val="17"/>
          <w:szCs w:val="17"/>
          <w:color w:val="auto"/>
        </w:rPr>
        <w:t>our potential ability to obtain additional financing to complete our initial business combination; our pool of prospective target businesses;</w:t>
      </w:r>
    </w:p>
    <w:p>
      <w:pPr>
        <w:spacing w:after="0" w:line="1" w:lineRule="exact"/>
        <w:rPr>
          <w:sz w:val="20"/>
          <w:szCs w:val="20"/>
          <w:color w:val="auto"/>
        </w:rPr>
      </w:pPr>
    </w:p>
    <w:p>
      <w:pPr>
        <w:ind w:left="580" w:right="600"/>
        <w:spacing w:after="0" w:line="243" w:lineRule="auto"/>
        <w:rPr>
          <w:sz w:val="20"/>
          <w:szCs w:val="20"/>
          <w:color w:val="auto"/>
        </w:rPr>
      </w:pPr>
      <w:r>
        <w:rPr>
          <w:rFonts w:ascii="Arial" w:cs="Arial" w:eastAsia="Arial" w:hAnsi="Arial"/>
          <w:sz w:val="17"/>
          <w:szCs w:val="17"/>
          <w:color w:val="auto"/>
        </w:rPr>
        <w:t>our ability to consummate an initial business combination due to the uncertainty resulting from the recent COVID-19 pandemic;</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ability of our officers and directors to generate a number of potential business combination opportunities;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public securities’ potential liquidity and trading;</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lack of a market for our securities;</w:t>
      </w:r>
    </w:p>
    <w:p>
      <w:pPr>
        <w:spacing w:after="0" w:line="102" w:lineRule="exact"/>
        <w:rPr>
          <w:sz w:val="20"/>
          <w:szCs w:val="20"/>
          <w:color w:val="auto"/>
        </w:rPr>
      </w:pPr>
    </w:p>
    <w:p>
      <w:pPr>
        <w:ind w:left="580" w:right="360"/>
        <w:spacing w:after="0" w:line="243" w:lineRule="auto"/>
        <w:rPr>
          <w:sz w:val="20"/>
          <w:szCs w:val="20"/>
          <w:color w:val="auto"/>
        </w:rPr>
      </w:pPr>
      <w:r>
        <w:rPr>
          <w:rFonts w:ascii="Arial" w:cs="Arial" w:eastAsia="Arial" w:hAnsi="Arial"/>
          <w:sz w:val="17"/>
          <w:szCs w:val="17"/>
          <w:color w:val="auto"/>
        </w:rPr>
        <w:t>the use of proceeds not held in the trust account or available to us from interest income on the trust account balance;</w:t>
      </w:r>
    </w:p>
    <w:p>
      <w:pPr>
        <w:spacing w:after="0" w:line="90" w:lineRule="exact"/>
        <w:rPr>
          <w:sz w:val="20"/>
          <w:szCs w:val="20"/>
          <w:color w:val="auto"/>
        </w:rPr>
      </w:pPr>
    </w:p>
    <w:p>
      <w:pPr>
        <w:ind w:left="580" w:right="3800"/>
        <w:spacing w:after="0" w:line="375" w:lineRule="auto"/>
        <w:rPr>
          <w:sz w:val="20"/>
          <w:szCs w:val="20"/>
          <w:color w:val="auto"/>
        </w:rPr>
      </w:pPr>
      <w:r>
        <w:rPr>
          <w:rFonts w:ascii="Arial" w:cs="Arial" w:eastAsia="Arial" w:hAnsi="Arial"/>
          <w:sz w:val="17"/>
          <w:szCs w:val="17"/>
          <w:color w:val="auto"/>
        </w:rPr>
        <w:t>the trust account not being subject to claims of third parties; or our financial performance following this offering.</w:t>
      </w:r>
    </w:p>
    <w:p>
      <w:pPr>
        <w:spacing w:after="0" w:line="5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88" w:lineRule="exact"/>
        <w:rPr>
          <w:sz w:val="20"/>
          <w:szCs w:val="20"/>
          <w:color w:val="auto"/>
        </w:rPr>
      </w:pPr>
    </w:p>
    <w:p>
      <w:pPr>
        <w:jc w:val="both"/>
        <w:ind w:right="220"/>
        <w:spacing w:after="0" w:line="238" w:lineRule="auto"/>
        <w:rPr>
          <w:sz w:val="20"/>
          <w:szCs w:val="20"/>
          <w:color w:val="auto"/>
        </w:rPr>
      </w:pPr>
      <w:r>
        <w:rPr>
          <w:rFonts w:ascii="Arial" w:cs="Arial" w:eastAsia="Arial" w:hAnsi="Arial"/>
          <w:sz w:val="17"/>
          <w:szCs w:val="17"/>
          <w:color w:val="auto"/>
        </w:rPr>
        <w:t>We are offering 13,000,000 Class A ordinary shares at an offering price of $10.00 per share. We estimate that the net proceeds of this offering, together with the funds we will receive from the sale of the private placement shares, will be used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57607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WITHOUT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9"/>
              </w:rPr>
              <w:t>OVER-</w:t>
            </w:r>
          </w:p>
        </w:tc>
      </w:tr>
      <w:tr>
        <w:trPr>
          <w:trHeight w:val="162"/>
        </w:trPr>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9"/>
              </w:rPr>
              <w:t>OVER-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ALLOTMENT</w:t>
            </w:r>
          </w:p>
        </w:tc>
      </w:tr>
      <w:tr>
        <w:trPr>
          <w:trHeight w:val="162"/>
        </w:trPr>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ALLOTMENT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OPTION</w:t>
            </w:r>
          </w:p>
        </w:tc>
      </w:tr>
      <w:tr>
        <w:trPr>
          <w:trHeight w:val="190"/>
        </w:trPr>
        <w:tc>
          <w:tcPr>
            <w:tcW w:w="6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EXERCISED</w:t>
            </w:r>
          </w:p>
        </w:tc>
      </w:tr>
      <w:tr>
        <w:trPr>
          <w:trHeight w:val="53"/>
        </w:trPr>
        <w:tc>
          <w:tcPr>
            <w:tcW w:w="63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91"/>
        </w:trPr>
        <w:tc>
          <w:tcPr>
            <w:tcW w:w="6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239"/>
        </w:trPr>
        <w:tc>
          <w:tcPr>
            <w:tcW w:w="6380" w:type="dxa"/>
            <w:vAlign w:val="bottom"/>
          </w:tcPr>
          <w:p>
            <w:pPr>
              <w:spacing w:after="0"/>
              <w:rPr>
                <w:sz w:val="20"/>
                <w:szCs w:val="20"/>
                <w:color w:val="auto"/>
              </w:rPr>
            </w:pPr>
            <w:r>
              <w:rPr>
                <w:rFonts w:ascii="Arial" w:cs="Arial" w:eastAsia="Arial" w:hAnsi="Arial"/>
                <w:sz w:val="17"/>
                <w:szCs w:val="17"/>
                <w:b w:val="1"/>
                <w:bCs w:val="1"/>
                <w:color w:val="auto"/>
              </w:rPr>
              <w:t>Gross proceeds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1"/>
        </w:trPr>
        <w:tc>
          <w:tcPr>
            <w:tcW w:w="63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380" w:type="dxa"/>
            <w:vAlign w:val="bottom"/>
            <w:shd w:val="clear" w:color="auto" w:fill="CCEEFF"/>
          </w:tcPr>
          <w:p>
            <w:pPr>
              <w:spacing w:after="0" w:line="270" w:lineRule="exact"/>
              <w:rPr>
                <w:sz w:val="20"/>
                <w:szCs w:val="20"/>
                <w:color w:val="auto"/>
              </w:rPr>
            </w:pPr>
            <w:r>
              <w:rPr>
                <w:rFonts w:ascii="Arial" w:cs="Arial" w:eastAsia="Arial" w:hAnsi="Arial"/>
                <w:sz w:val="17"/>
                <w:szCs w:val="17"/>
                <w:color w:val="auto"/>
              </w:rPr>
              <w:t>Gross proceeds from Class A ordinary shares offered to public</w:t>
            </w:r>
            <w:r>
              <w:rPr>
                <w:rFonts w:ascii="Arial" w:cs="Arial" w:eastAsia="Arial" w:hAnsi="Arial"/>
                <w:sz w:val="28"/>
                <w:szCs w:val="28"/>
                <w:color w:val="auto"/>
                <w:vertAlign w:val="superscript"/>
              </w:rPr>
              <w:t>(1)</w:t>
            </w:r>
          </w:p>
        </w:tc>
        <w:tc>
          <w:tcPr>
            <w:tcW w:w="10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9"/>
              </w:rPr>
              <w:t>$130,000,000</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w w:val="99"/>
              </w:rPr>
              <w:t>$149,500,000</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7"/>
                <w:szCs w:val="17"/>
                <w:color w:val="auto"/>
              </w:rPr>
              <w:t>Gross proceeds from sale of the private placement shares offered in a private</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95"/>
        </w:trPr>
        <w:tc>
          <w:tcPr>
            <w:tcW w:w="6380" w:type="dxa"/>
            <w:vAlign w:val="bottom"/>
          </w:tcPr>
          <w:p>
            <w:pPr>
              <w:ind w:left="180"/>
              <w:spacing w:after="0"/>
              <w:rPr>
                <w:sz w:val="20"/>
                <w:szCs w:val="20"/>
                <w:color w:val="auto"/>
              </w:rPr>
            </w:pPr>
            <w:r>
              <w:rPr>
                <w:rFonts w:ascii="Arial" w:cs="Arial" w:eastAsia="Arial" w:hAnsi="Arial"/>
                <w:sz w:val="17"/>
                <w:szCs w:val="17"/>
                <w:color w:val="auto"/>
              </w:rPr>
              <w:t>placement to the sponsor</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4,600,000</w:t>
            </w:r>
          </w:p>
        </w:tc>
        <w:tc>
          <w:tcPr>
            <w:tcW w:w="200" w:type="dxa"/>
            <w:vAlign w:val="bottom"/>
          </w:tcPr>
          <w:p>
            <w:pPr>
              <w:spacing w:after="0"/>
              <w:rPr>
                <w:sz w:val="16"/>
                <w:szCs w:val="16"/>
                <w:color w:val="auto"/>
              </w:rPr>
            </w:pPr>
          </w:p>
        </w:tc>
        <w:tc>
          <w:tcPr>
            <w:tcW w:w="2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4,990,000</w:t>
            </w:r>
          </w:p>
        </w:tc>
        <w:tc>
          <w:tcPr>
            <w:tcW w:w="200" w:type="dxa"/>
            <w:vAlign w:val="bottom"/>
          </w:tcPr>
          <w:p>
            <w:pPr>
              <w:spacing w:after="0"/>
              <w:rPr>
                <w:sz w:val="16"/>
                <w:szCs w:val="16"/>
                <w:color w:val="auto"/>
              </w:rPr>
            </w:pPr>
          </w:p>
        </w:tc>
      </w:tr>
      <w:tr>
        <w:trPr>
          <w:trHeight w:val="48"/>
        </w:trPr>
        <w:tc>
          <w:tcPr>
            <w:tcW w:w="63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18"/>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Total gross proceeds</w:t>
            </w:r>
          </w:p>
        </w:tc>
        <w:tc>
          <w:tcPr>
            <w:tcW w:w="1060" w:type="dxa"/>
            <w:vAlign w:val="bottom"/>
            <w:gridSpan w:val="3"/>
            <w:shd w:val="clear" w:color="auto" w:fill="CCEEFF"/>
          </w:tcPr>
          <w:p>
            <w:pPr>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134,600,000</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ind w:left="140"/>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154,490,000</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310"/>
        </w:trPr>
        <w:tc>
          <w:tcPr>
            <w:tcW w:w="6380" w:type="dxa"/>
            <w:vAlign w:val="bottom"/>
            <w:tcBorders>
              <w:top w:val="single" w:sz="8" w:color="CCEEFF"/>
            </w:tcBorders>
          </w:tcPr>
          <w:p>
            <w:pPr>
              <w:spacing w:after="0" w:line="310" w:lineRule="exact"/>
              <w:rPr>
                <w:sz w:val="20"/>
                <w:szCs w:val="20"/>
                <w:color w:val="auto"/>
              </w:rPr>
            </w:pPr>
            <w:r>
              <w:rPr>
                <w:rFonts w:ascii="Arial" w:cs="Arial" w:eastAsia="Arial" w:hAnsi="Arial"/>
                <w:sz w:val="17"/>
                <w:szCs w:val="17"/>
                <w:b w:val="1"/>
                <w:bCs w:val="1"/>
                <w:color w:val="auto"/>
              </w:rPr>
              <w:t>Estimated Offering expenses</w:t>
            </w:r>
            <w:r>
              <w:rPr>
                <w:rFonts w:ascii="Arial" w:cs="Arial" w:eastAsia="Arial" w:hAnsi="Arial"/>
                <w:sz w:val="28"/>
                <w:szCs w:val="28"/>
                <w:b w:val="1"/>
                <w:bCs w:val="1"/>
                <w:color w:val="auto"/>
                <w:vertAlign w:val="superscript"/>
              </w:rPr>
              <w:t>(2)</w:t>
            </w: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r>
      <w:tr>
        <w:trPr>
          <w:trHeight w:val="222"/>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Underwriting commissions (2.0% of gross proceeds from shares offered to public,</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7"/>
        </w:trPr>
        <w:tc>
          <w:tcPr>
            <w:tcW w:w="6380" w:type="dxa"/>
            <w:vAlign w:val="bottom"/>
            <w:shd w:val="clear" w:color="auto" w:fill="CCEEFF"/>
          </w:tcPr>
          <w:p>
            <w:pPr>
              <w:ind w:left="180"/>
              <w:spacing w:after="0" w:line="237" w:lineRule="exact"/>
              <w:rPr>
                <w:sz w:val="20"/>
                <w:szCs w:val="20"/>
                <w:color w:val="auto"/>
              </w:rPr>
            </w:pPr>
            <w:r>
              <w:rPr>
                <w:rFonts w:ascii="Arial" w:cs="Arial" w:eastAsia="Arial" w:hAnsi="Arial"/>
                <w:sz w:val="17"/>
                <w:szCs w:val="17"/>
                <w:color w:val="auto"/>
              </w:rPr>
              <w:t>excluding deferred portion)</w:t>
            </w:r>
            <w:r>
              <w:rPr>
                <w:rFonts w:ascii="Arial" w:cs="Arial" w:eastAsia="Arial" w:hAnsi="Arial"/>
                <w:sz w:val="27"/>
                <w:szCs w:val="27"/>
                <w:color w:val="auto"/>
                <w:vertAlign w:val="superscript"/>
              </w:rPr>
              <w:t>(3)</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2,600,000</w:t>
            </w:r>
          </w:p>
        </w:tc>
        <w:tc>
          <w:tcPr>
            <w:tcW w:w="2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2,990,000</w:t>
            </w:r>
          </w:p>
        </w:tc>
        <w:tc>
          <w:tcPr>
            <w:tcW w:w="200" w:type="dxa"/>
            <w:vAlign w:val="bottom"/>
            <w:shd w:val="clear" w:color="auto" w:fill="CCEEFF"/>
          </w:tcPr>
          <w:p>
            <w:pPr>
              <w:spacing w:after="0"/>
              <w:rPr>
                <w:sz w:val="20"/>
                <w:szCs w:val="20"/>
                <w:color w:val="auto"/>
              </w:rPr>
            </w:pPr>
          </w:p>
        </w:tc>
      </w:tr>
      <w:tr>
        <w:trPr>
          <w:trHeight w:val="239"/>
        </w:trPr>
        <w:tc>
          <w:tcPr>
            <w:tcW w:w="6380" w:type="dxa"/>
            <w:vAlign w:val="bottom"/>
          </w:tcPr>
          <w:p>
            <w:pPr>
              <w:spacing w:after="0"/>
              <w:rPr>
                <w:sz w:val="20"/>
                <w:szCs w:val="20"/>
                <w:color w:val="auto"/>
              </w:rPr>
            </w:pPr>
            <w:r>
              <w:rPr>
                <w:rFonts w:ascii="Arial" w:cs="Arial" w:eastAsia="Arial" w:hAnsi="Arial"/>
                <w:sz w:val="17"/>
                <w:szCs w:val="17"/>
                <w:color w:val="auto"/>
              </w:rPr>
              <w:t>Legal fees and expenses</w:t>
            </w:r>
          </w:p>
        </w:tc>
        <w:tc>
          <w:tcPr>
            <w:tcW w:w="1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325,000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325,000</w:t>
            </w:r>
          </w:p>
        </w:tc>
        <w:tc>
          <w:tcPr>
            <w:tcW w:w="200" w:type="dxa"/>
            <w:vAlign w:val="bottom"/>
          </w:tcPr>
          <w:p>
            <w:pPr>
              <w:spacing w:after="0"/>
              <w:rPr>
                <w:sz w:val="20"/>
                <w:szCs w:val="20"/>
                <w:color w:val="auto"/>
              </w:rPr>
            </w:pPr>
          </w:p>
        </w:tc>
      </w:tr>
      <w:tr>
        <w:trPr>
          <w:trHeight w:val="31"/>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Printing and engraving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30,000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30,000</w:t>
            </w:r>
          </w:p>
        </w:tc>
      </w:tr>
      <w:tr>
        <w:trPr>
          <w:trHeight w:val="239"/>
        </w:trPr>
        <w:tc>
          <w:tcPr>
            <w:tcW w:w="6380" w:type="dxa"/>
            <w:vAlign w:val="bottom"/>
          </w:tcPr>
          <w:p>
            <w:pPr>
              <w:spacing w:after="0"/>
              <w:rPr>
                <w:sz w:val="20"/>
                <w:szCs w:val="20"/>
                <w:color w:val="auto"/>
              </w:rPr>
            </w:pPr>
            <w:r>
              <w:rPr>
                <w:rFonts w:ascii="Arial" w:cs="Arial" w:eastAsia="Arial" w:hAnsi="Arial"/>
                <w:sz w:val="17"/>
                <w:szCs w:val="17"/>
                <w:color w:val="auto"/>
              </w:rPr>
              <w:t>Accounting fees and expenses</w:t>
            </w:r>
          </w:p>
        </w:tc>
        <w:tc>
          <w:tcPr>
            <w:tcW w:w="140" w:type="dxa"/>
            <w:vAlign w:val="bottom"/>
          </w:tcPr>
          <w:p>
            <w:pPr>
              <w:spacing w:after="0"/>
              <w:rPr>
                <w:sz w:val="20"/>
                <w:szCs w:val="20"/>
                <w:color w:val="auto"/>
              </w:rPr>
            </w:pPr>
          </w:p>
        </w:tc>
        <w:tc>
          <w:tcPr>
            <w:tcW w:w="1140" w:type="dxa"/>
            <w:vAlign w:val="bottom"/>
            <w:gridSpan w:val="4"/>
          </w:tcPr>
          <w:p>
            <w:pPr>
              <w:jc w:val="right"/>
              <w:ind w:right="200"/>
              <w:spacing w:after="0"/>
              <w:rPr>
                <w:sz w:val="20"/>
                <w:szCs w:val="20"/>
                <w:color w:val="auto"/>
              </w:rPr>
            </w:pPr>
            <w:r>
              <w:rPr>
                <w:rFonts w:ascii="Arial" w:cs="Arial" w:eastAsia="Arial" w:hAnsi="Arial"/>
                <w:sz w:val="17"/>
                <w:szCs w:val="17"/>
                <w:color w:val="auto"/>
              </w:rPr>
              <w:t>60,000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4"/>
          </w:tcPr>
          <w:p>
            <w:pPr>
              <w:jc w:val="right"/>
              <w:ind w:right="200"/>
              <w:spacing w:after="0"/>
              <w:rPr>
                <w:sz w:val="20"/>
                <w:szCs w:val="20"/>
                <w:color w:val="auto"/>
              </w:rPr>
            </w:pPr>
            <w:r>
              <w:rPr>
                <w:rFonts w:ascii="Arial" w:cs="Arial" w:eastAsia="Arial" w:hAnsi="Arial"/>
                <w:sz w:val="17"/>
                <w:szCs w:val="17"/>
                <w:color w:val="auto"/>
              </w:rPr>
              <w:t>60,000</w:t>
            </w:r>
          </w:p>
        </w:tc>
      </w:tr>
      <w:tr>
        <w:trPr>
          <w:trHeight w:val="31"/>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SEC/FINRA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42,330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42,330</w:t>
            </w:r>
          </w:p>
        </w:tc>
      </w:tr>
      <w:tr>
        <w:trPr>
          <w:trHeight w:val="239"/>
        </w:trPr>
        <w:tc>
          <w:tcPr>
            <w:tcW w:w="6380" w:type="dxa"/>
            <w:vAlign w:val="bottom"/>
          </w:tcPr>
          <w:p>
            <w:pPr>
              <w:spacing w:after="0"/>
              <w:rPr>
                <w:sz w:val="20"/>
                <w:szCs w:val="20"/>
                <w:color w:val="auto"/>
              </w:rPr>
            </w:pPr>
            <w:r>
              <w:rPr>
                <w:rFonts w:ascii="Arial" w:cs="Arial" w:eastAsia="Arial" w:hAnsi="Arial"/>
                <w:sz w:val="17"/>
                <w:szCs w:val="17"/>
                <w:color w:val="auto"/>
              </w:rPr>
              <w:t>Travel and road show</w:t>
            </w:r>
          </w:p>
        </w:tc>
        <w:tc>
          <w:tcPr>
            <w:tcW w:w="140" w:type="dxa"/>
            <w:vAlign w:val="bottom"/>
          </w:tcPr>
          <w:p>
            <w:pPr>
              <w:spacing w:after="0"/>
              <w:rPr>
                <w:sz w:val="20"/>
                <w:szCs w:val="20"/>
                <w:color w:val="auto"/>
              </w:rPr>
            </w:pPr>
          </w:p>
        </w:tc>
        <w:tc>
          <w:tcPr>
            <w:tcW w:w="1140" w:type="dxa"/>
            <w:vAlign w:val="bottom"/>
            <w:gridSpan w:val="4"/>
          </w:tcPr>
          <w:p>
            <w:pPr>
              <w:jc w:val="right"/>
              <w:ind w:right="200"/>
              <w:spacing w:after="0"/>
              <w:rPr>
                <w:sz w:val="20"/>
                <w:szCs w:val="20"/>
                <w:color w:val="auto"/>
              </w:rPr>
            </w:pPr>
            <w:r>
              <w:rPr>
                <w:rFonts w:ascii="Arial" w:cs="Arial" w:eastAsia="Arial" w:hAnsi="Arial"/>
                <w:sz w:val="17"/>
                <w:szCs w:val="17"/>
                <w:color w:val="auto"/>
              </w:rPr>
              <w:t>20,000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4"/>
          </w:tcPr>
          <w:p>
            <w:pPr>
              <w:jc w:val="right"/>
              <w:ind w:right="200"/>
              <w:spacing w:after="0"/>
              <w:rPr>
                <w:sz w:val="20"/>
                <w:szCs w:val="20"/>
                <w:color w:val="auto"/>
              </w:rPr>
            </w:pPr>
            <w:r>
              <w:rPr>
                <w:rFonts w:ascii="Arial" w:cs="Arial" w:eastAsia="Arial" w:hAnsi="Arial"/>
                <w:sz w:val="17"/>
                <w:szCs w:val="17"/>
                <w:color w:val="auto"/>
              </w:rPr>
              <w:t>20,000</w:t>
            </w:r>
          </w:p>
        </w:tc>
      </w:tr>
      <w:tr>
        <w:trPr>
          <w:trHeight w:val="31"/>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Nasdaq listing and filing fees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55,000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55,000</w:t>
            </w:r>
          </w:p>
        </w:tc>
      </w:tr>
      <w:tr>
        <w:trPr>
          <w:trHeight w:val="239"/>
        </w:trPr>
        <w:tc>
          <w:tcPr>
            <w:tcW w:w="6380" w:type="dxa"/>
            <w:vAlign w:val="bottom"/>
          </w:tcPr>
          <w:p>
            <w:pPr>
              <w:spacing w:after="0"/>
              <w:rPr>
                <w:sz w:val="20"/>
                <w:szCs w:val="20"/>
                <w:color w:val="auto"/>
              </w:rPr>
            </w:pPr>
            <w:r>
              <w:rPr>
                <w:rFonts w:ascii="Arial" w:cs="Arial" w:eastAsia="Arial" w:hAnsi="Arial"/>
                <w:sz w:val="17"/>
                <w:szCs w:val="17"/>
                <w:color w:val="auto"/>
              </w:rPr>
              <w:t>Director &amp; Officer liability insurance premiums</w:t>
            </w:r>
          </w:p>
        </w:tc>
        <w:tc>
          <w:tcPr>
            <w:tcW w:w="1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125,000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125,000</w:t>
            </w:r>
          </w:p>
        </w:tc>
        <w:tc>
          <w:tcPr>
            <w:tcW w:w="200" w:type="dxa"/>
            <w:vAlign w:val="bottom"/>
          </w:tcPr>
          <w:p>
            <w:pPr>
              <w:spacing w:after="0"/>
              <w:rPr>
                <w:sz w:val="20"/>
                <w:szCs w:val="20"/>
                <w:color w:val="auto"/>
              </w:rPr>
            </w:pPr>
          </w:p>
        </w:tc>
      </w:tr>
      <w:tr>
        <w:trPr>
          <w:trHeight w:val="31"/>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82"/>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Miscellaneous</w:t>
            </w:r>
          </w:p>
        </w:tc>
        <w:tc>
          <w:tcPr>
            <w:tcW w:w="1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342,670</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342,670</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56"/>
        </w:trPr>
        <w:tc>
          <w:tcPr>
            <w:tcW w:w="63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Total estimated offering expenses (excluding underwriting commissions)</w:t>
            </w:r>
          </w:p>
        </w:tc>
        <w:tc>
          <w:tcPr>
            <w:tcW w:w="1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7"/>
                <w:szCs w:val="17"/>
                <w:color w:val="auto"/>
              </w:rPr>
              <w:t>1,000,000</w:t>
            </w:r>
          </w:p>
        </w:tc>
        <w:tc>
          <w:tcPr>
            <w:tcW w:w="20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gridSpan w:val="2"/>
          </w:tcPr>
          <w:p>
            <w:pPr>
              <w:ind w:left="140"/>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7"/>
                <w:szCs w:val="17"/>
                <w:color w:val="auto"/>
              </w:rPr>
              <w:t>1,000,000</w:t>
            </w:r>
          </w:p>
        </w:tc>
        <w:tc>
          <w:tcPr>
            <w:tcW w:w="200" w:type="dxa"/>
            <w:vAlign w:val="bottom"/>
            <w:tcBorders>
              <w:top w:val="single" w:sz="8" w:color="CCEEFF"/>
            </w:tcBorders>
          </w:tcPr>
          <w:p>
            <w:pPr>
              <w:spacing w:after="0"/>
              <w:rPr>
                <w:sz w:val="22"/>
                <w:szCs w:val="22"/>
                <w:color w:val="auto"/>
              </w:rPr>
            </w:pPr>
          </w:p>
        </w:tc>
      </w:tr>
      <w:tr>
        <w:trPr>
          <w:trHeight w:val="48"/>
        </w:trPr>
        <w:tc>
          <w:tcPr>
            <w:tcW w:w="63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97"/>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Proceeds after estimated offering expenses</w:t>
            </w:r>
          </w:p>
        </w:tc>
        <w:tc>
          <w:tcPr>
            <w:tcW w:w="1060" w:type="dxa"/>
            <w:vAlign w:val="bottom"/>
            <w:gridSpan w:val="3"/>
            <w:shd w:val="clear" w:color="auto" w:fill="CCEEFF"/>
          </w:tcPr>
          <w:p>
            <w:pPr>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131,000,000</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ind w:left="140"/>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150,500,000</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20"/>
        </w:trPr>
        <w:tc>
          <w:tcPr>
            <w:tcW w:w="6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310"/>
        </w:trPr>
        <w:tc>
          <w:tcPr>
            <w:tcW w:w="6380" w:type="dxa"/>
            <w:vAlign w:val="bottom"/>
          </w:tcPr>
          <w:p>
            <w:pPr>
              <w:spacing w:after="0" w:line="310" w:lineRule="exact"/>
              <w:rPr>
                <w:sz w:val="20"/>
                <w:szCs w:val="20"/>
                <w:color w:val="auto"/>
              </w:rPr>
            </w:pPr>
            <w:r>
              <w:rPr>
                <w:rFonts w:ascii="Arial" w:cs="Arial" w:eastAsia="Arial" w:hAnsi="Arial"/>
                <w:sz w:val="17"/>
                <w:szCs w:val="17"/>
                <w:color w:val="auto"/>
              </w:rPr>
              <w:t>Held in trust account</w:t>
            </w:r>
            <w:r>
              <w:rPr>
                <w:rFonts w:ascii="Arial" w:cs="Arial" w:eastAsia="Arial" w:hAnsi="Arial"/>
                <w:sz w:val="28"/>
                <w:szCs w:val="28"/>
                <w:color w:val="auto"/>
                <w:vertAlign w:val="superscript"/>
              </w:rPr>
              <w:t>(3)</w:t>
            </w:r>
          </w:p>
        </w:tc>
        <w:tc>
          <w:tcPr>
            <w:tcW w:w="1060" w:type="dxa"/>
            <w:vAlign w:val="bottom"/>
            <w:gridSpan w:val="3"/>
          </w:tcPr>
          <w:p>
            <w:pPr>
              <w:spacing w:after="0"/>
              <w:rPr>
                <w:sz w:val="20"/>
                <w:szCs w:val="20"/>
                <w:color w:val="auto"/>
              </w:rPr>
            </w:pPr>
            <w:r>
              <w:rPr>
                <w:rFonts w:ascii="Arial" w:cs="Arial" w:eastAsia="Arial" w:hAnsi="Arial"/>
                <w:sz w:val="17"/>
                <w:szCs w:val="17"/>
                <w:color w:val="auto"/>
                <w:w w:val="99"/>
              </w:rPr>
              <w:t>$130,000,000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4"/>
          </w:tcPr>
          <w:p>
            <w:pPr>
              <w:ind w:left="140"/>
              <w:spacing w:after="0"/>
              <w:rPr>
                <w:sz w:val="20"/>
                <w:szCs w:val="20"/>
                <w:color w:val="auto"/>
              </w:rPr>
            </w:pPr>
            <w:r>
              <w:rPr>
                <w:rFonts w:ascii="Arial" w:cs="Arial" w:eastAsia="Arial" w:hAnsi="Arial"/>
                <w:sz w:val="17"/>
                <w:szCs w:val="17"/>
                <w:color w:val="auto"/>
                <w:w w:val="99"/>
              </w:rPr>
              <w:t>$149,500,000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0"/>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 of public offering size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r>
      <w:tr>
        <w:trPr>
          <w:trHeight w:val="230"/>
        </w:trPr>
        <w:tc>
          <w:tcPr>
            <w:tcW w:w="6380" w:type="dxa"/>
            <w:vAlign w:val="bottom"/>
          </w:tcPr>
          <w:p>
            <w:pPr>
              <w:spacing w:after="0"/>
              <w:rPr>
                <w:sz w:val="20"/>
                <w:szCs w:val="20"/>
                <w:color w:val="auto"/>
              </w:rPr>
            </w:pPr>
            <w:r>
              <w:rPr>
                <w:rFonts w:ascii="Arial" w:cs="Arial" w:eastAsia="Arial" w:hAnsi="Arial"/>
                <w:sz w:val="17"/>
                <w:szCs w:val="17"/>
                <w:color w:val="auto"/>
              </w:rPr>
              <w:t>Not held in trust account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1,000,000</w:t>
            </w:r>
          </w:p>
        </w:tc>
        <w:tc>
          <w:tcPr>
            <w:tcW w:w="200" w:type="dxa"/>
            <w:vAlign w:val="bottom"/>
          </w:tcPr>
          <w:p>
            <w:pPr>
              <w:spacing w:after="0"/>
              <w:rPr>
                <w:sz w:val="19"/>
                <w:szCs w:val="19"/>
                <w:color w:val="auto"/>
              </w:rPr>
            </w:pPr>
          </w:p>
        </w:tc>
        <w:tc>
          <w:tcPr>
            <w:tcW w:w="2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1,000,000</w:t>
            </w:r>
          </w:p>
        </w:tc>
        <w:tc>
          <w:tcPr>
            <w:tcW w:w="20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8"/>
        </w:trPr>
        <w:tc>
          <w:tcPr>
            <w:tcW w:w="63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-3950970</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-3950970</wp:posOffset>
            </wp:positionV>
            <wp:extent cx="431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use of the $1,000,000 of net proceeds not held in the trust account.</w:t>
      </w:r>
      <w:r>
        <w:rPr>
          <w:rFonts w:ascii="Arial" w:cs="Arial" w:eastAsia="Arial" w:hAnsi="Arial"/>
          <w:sz w:val="28"/>
          <w:szCs w:val="28"/>
          <w:color w:val="auto"/>
          <w:vertAlign w:val="superscript"/>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57607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1300" w:type="dxa"/>
            <w:vAlign w:val="bottom"/>
            <w:gridSpan w:val="4"/>
          </w:tcPr>
          <w:p>
            <w:pPr>
              <w:ind w:left="1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 OF TOTAL</w:t>
            </w:r>
          </w:p>
        </w:tc>
      </w:tr>
      <w:tr>
        <w:trPr>
          <w:trHeight w:val="53"/>
        </w:trPr>
        <w:tc>
          <w:tcPr>
            <w:tcW w:w="69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r>
      <w:tr>
        <w:trPr>
          <w:trHeight w:val="229"/>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Legal, accounting, due diligence, travel, and other expenses in connection with any</w:t>
            </w: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37"/>
        </w:trPr>
        <w:tc>
          <w:tcPr>
            <w:tcW w:w="6900" w:type="dxa"/>
            <w:vAlign w:val="bottom"/>
            <w:shd w:val="clear" w:color="auto" w:fill="CCEEFF"/>
          </w:tcPr>
          <w:p>
            <w:pPr>
              <w:ind w:left="180"/>
              <w:spacing w:after="0" w:line="237" w:lineRule="exact"/>
              <w:rPr>
                <w:sz w:val="20"/>
                <w:szCs w:val="20"/>
                <w:color w:val="auto"/>
              </w:rPr>
            </w:pPr>
            <w:r>
              <w:rPr>
                <w:rFonts w:ascii="Arial" w:cs="Arial" w:eastAsia="Arial" w:hAnsi="Arial"/>
                <w:sz w:val="17"/>
                <w:szCs w:val="17"/>
                <w:color w:val="auto"/>
              </w:rPr>
              <w:t>business combination</w:t>
            </w:r>
            <w:r>
              <w:rPr>
                <w:rFonts w:ascii="Arial" w:cs="Arial" w:eastAsia="Arial" w:hAnsi="Arial"/>
                <w:sz w:val="27"/>
                <w:szCs w:val="27"/>
                <w:color w:val="auto"/>
                <w:vertAlign w:val="superscript"/>
              </w:rPr>
              <w:t>(6)</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350,000</w:t>
            </w: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35.0%</w:t>
            </w:r>
          </w:p>
        </w:tc>
      </w:tr>
      <w:tr>
        <w:trPr>
          <w:trHeight w:val="239"/>
        </w:trPr>
        <w:tc>
          <w:tcPr>
            <w:tcW w:w="6900" w:type="dxa"/>
            <w:vAlign w:val="bottom"/>
          </w:tcPr>
          <w:p>
            <w:pPr>
              <w:spacing w:after="0"/>
              <w:rPr>
                <w:sz w:val="20"/>
                <w:szCs w:val="20"/>
                <w:color w:val="auto"/>
              </w:rPr>
            </w:pPr>
            <w:r>
              <w:rPr>
                <w:rFonts w:ascii="Arial" w:cs="Arial" w:eastAsia="Arial" w:hAnsi="Arial"/>
                <w:sz w:val="17"/>
                <w:szCs w:val="17"/>
                <w:color w:val="auto"/>
              </w:rPr>
              <w:t>Legal and accounting fees related to regulatory reporting obligations</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150,000</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7"/>
                <w:szCs w:val="17"/>
                <w:color w:val="auto"/>
              </w:rPr>
              <w:t>15.0%</w:t>
            </w:r>
          </w:p>
        </w:tc>
      </w:tr>
      <w:tr>
        <w:trPr>
          <w:trHeight w:val="31"/>
        </w:trPr>
        <w:tc>
          <w:tcPr>
            <w:tcW w:w="6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23"/>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Consulting, travel and miscellaneous expenses incurred during search for initial</w:t>
            </w: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16"/>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business combination target</w:t>
            </w: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100,000</w:t>
            </w:r>
          </w:p>
        </w:tc>
        <w:tc>
          <w:tcPr>
            <w:tcW w:w="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r>
      <w:tr>
        <w:trPr>
          <w:trHeight w:val="239"/>
        </w:trPr>
        <w:tc>
          <w:tcPr>
            <w:tcW w:w="6900" w:type="dxa"/>
            <w:vAlign w:val="bottom"/>
          </w:tcPr>
          <w:p>
            <w:pPr>
              <w:spacing w:after="0"/>
              <w:rPr>
                <w:sz w:val="20"/>
                <w:szCs w:val="20"/>
                <w:color w:val="auto"/>
              </w:rPr>
            </w:pPr>
            <w:r>
              <w:rPr>
                <w:rFonts w:ascii="Arial" w:cs="Arial" w:eastAsia="Arial" w:hAnsi="Arial"/>
                <w:sz w:val="17"/>
                <w:szCs w:val="17"/>
                <w:color w:val="auto"/>
              </w:rPr>
              <w:t>Payment for office space, administrative and support services</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240,000</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7"/>
                <w:szCs w:val="17"/>
                <w:color w:val="auto"/>
              </w:rPr>
              <w:t>24.0%</w:t>
            </w:r>
          </w:p>
        </w:tc>
      </w:tr>
      <w:tr>
        <w:trPr>
          <w:trHeight w:val="31"/>
        </w:trPr>
        <w:tc>
          <w:tcPr>
            <w:tcW w:w="6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Nasdaq continued listing fees</w:t>
            </w: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55,000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5.5%</w:t>
            </w:r>
          </w:p>
        </w:tc>
      </w:tr>
      <w:tr>
        <w:trPr>
          <w:trHeight w:val="229"/>
        </w:trPr>
        <w:tc>
          <w:tcPr>
            <w:tcW w:w="6900" w:type="dxa"/>
            <w:vAlign w:val="bottom"/>
          </w:tcPr>
          <w:p>
            <w:pPr>
              <w:spacing w:after="0"/>
              <w:rPr>
                <w:sz w:val="20"/>
                <w:szCs w:val="20"/>
                <w:color w:val="auto"/>
              </w:rPr>
            </w:pPr>
            <w:r>
              <w:rPr>
                <w:rFonts w:ascii="Arial" w:cs="Arial" w:eastAsia="Arial" w:hAnsi="Arial"/>
                <w:sz w:val="17"/>
                <w:szCs w:val="17"/>
                <w:color w:val="auto"/>
              </w:rPr>
              <w:t>Working capital to cover miscellaneous expenses and reserves</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105,000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7"/>
                <w:szCs w:val="17"/>
                <w:color w:val="auto"/>
              </w:rPr>
              <w:t>10.5%</w:t>
            </w:r>
          </w:p>
        </w:tc>
      </w:tr>
      <w:tr>
        <w:trPr>
          <w:trHeight w:val="48"/>
        </w:trPr>
        <w:tc>
          <w:tcPr>
            <w:tcW w:w="690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364"/>
        </w:trPr>
        <w:tc>
          <w:tcPr>
            <w:tcW w:w="6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1,000,000</w:t>
            </w:r>
          </w:p>
        </w:tc>
        <w:tc>
          <w:tcPr>
            <w:tcW w:w="4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-1542415</wp:posOffset>
            </wp:positionV>
            <wp:extent cx="2400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-1542415</wp:posOffset>
            </wp:positionV>
            <wp:extent cx="120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8" w:lineRule="exact"/>
        <w:rPr>
          <w:sz w:val="20"/>
          <w:szCs w:val="20"/>
          <w:color w:val="auto"/>
        </w:rPr>
      </w:pPr>
    </w:p>
    <w:p>
      <w:pPr>
        <w:ind w:left="360" w:right="340" w:hanging="352"/>
        <w:spacing w:after="0" w:line="230" w:lineRule="auto"/>
        <w:tabs>
          <w:tab w:leader="none" w:pos="36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amounts payable to public shareholders who properly redeem their shares in connection with our successful completion of our initial business combination.</w:t>
      </w:r>
    </w:p>
    <w:p>
      <w:pPr>
        <w:spacing w:after="0" w:line="37" w:lineRule="exact"/>
        <w:rPr>
          <w:rFonts w:ascii="Arial" w:cs="Arial" w:eastAsia="Arial" w:hAnsi="Arial"/>
          <w:sz w:val="13"/>
          <w:szCs w:val="13"/>
          <w:color w:val="auto"/>
        </w:rPr>
      </w:pPr>
    </w:p>
    <w:p>
      <w:pPr>
        <w:ind w:left="360" w:right="20" w:hanging="352"/>
        <w:spacing w:after="0" w:line="221" w:lineRule="auto"/>
        <w:tabs>
          <w:tab w:leader="none" w:pos="36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 addition, a portion of the offering expenses have been paid from the proceeds of loans from our sponsor of up to $300,000 as described in this prospectus. To date, we have fully borrowed $200,000 under the promissory note with our sponsor. These loans will be repaid upon completion of this offering out of the $1,000,000 of offering proceeds that has been allocated for the payment of offering expenses (other than underwriting commissions) and not to be held in the trust account. In the event that offering expenses are less than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38" w:lineRule="exact"/>
        <w:rPr>
          <w:rFonts w:ascii="Arial" w:cs="Arial" w:eastAsia="Arial" w:hAnsi="Arial"/>
          <w:sz w:val="13"/>
          <w:szCs w:val="13"/>
          <w:color w:val="auto"/>
        </w:rPr>
      </w:pPr>
    </w:p>
    <w:p>
      <w:pPr>
        <w:ind w:left="360" w:right="40" w:hanging="352"/>
        <w:spacing w:after="0" w:line="242" w:lineRule="auto"/>
        <w:tabs>
          <w:tab w:leader="none" w:pos="36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underwriters have agreed to defer underwriting commissions of 3.5% of the gross proceeds of this offering. Upon and concurrently with the completion of our initial business combination, $4,550,000, which constitutes the underwriters’ deferred commissions (or $5,232,500 if the underwriters’ over-allotment option is exercised in full) will be paid to the underwriters from the funds held in the trust account. See “Underwriting.” The remaining funds, less amounts released to the trustee to pay redeeming shareholders, will be released to us and can be used to pay all or a portion of the purchase price of the business or</w:t>
      </w:r>
    </w:p>
    <w:p>
      <w:pPr>
        <w:sectPr>
          <w:pgSz w:w="11900" w:h="16838" w:orient="portrait"/>
          <w:cols w:equalWidth="0" w:num="1">
            <w:col w:w="9080"/>
          </w:cols>
          <w:pgMar w:left="1400" w:top="265" w:right="141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type w:val="continuous"/>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360" w:right="80"/>
        <w:spacing w:after="0" w:line="225" w:lineRule="auto"/>
        <w:rPr>
          <w:sz w:val="20"/>
          <w:szCs w:val="20"/>
          <w:color w:val="auto"/>
        </w:rPr>
      </w:pPr>
      <w:r>
        <w:rPr>
          <w:rFonts w:ascii="Arial" w:cs="Arial" w:eastAsia="Arial" w:hAnsi="Arial"/>
          <w:sz w:val="13"/>
          <w:szCs w:val="13"/>
          <w:color w:val="auto"/>
        </w:rPr>
        <w:t>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39" w:lineRule="exact"/>
        <w:rPr>
          <w:sz w:val="20"/>
          <w:szCs w:val="20"/>
          <w:color w:val="auto"/>
        </w:rPr>
      </w:pPr>
    </w:p>
    <w:p>
      <w:pPr>
        <w:ind w:left="360" w:right="140" w:hanging="352"/>
        <w:spacing w:after="0" w:line="237" w:lineRule="auto"/>
        <w:tabs>
          <w:tab w:leader="none" w:pos="36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Assuming an interest rate of 0.1% per year, we estimate the interest earned on the trust account will be approximately $130,000 per year; however, we can provide no assurances regarding this amount.</w:t>
      </w:r>
    </w:p>
    <w:p>
      <w:pPr>
        <w:spacing w:after="0" w:line="40" w:lineRule="exact"/>
        <w:rPr>
          <w:rFonts w:ascii="Arial" w:cs="Arial" w:eastAsia="Arial" w:hAnsi="Arial"/>
          <w:sz w:val="12"/>
          <w:szCs w:val="12"/>
          <w:color w:val="auto"/>
        </w:rPr>
      </w:pPr>
    </w:p>
    <w:p>
      <w:pPr>
        <w:ind w:left="360" w:hanging="352"/>
        <w:spacing w:after="0"/>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Assumes no exercise of the underwriters’ over-allotment option.</w:t>
      </w:r>
    </w:p>
    <w:p>
      <w:pPr>
        <w:spacing w:after="0" w:line="39" w:lineRule="exact"/>
        <w:rPr>
          <w:rFonts w:ascii="Arial" w:cs="Arial" w:eastAsia="Arial" w:hAnsi="Arial"/>
          <w:sz w:val="13"/>
          <w:szCs w:val="13"/>
          <w:color w:val="auto"/>
        </w:rPr>
      </w:pPr>
    </w:p>
    <w:p>
      <w:pPr>
        <w:ind w:left="360" w:right="20" w:hanging="352"/>
        <w:spacing w:after="0" w:line="230" w:lineRule="auto"/>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estimated amounts that may also be used in connection with our initial business combination to fund a “no shop” provision and commitment fees for financing.</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rules of Nasdaq provide that at least 90% of the gross proceeds from this offering and the sale of the private placement shares be deposited in a trust account. Of the $134,600,000 in proceeds we receive from this offering and the sale of the private placement shares described in this prospectus, or $154,490,000 if the underwriters’ over-allotment option is exercised in full, $130,000,000 ($10.00 per share), or $149,500,000 if the underwriters’ over-allotment option is exercised in full ($10.00 per share), will be deposited into a trust account located in the United States with Continental Stock Transfer &amp; Trust Company acting as trustee, and $4,600,000, or up to $4,990,000 if the underwriters’ over-allotment option is exercised in full, will be used to pay expenses in connection with the closing of this offering (including the portion of the underwriting commissions payable upon closing of this offering) and for working capital following this offering. We will not be permitted to withdraw any of the principal or interest held in the trust account, except with respect to interest earned on the funds held in the trust account that may be released to us to pay our income taxes, if any, until the earliest of (i) the completion of our initial business combination, (ii) the redemption of our public shares if we have not consummated an initial business combination within 24 months from the closing of this offering, subject to applicable law, and (iii) the redemption of our public shares properly submitted in connection with a shareholder vote to approve an amendment to our amended and restated memorandum and articles of association</w:t>
      </w:r>
    </w:p>
    <w:p>
      <w:pPr>
        <w:spacing w:after="0" w:line="1" w:lineRule="exact"/>
        <w:rPr>
          <w:sz w:val="20"/>
          <w:szCs w:val="20"/>
          <w:color w:val="auto"/>
        </w:rPr>
      </w:pPr>
    </w:p>
    <w:p>
      <w:pPr>
        <w:ind w:right="60" w:firstLine="8"/>
        <w:spacing w:after="0" w:line="232" w:lineRule="auto"/>
        <w:tabs>
          <w:tab w:leader="none" w:pos="2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w:t>
      </w:r>
    </w:p>
    <w:p>
      <w:pPr>
        <w:ind w:right="120" w:firstLine="8"/>
        <w:spacing w:after="0" w:line="238" w:lineRule="auto"/>
        <w:tabs>
          <w:tab w:leader="none" w:pos="2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with respect to any other provision relating to the rights of holders of our Class A ordinary shares. Based on current interest rates, we expect that interest income earned on the trust account (if any) will be sufficient to pay our income taxes.</w:t>
      </w:r>
    </w:p>
    <w:p>
      <w:pPr>
        <w:spacing w:after="0" w:line="16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The net proceeds held in the trust account may be used as consideration to pay the sellers of a target business with which we ultimately complete our initial business combination. 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apply the balance of the cash released from the trust account for general 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148"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We believe that amounts not held in trust, together with funds available to us from loans from our sponsor, members of our management team or any of their affiliates will be sufficient to pay the costs and expenses to which such proceeds are allocated. However, if our estimate of the costs of undertaking in-depth due diligence and negotiating a business combination is less than the actual amount necessary to do so, we may be required to raise additional capital,</w:t>
      </w:r>
    </w:p>
    <w:p>
      <w:pPr>
        <w:ind w:right="40"/>
        <w:spacing w:after="0" w:line="236" w:lineRule="auto"/>
        <w:rPr>
          <w:sz w:val="20"/>
          <w:szCs w:val="20"/>
          <w:color w:val="auto"/>
        </w:rPr>
      </w:pPr>
      <w:r>
        <w:rPr>
          <w:rFonts w:ascii="Arial" w:cs="Arial" w:eastAsia="Arial" w:hAnsi="Arial"/>
          <w:sz w:val="17"/>
          <w:szCs w:val="17"/>
          <w:color w:val="auto"/>
        </w:rPr>
        <w:t>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jc w:val="both"/>
        <w:ind w:right="340"/>
        <w:spacing w:after="0" w:line="238" w:lineRule="auto"/>
        <w:rPr>
          <w:sz w:val="20"/>
          <w:szCs w:val="20"/>
          <w:color w:val="auto"/>
        </w:rPr>
      </w:pPr>
      <w:r>
        <w:rPr>
          <w:rFonts w:ascii="Arial" w:cs="Arial" w:eastAsia="Arial" w:hAnsi="Arial"/>
          <w:sz w:val="17"/>
          <w:szCs w:val="17"/>
          <w:color w:val="auto"/>
        </w:rPr>
        <w:t>We will reimburse our sponsor for office space, secretarial and administrative services provided to members of our management team, in the amount of $10,000 per month. Upon completion of our initial business combination or our liquidation, we will cease paying these monthly fees.</w:t>
      </w:r>
    </w:p>
    <w:p>
      <w:pPr>
        <w:spacing w:after="0" w:line="16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Our sponsor has agreed to loan us up to $300,000 to be used for a portion of the expenses of this offering. To date, we have fully borrowed $200,000 under the promissory note with our sponsor. These loans are non-interest bearing, unsecured and are due at the earlier of December 31, 2020 and the closing of this offering. The loans will be repaid upon the closing of this offering out of the $1,000,000 of offering proceeds that has been allocated to the payment of offering expenses.</w:t>
      </w:r>
    </w:p>
    <w:p>
      <w:pPr>
        <w:spacing w:after="0" w:line="16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may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shares of the post-business combination company at a price of $10.00 per share at the option of the lender. The shares would be identical to the private placement shares. Except as set forth above, the terms of such loans, if any, have not been determined and no written agreements exist with respect to such loans. Prior to the completion of our initial business combination, we do not expect to seek loans from parties other than our sponsor, members of our management team or any of their affiliates as we do not believe third parties will be willing to loan such funds and provide a waiver against any and all rights to seek access to funds in our trust account.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DIVIDEND POLICY</w:t>
      </w:r>
    </w:p>
    <w:p>
      <w:pPr>
        <w:spacing w:after="0" w:line="188" w:lineRule="exact"/>
        <w:rPr>
          <w:sz w:val="20"/>
          <w:szCs w:val="20"/>
          <w:color w:val="auto"/>
        </w:rPr>
      </w:pPr>
    </w:p>
    <w:p>
      <w:pPr>
        <w:ind w:right="59"/>
        <w:spacing w:after="0" w:line="234"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we will only pay such dividend out of our profits or share premium (subject to solvency requirements) as permitted under Cayman Islands law. Further, if we incur any indebtedness in connection with a business combination, our ability to declare dividends may be limited by restrictive covenants we may agree to in connection therewith.</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difference between the public offering price per Class A ordinary share and the pro forma net tangible book value per Class A ordinary share after this offering constitutes the dilution to investors in this offering. Net tangible book value per share is determined by dividing our net tangible book value, which is our total tangible assets less total liabilities (including the value of Class A ordinary shares which may be redeemed for cash), by the number of outstanding Class A ordinary shares.</w:t>
      </w:r>
    </w:p>
    <w:p>
      <w:pPr>
        <w:spacing w:after="0" w:line="163"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At April 2, 2020, our net tangible book deficit was $(4,245), or approximately $(0.00) per ordinary share. After giving effect to the sale of 13,000,000 Class A ordinary shares we are offering with this prospectus (or 14,950,000 Class A ordinary shares if the underwriters’ over-allotment option is exercised in full), the sale of the private placement shares and the deduction of underwriting commissions and estimated expenses of this offering, our pro forma net tangible book value at April 2, 2020 would have been $5,000,005, or $1.10 per share (or $5,000,005, or $0.97 per share, if the underwriters’ over-allotment option is exercised in full), representing an immediate increase in net tangible book value (as decreased by the value of 12,147,075 Class A ordinary shares that may be redeemed for cash, or 14,028,825 Class A ordinary shares if the underwriters’ over-allotment option is exercised in full) of $1.10 per share (or $0.97 if the underwriters’ over-allotment option is exercised in full) to our sponsor as of the date of this prospectus and an immediate dilution to public shareholders from this offering of $10.00 per public share. Total dilution to public shareholders from this offering will be $8.90 per share (or $9.03 if the underwriters’ over-allotment option is exercised in full).</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the dilution to the public shareholders on a per-share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57607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Without Over-</w:t>
            </w:r>
          </w:p>
        </w:tc>
        <w:tc>
          <w:tcPr>
            <w:tcW w:w="20" w:type="dxa"/>
            <w:vAlign w:val="bottom"/>
          </w:tcPr>
          <w:p>
            <w:pPr>
              <w:spacing w:after="0"/>
              <w:rPr>
                <w:sz w:val="14"/>
                <w:szCs w:val="14"/>
                <w:color w:val="auto"/>
              </w:rPr>
            </w:pPr>
          </w:p>
        </w:tc>
        <w:tc>
          <w:tcPr>
            <w:tcW w:w="13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With Over-</w:t>
            </w:r>
          </w:p>
        </w:tc>
      </w:tr>
      <w:tr>
        <w:trPr>
          <w:trHeight w:val="190"/>
        </w:trPr>
        <w:tc>
          <w:tcPr>
            <w:tcW w:w="6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allotment</w:t>
            </w:r>
          </w:p>
        </w:tc>
        <w:tc>
          <w:tcPr>
            <w:tcW w:w="20" w:type="dxa"/>
            <w:vAlign w:val="bottom"/>
          </w:tcPr>
          <w:p>
            <w:pPr>
              <w:spacing w:after="0"/>
              <w:rPr>
                <w:sz w:val="16"/>
                <w:szCs w:val="16"/>
                <w:color w:val="auto"/>
              </w:rPr>
            </w:pPr>
          </w:p>
        </w:tc>
        <w:tc>
          <w:tcPr>
            <w:tcW w:w="13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allotment</w:t>
            </w:r>
          </w:p>
        </w:tc>
      </w:tr>
      <w:tr>
        <w:trPr>
          <w:trHeight w:val="80"/>
        </w:trPr>
        <w:tc>
          <w:tcPr>
            <w:tcW w:w="610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r>
      <w:tr>
        <w:trPr>
          <w:trHeight w:val="325"/>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13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66"/>
        </w:trPr>
        <w:tc>
          <w:tcPr>
            <w:tcW w:w="6100" w:type="dxa"/>
            <w:vAlign w:val="bottom"/>
          </w:tcPr>
          <w:p>
            <w:pPr>
              <w:spacing w:after="0"/>
              <w:rPr>
                <w:sz w:val="20"/>
                <w:szCs w:val="20"/>
                <w:color w:val="auto"/>
              </w:rPr>
            </w:pPr>
            <w:r>
              <w:rPr>
                <w:rFonts w:ascii="Arial" w:cs="Arial" w:eastAsia="Arial" w:hAnsi="Arial"/>
                <w:sz w:val="17"/>
                <w:szCs w:val="17"/>
                <w:color w:val="auto"/>
              </w:rPr>
              <w:t>Net tangible book deficit before this offering</w:t>
            </w: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(0.00)</w:t>
            </w: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7"/>
                <w:szCs w:val="17"/>
                <w:color w:val="auto"/>
              </w:rPr>
              <w:t>(0.00)</w:t>
            </w: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58"/>
        </w:trPr>
        <w:tc>
          <w:tcPr>
            <w:tcW w:w="6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r>
      <w:tr>
        <w:trPr>
          <w:trHeight w:val="268"/>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Increase attributable to public stockholders</w:t>
            </w: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1.10</w:t>
            </w:r>
          </w:p>
        </w:tc>
        <w:tc>
          <w:tcPr>
            <w:tcW w:w="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0.97</w:t>
            </w:r>
          </w:p>
        </w:tc>
        <w:tc>
          <w:tcPr>
            <w:tcW w:w="2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63"/>
        </w:trPr>
        <w:tc>
          <w:tcPr>
            <w:tcW w:w="6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r>
      <w:tr>
        <w:trPr>
          <w:trHeight w:val="277"/>
        </w:trPr>
        <w:tc>
          <w:tcPr>
            <w:tcW w:w="6100" w:type="dxa"/>
            <w:vAlign w:val="bottom"/>
          </w:tcPr>
          <w:p>
            <w:pPr>
              <w:spacing w:after="0"/>
              <w:rPr>
                <w:sz w:val="20"/>
                <w:szCs w:val="20"/>
                <w:color w:val="auto"/>
              </w:rPr>
            </w:pPr>
            <w:r>
              <w:rPr>
                <w:rFonts w:ascii="Arial" w:cs="Arial" w:eastAsia="Arial" w:hAnsi="Arial"/>
                <w:sz w:val="17"/>
                <w:szCs w:val="17"/>
                <w:color w:val="auto"/>
              </w:rPr>
              <w:t>Pro forma net tangible book value after this offering and the sale of the private</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6100" w:type="dxa"/>
            <w:vAlign w:val="bottom"/>
          </w:tcPr>
          <w:p>
            <w:pPr>
              <w:ind w:left="180"/>
              <w:spacing w:after="0"/>
              <w:rPr>
                <w:sz w:val="20"/>
                <w:szCs w:val="20"/>
                <w:color w:val="auto"/>
              </w:rPr>
            </w:pPr>
            <w:r>
              <w:rPr>
                <w:rFonts w:ascii="Arial" w:cs="Arial" w:eastAsia="Arial" w:hAnsi="Arial"/>
                <w:sz w:val="17"/>
                <w:szCs w:val="17"/>
                <w:color w:val="auto"/>
              </w:rPr>
              <w:t>placement shares</w:t>
            </w:r>
          </w:p>
        </w:tc>
        <w:tc>
          <w:tcPr>
            <w:tcW w:w="1460" w:type="dxa"/>
            <w:vAlign w:val="bottom"/>
            <w:gridSpan w:val="5"/>
          </w:tcPr>
          <w:p>
            <w:pPr>
              <w:ind w:left="980"/>
              <w:spacing w:after="0"/>
              <w:rPr>
                <w:sz w:val="20"/>
                <w:szCs w:val="20"/>
                <w:color w:val="auto"/>
              </w:rPr>
            </w:pPr>
            <w:r>
              <w:rPr>
                <w:rFonts w:ascii="Arial" w:cs="Arial" w:eastAsia="Arial" w:hAnsi="Arial"/>
                <w:sz w:val="17"/>
                <w:szCs w:val="17"/>
                <w:color w:val="auto"/>
              </w:rPr>
              <w:t>1.10</w:t>
            </w:r>
          </w:p>
        </w:tc>
        <w:tc>
          <w:tcPr>
            <w:tcW w:w="160" w:type="dxa"/>
            <w:vAlign w:val="bottom"/>
          </w:tcPr>
          <w:p>
            <w:pPr>
              <w:spacing w:after="0"/>
              <w:rPr>
                <w:sz w:val="17"/>
                <w:szCs w:val="17"/>
                <w:color w:val="auto"/>
              </w:rPr>
            </w:pPr>
          </w:p>
        </w:tc>
        <w:tc>
          <w:tcPr>
            <w:tcW w:w="1200" w:type="dxa"/>
            <w:vAlign w:val="bottom"/>
            <w:gridSpan w:val="5"/>
          </w:tcPr>
          <w:p>
            <w:pPr>
              <w:ind w:left="860"/>
              <w:spacing w:after="0"/>
              <w:rPr>
                <w:sz w:val="20"/>
                <w:szCs w:val="20"/>
                <w:color w:val="auto"/>
              </w:rPr>
            </w:pPr>
            <w:r>
              <w:rPr>
                <w:rFonts w:ascii="Arial" w:cs="Arial" w:eastAsia="Arial" w:hAnsi="Arial"/>
                <w:sz w:val="17"/>
                <w:szCs w:val="17"/>
                <w:color w:val="auto"/>
                <w:w w:val="96"/>
              </w:rPr>
              <w:t>0.97</w:t>
            </w:r>
          </w:p>
        </w:tc>
        <w:tc>
          <w:tcPr>
            <w:tcW w:w="160" w:type="dxa"/>
            <w:vAlign w:val="bottom"/>
          </w:tcPr>
          <w:p>
            <w:pPr>
              <w:spacing w:after="0"/>
              <w:rPr>
                <w:sz w:val="17"/>
                <w:szCs w:val="17"/>
                <w:color w:val="auto"/>
              </w:rPr>
            </w:pPr>
          </w:p>
        </w:tc>
      </w:tr>
      <w:tr>
        <w:trPr>
          <w:trHeight w:val="63"/>
        </w:trPr>
        <w:tc>
          <w:tcPr>
            <w:tcW w:w="6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r>
      <w:tr>
        <w:trPr>
          <w:trHeight w:val="324"/>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Dilution to public shareholders</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$ 8.90</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$ 9.03</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48"/>
        </w:trPr>
        <w:tc>
          <w:tcPr>
            <w:tcW w:w="6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97"/>
        </w:trPr>
        <w:tc>
          <w:tcPr>
            <w:tcW w:w="6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Percentage of dilution to public shareholders</w:t>
            </w:r>
          </w:p>
        </w:tc>
        <w:tc>
          <w:tcPr>
            <w:tcW w:w="780" w:type="dxa"/>
            <w:vAlign w:val="bottom"/>
            <w:tcBorders>
              <w:bottom w:val="single" w:sz="8" w:color="auto"/>
            </w:tcBorders>
            <w:gridSpan w:val="3"/>
          </w:tcPr>
          <w:p>
            <w:pPr>
              <w:spacing w:after="0"/>
              <w:rPr>
                <w:sz w:val="24"/>
                <w:szCs w:val="24"/>
                <w:color w:val="auto"/>
              </w:rPr>
            </w:pPr>
          </w:p>
        </w:tc>
        <w:tc>
          <w:tcPr>
            <w:tcW w:w="68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color w:val="auto"/>
                <w:w w:val="95"/>
              </w:rPr>
              <w:t>89.0%</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ind w:left="860"/>
              <w:spacing w:after="0"/>
              <w:rPr>
                <w:sz w:val="20"/>
                <w:szCs w:val="20"/>
                <w:color w:val="auto"/>
              </w:rPr>
            </w:pPr>
            <w:r>
              <w:rPr>
                <w:rFonts w:ascii="Arial" w:cs="Arial" w:eastAsia="Arial" w:hAnsi="Arial"/>
                <w:sz w:val="17"/>
                <w:szCs w:val="17"/>
                <w:color w:val="auto"/>
                <w:w w:val="99"/>
              </w:rPr>
              <w:t>90.3%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-1464945</wp:posOffset>
            </wp:positionV>
            <wp:extent cx="1028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-1464945</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For purposes of presentation, we have reduced our pro forma net tangible book value after this offering (assuming no exercise of the underwriters’ over-allotment option) by $121,470,750 because holders of up to approximately 90.2%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shareholders meeting, including interest earned on the funds held in the trust account and not previously released to us to pay our income taxes, if any, divided by the number of the then-outstanding public shares).</w:t>
      </w:r>
    </w:p>
    <w:p>
      <w:pPr>
        <w:spacing w:after="0" w:line="164"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The following table sets forth information with respect to our initial shareholders, who hold our Class B ordinary shares and the private placement shares, and the public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57607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320" w:type="dxa"/>
            <w:vAlign w:val="bottom"/>
            <w:gridSpan w:val="7"/>
          </w:tcPr>
          <w:p>
            <w:pPr>
              <w:ind w:left="280"/>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17"/>
                <w:szCs w:val="17"/>
                <w:color w:val="auto"/>
              </w:rPr>
            </w:pPr>
          </w:p>
        </w:tc>
        <w:tc>
          <w:tcPr>
            <w:tcW w:w="22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TOTAL CONSIDERATION</w:t>
            </w:r>
          </w:p>
        </w:tc>
        <w:tc>
          <w:tcPr>
            <w:tcW w:w="200" w:type="dxa"/>
            <w:vAlign w:val="bottom"/>
          </w:tcPr>
          <w:p>
            <w:pPr>
              <w:spacing w:after="0"/>
              <w:rPr>
                <w:sz w:val="17"/>
                <w:szCs w:val="17"/>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67"/>
        </w:trPr>
        <w:tc>
          <w:tcPr>
            <w:tcW w:w="334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75"/>
        </w:trPr>
        <w:tc>
          <w:tcPr>
            <w:tcW w:w="3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340" w:type="dxa"/>
            <w:vAlign w:val="bottom"/>
          </w:tcPr>
          <w:p>
            <w:pPr>
              <w:spacing w:after="0"/>
              <w:rPr>
                <w:sz w:val="16"/>
                <w:szCs w:val="16"/>
                <w:color w:val="auto"/>
              </w:rPr>
            </w:pPr>
          </w:p>
        </w:tc>
        <w:tc>
          <w:tcPr>
            <w:tcW w:w="1120" w:type="dxa"/>
            <w:vAlign w:val="bottom"/>
            <w:gridSpan w:val="3"/>
          </w:tcPr>
          <w:p>
            <w:pPr>
              <w:ind w:left="160"/>
              <w:spacing w:after="0"/>
              <w:rPr>
                <w:sz w:val="20"/>
                <w:szCs w:val="20"/>
                <w:color w:val="auto"/>
              </w:rPr>
            </w:pPr>
            <w:r>
              <w:rPr>
                <w:rFonts w:ascii="Arial" w:cs="Arial" w:eastAsia="Arial" w:hAnsi="Arial"/>
                <w:sz w:val="14"/>
                <w:szCs w:val="14"/>
                <w:b w:val="1"/>
                <w:bCs w:val="1"/>
                <w:color w:val="auto"/>
              </w:rPr>
              <w:t>NUMBER</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16"/>
                <w:szCs w:val="16"/>
                <w:color w:val="auto"/>
              </w:rPr>
            </w:pPr>
          </w:p>
        </w:tc>
        <w:tc>
          <w:tcPr>
            <w:tcW w:w="124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6"/>
                <w:szCs w:val="16"/>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80"/>
        </w:trPr>
        <w:tc>
          <w:tcPr>
            <w:tcW w:w="334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Class B Ordinary Shares</w:t>
            </w:r>
            <w:r>
              <w:rPr>
                <w:rFonts w:ascii="Arial" w:cs="Arial" w:eastAsia="Arial" w:hAnsi="Arial"/>
                <w:sz w:val="28"/>
                <w:szCs w:val="28"/>
                <w:color w:val="auto"/>
                <w:vertAlign w:val="superscript"/>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3,250,000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19.45%</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25,000</w:t>
            </w:r>
          </w:p>
        </w:tc>
        <w:tc>
          <w:tcPr>
            <w:tcW w:w="18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0.02%</w:t>
            </w:r>
          </w:p>
        </w:tc>
        <w:tc>
          <w:tcPr>
            <w:tcW w:w="900" w:type="dxa"/>
            <w:vAlign w:val="bottom"/>
            <w:gridSpan w:val="3"/>
            <w:shd w:val="clear" w:color="auto" w:fill="CCEEFF"/>
          </w:tcPr>
          <w:p>
            <w:pPr>
              <w:jc w:val="center"/>
              <w:ind w:left="295"/>
              <w:spacing w:after="0"/>
              <w:rPr>
                <w:sz w:val="20"/>
                <w:szCs w:val="20"/>
                <w:color w:val="auto"/>
              </w:rPr>
            </w:pPr>
            <w:r>
              <w:rPr>
                <w:rFonts w:ascii="Arial" w:cs="Arial" w:eastAsia="Arial" w:hAnsi="Arial"/>
                <w:sz w:val="17"/>
                <w:szCs w:val="17"/>
                <w:color w:val="auto"/>
                <w:w w:val="99"/>
              </w:rPr>
              <w:t>$0.008</w:t>
            </w: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17"/>
                <w:szCs w:val="17"/>
                <w:color w:val="auto"/>
              </w:rPr>
              <w:t>Private Placement Shareholders</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460,000</w:t>
            </w:r>
          </w:p>
        </w:tc>
        <w:tc>
          <w:tcPr>
            <w:tcW w:w="180" w:type="dxa"/>
            <w:vAlign w:val="bottom"/>
          </w:tcPr>
          <w:p>
            <w:pPr>
              <w:spacing w:after="0"/>
              <w:rPr>
                <w:sz w:val="23"/>
                <w:szCs w:val="23"/>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7"/>
                <w:szCs w:val="17"/>
                <w:color w:val="auto"/>
              </w:rPr>
              <w:t>2.75%</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4,600,000</w:t>
            </w:r>
          </w:p>
        </w:tc>
        <w:tc>
          <w:tcPr>
            <w:tcW w:w="180" w:type="dxa"/>
            <w:vAlign w:val="bottom"/>
          </w:tcPr>
          <w:p>
            <w:pPr>
              <w:spacing w:after="0"/>
              <w:rPr>
                <w:sz w:val="23"/>
                <w:szCs w:val="23"/>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7"/>
                <w:szCs w:val="17"/>
                <w:color w:val="auto"/>
              </w:rPr>
              <w:t>3.42%</w:t>
            </w:r>
          </w:p>
        </w:tc>
        <w:tc>
          <w:tcPr>
            <w:tcW w:w="900" w:type="dxa"/>
            <w:vAlign w:val="bottom"/>
            <w:gridSpan w:val="3"/>
          </w:tcPr>
          <w:p>
            <w:pPr>
              <w:jc w:val="center"/>
              <w:ind w:left="295"/>
              <w:spacing w:after="0"/>
              <w:rPr>
                <w:sz w:val="20"/>
                <w:szCs w:val="20"/>
                <w:color w:val="auto"/>
              </w:rPr>
            </w:pPr>
            <w:r>
              <w:rPr>
                <w:rFonts w:ascii="Arial" w:cs="Arial" w:eastAsia="Arial" w:hAnsi="Arial"/>
                <w:sz w:val="17"/>
                <w:szCs w:val="17"/>
                <w:color w:val="auto"/>
                <w:w w:val="99"/>
              </w:rPr>
              <w:t>$10.00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3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Public Shareholders</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13,000,000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77.80%</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130,000,000</w:t>
            </w:r>
          </w:p>
        </w:tc>
        <w:tc>
          <w:tcPr>
            <w:tcW w:w="18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96.56%</w:t>
            </w:r>
          </w:p>
        </w:tc>
        <w:tc>
          <w:tcPr>
            <w:tcW w:w="900" w:type="dxa"/>
            <w:vAlign w:val="bottom"/>
            <w:gridSpan w:val="3"/>
            <w:shd w:val="clear" w:color="auto" w:fill="CCEEFF"/>
          </w:tcPr>
          <w:p>
            <w:pPr>
              <w:jc w:val="center"/>
              <w:ind w:left="295"/>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10.00</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3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9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16,710,000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7"/>
                <w:szCs w:val="17"/>
                <w:color w:val="auto"/>
              </w:rPr>
              <w:t>100.00%</w:t>
            </w:r>
          </w:p>
        </w:tc>
        <w:tc>
          <w:tcPr>
            <w:tcW w:w="200" w:type="dxa"/>
            <w:vAlign w:val="bottom"/>
          </w:tcPr>
          <w:p>
            <w:pPr>
              <w:spacing w:after="0"/>
              <w:rPr>
                <w:sz w:val="24"/>
                <w:szCs w:val="2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134,625,000</w:t>
            </w:r>
          </w:p>
        </w:tc>
        <w:tc>
          <w:tcPr>
            <w:tcW w:w="180" w:type="dxa"/>
            <w:vAlign w:val="bottom"/>
          </w:tcPr>
          <w:p>
            <w:pPr>
              <w:spacing w:after="0"/>
              <w:rPr>
                <w:sz w:val="24"/>
                <w:szCs w:val="2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7"/>
                <w:szCs w:val="17"/>
                <w:color w:val="auto"/>
              </w:rPr>
              <w:t>100.00%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3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-916305</wp:posOffset>
            </wp:positionV>
            <wp:extent cx="120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-916305</wp:posOffset>
            </wp:positionV>
            <wp:extent cx="1200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-916305</wp:posOffset>
            </wp:positionV>
            <wp:extent cx="120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-916305</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-916305</wp:posOffset>
            </wp:positionV>
            <wp:extent cx="120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8"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Assumes no exercise of the underwriters’ over-allotment option and the corresponding forfeiture of 487,500 Class B ordinary shares held by our sponsor.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pro forma net tangible book value per share after this offering (assuming that the underwriters do not exercise their over-allotment option)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7607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With</w:t>
            </w:r>
          </w:p>
        </w:tc>
      </w:tr>
      <w:tr>
        <w:trPr>
          <w:trHeight w:val="190"/>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Over-allotment</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Over-allotment</w:t>
            </w:r>
          </w:p>
        </w:tc>
      </w:tr>
      <w:tr>
        <w:trPr>
          <w:trHeight w:val="80"/>
        </w:trPr>
        <w:tc>
          <w:tcPr>
            <w:tcW w:w="646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r>
      <w:tr>
        <w:trPr>
          <w:trHeight w:val="324"/>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Numerator:</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66"/>
        </w:trPr>
        <w:tc>
          <w:tcPr>
            <w:tcW w:w="6460" w:type="dxa"/>
            <w:vAlign w:val="bottom"/>
          </w:tcPr>
          <w:p>
            <w:pPr>
              <w:spacing w:after="0"/>
              <w:rPr>
                <w:sz w:val="20"/>
                <w:szCs w:val="20"/>
                <w:color w:val="auto"/>
              </w:rPr>
            </w:pPr>
            <w:r>
              <w:rPr>
                <w:rFonts w:ascii="Arial" w:cs="Arial" w:eastAsia="Arial" w:hAnsi="Arial"/>
                <w:sz w:val="17"/>
                <w:szCs w:val="17"/>
                <w:color w:val="auto"/>
              </w:rPr>
              <w:t>Net tangible book deficit before this offering</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3"/>
          </w:tcPr>
          <w:p>
            <w:pPr>
              <w:jc w:val="right"/>
              <w:ind w:right="20"/>
              <w:spacing w:after="0"/>
              <w:rPr>
                <w:sz w:val="20"/>
                <w:szCs w:val="20"/>
                <w:color w:val="auto"/>
              </w:rPr>
            </w:pPr>
            <w:r>
              <w:rPr>
                <w:rFonts w:ascii="Arial" w:cs="Arial" w:eastAsia="Arial" w:hAnsi="Arial"/>
                <w:sz w:val="17"/>
                <w:szCs w:val="17"/>
                <w:color w:val="auto"/>
              </w:rPr>
              <w:t>(4,245)</w:t>
            </w:r>
          </w:p>
        </w:tc>
        <w:tc>
          <w:tcPr>
            <w:tcW w:w="1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(4,245)</w:t>
            </w:r>
          </w:p>
        </w:tc>
      </w:tr>
      <w:tr>
        <w:trPr>
          <w:trHeight w:val="58"/>
        </w:trPr>
        <w:tc>
          <w:tcPr>
            <w:tcW w:w="6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324"/>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Net proceeds from this offering and sale of the private placement shares</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131,000,000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150,500,000</w:t>
            </w:r>
          </w:p>
        </w:tc>
        <w:tc>
          <w:tcPr>
            <w:tcW w:w="100" w:type="dxa"/>
            <w:vAlign w:val="bottom"/>
            <w:shd w:val="clear" w:color="auto" w:fill="CCEEFF"/>
          </w:tcPr>
          <w:p>
            <w:pPr>
              <w:spacing w:after="0"/>
              <w:rPr>
                <w:sz w:val="24"/>
                <w:szCs w:val="24"/>
                <w:color w:val="auto"/>
              </w:rPr>
            </w:pPr>
          </w:p>
        </w:tc>
      </w:tr>
      <w:tr>
        <w:trPr>
          <w:trHeight w:val="266"/>
        </w:trPr>
        <w:tc>
          <w:tcPr>
            <w:tcW w:w="6460" w:type="dxa"/>
            <w:vAlign w:val="bottom"/>
          </w:tcPr>
          <w:p>
            <w:pPr>
              <w:spacing w:after="0"/>
              <w:rPr>
                <w:sz w:val="20"/>
                <w:szCs w:val="20"/>
                <w:color w:val="auto"/>
              </w:rPr>
            </w:pPr>
            <w:r>
              <w:rPr>
                <w:rFonts w:ascii="Arial" w:cs="Arial" w:eastAsia="Arial" w:hAnsi="Arial"/>
                <w:sz w:val="17"/>
                <w:szCs w:val="17"/>
                <w:color w:val="auto"/>
              </w:rPr>
              <w:t>Plus: Offering costs paid in advance, excluded from tangible book value</w:t>
            </w:r>
          </w:p>
        </w:tc>
        <w:tc>
          <w:tcPr>
            <w:tcW w:w="100" w:type="dxa"/>
            <w:vAlign w:val="bottom"/>
          </w:tcPr>
          <w:p>
            <w:pPr>
              <w:spacing w:after="0"/>
              <w:rPr>
                <w:sz w:val="23"/>
                <w:szCs w:val="23"/>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25,000</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25,000</w:t>
            </w:r>
          </w:p>
        </w:tc>
      </w:tr>
      <w:tr>
        <w:trPr>
          <w:trHeight w:val="58"/>
        </w:trPr>
        <w:tc>
          <w:tcPr>
            <w:tcW w:w="6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304"/>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Less: Deferred underwriting commissions</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(4,550,000)</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(5,232,500)</w:t>
            </w:r>
          </w:p>
        </w:tc>
      </w:tr>
      <w:tr>
        <w:trPr>
          <w:trHeight w:val="257"/>
        </w:trPr>
        <w:tc>
          <w:tcPr>
            <w:tcW w:w="6460" w:type="dxa"/>
            <w:vAlign w:val="bottom"/>
          </w:tcPr>
          <w:p>
            <w:pPr>
              <w:spacing w:after="0" w:line="257" w:lineRule="exact"/>
              <w:rPr>
                <w:sz w:val="20"/>
                <w:szCs w:val="20"/>
                <w:color w:val="auto"/>
              </w:rPr>
            </w:pPr>
            <w:r>
              <w:rPr>
                <w:rFonts w:ascii="Arial" w:cs="Arial" w:eastAsia="Arial" w:hAnsi="Arial"/>
                <w:sz w:val="17"/>
                <w:szCs w:val="17"/>
                <w:color w:val="auto"/>
              </w:rPr>
              <w:t>Less: Proceeds held in trust subject to redemption</w:t>
            </w:r>
            <w:r>
              <w:rPr>
                <w:rFonts w:ascii="Arial" w:cs="Arial" w:eastAsia="Arial" w:hAnsi="Arial"/>
                <w:sz w:val="28"/>
                <w:szCs w:val="28"/>
                <w:color w:val="auto"/>
                <w:vertAlign w:val="superscript"/>
              </w:rPr>
              <w:t>(2)</w:t>
            </w:r>
          </w:p>
        </w:tc>
        <w:tc>
          <w:tcPr>
            <w:tcW w:w="100" w:type="dxa"/>
            <w:vAlign w:val="bottom"/>
          </w:tcPr>
          <w:p>
            <w:pPr>
              <w:spacing w:after="0"/>
              <w:rPr>
                <w:sz w:val="22"/>
                <w:szCs w:val="22"/>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7"/>
                <w:szCs w:val="17"/>
                <w:color w:val="auto"/>
                <w:w w:val="98"/>
              </w:rPr>
              <w:t>(121,470,750)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(140,288,250)</w:t>
            </w:r>
          </w:p>
        </w:tc>
      </w:tr>
      <w:tr>
        <w:trPr>
          <w:trHeight w:val="74"/>
        </w:trPr>
        <w:tc>
          <w:tcPr>
            <w:tcW w:w="6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372"/>
        </w:trPr>
        <w:tc>
          <w:tcPr>
            <w:tcW w:w="646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5,000,005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5,000,005</w:t>
            </w:r>
          </w:p>
        </w:tc>
        <w:tc>
          <w:tcPr>
            <w:tcW w:w="100" w:type="dxa"/>
            <w:vAlign w:val="bottom"/>
            <w:shd w:val="clear" w:color="auto" w:fill="CCEEFF"/>
          </w:tcPr>
          <w:p>
            <w:pPr>
              <w:spacing w:after="0"/>
              <w:rPr>
                <w:sz w:val="24"/>
                <w:szCs w:val="24"/>
                <w:color w:val="auto"/>
              </w:rPr>
            </w:pPr>
          </w:p>
        </w:tc>
      </w:tr>
      <w:tr>
        <w:trPr>
          <w:trHeight w:val="307"/>
        </w:trPr>
        <w:tc>
          <w:tcPr>
            <w:tcW w:w="646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Denominator:</w:t>
            </w: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58"/>
        </w:trPr>
        <w:tc>
          <w:tcPr>
            <w:tcW w:w="6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304"/>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Ordinary shares outstanding prior to this offering</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3,737,750</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3,737,500</w:t>
            </w:r>
          </w:p>
        </w:tc>
      </w:tr>
      <w:tr>
        <w:trPr>
          <w:trHeight w:val="266"/>
        </w:trPr>
        <w:tc>
          <w:tcPr>
            <w:tcW w:w="6460" w:type="dxa"/>
            <w:vAlign w:val="bottom"/>
          </w:tcPr>
          <w:p>
            <w:pPr>
              <w:spacing w:after="0"/>
              <w:rPr>
                <w:sz w:val="20"/>
                <w:szCs w:val="20"/>
                <w:color w:val="auto"/>
              </w:rPr>
            </w:pPr>
            <w:r>
              <w:rPr>
                <w:rFonts w:ascii="Arial" w:cs="Arial" w:eastAsia="Arial" w:hAnsi="Arial"/>
                <w:sz w:val="17"/>
                <w:szCs w:val="17"/>
                <w:color w:val="auto"/>
              </w:rPr>
              <w:t>Ordinary shares forfeited if over-allotment is not exercised</w:t>
            </w:r>
          </w:p>
        </w:tc>
        <w:tc>
          <w:tcPr>
            <w:tcW w:w="100" w:type="dxa"/>
            <w:vAlign w:val="bottom"/>
          </w:tcPr>
          <w:p>
            <w:pPr>
              <w:spacing w:after="0"/>
              <w:rPr>
                <w:sz w:val="23"/>
                <w:szCs w:val="23"/>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7"/>
                <w:szCs w:val="17"/>
                <w:color w:val="auto"/>
              </w:rPr>
              <w:t>(487,500)</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58"/>
        </w:trPr>
        <w:tc>
          <w:tcPr>
            <w:tcW w:w="6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304"/>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Ordinary shares offered and sale of private placement shares</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13,460,000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15,449,000</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56"/>
        </w:trPr>
        <w:tc>
          <w:tcPr>
            <w:tcW w:w="6460" w:type="dxa"/>
            <w:vAlign w:val="bottom"/>
          </w:tcPr>
          <w:p>
            <w:pPr>
              <w:spacing w:after="0"/>
              <w:rPr>
                <w:sz w:val="20"/>
                <w:szCs w:val="20"/>
                <w:color w:val="auto"/>
              </w:rPr>
            </w:pPr>
            <w:r>
              <w:rPr>
                <w:rFonts w:ascii="Arial" w:cs="Arial" w:eastAsia="Arial" w:hAnsi="Arial"/>
                <w:sz w:val="17"/>
                <w:szCs w:val="17"/>
                <w:color w:val="auto"/>
              </w:rPr>
              <w:t>Less: Ordinary shares subject to redemption</w:t>
            </w:r>
          </w:p>
        </w:tc>
        <w:tc>
          <w:tcPr>
            <w:tcW w:w="100" w:type="dxa"/>
            <w:vAlign w:val="bottom"/>
          </w:tcPr>
          <w:p>
            <w:pPr>
              <w:spacing w:after="0"/>
              <w:rPr>
                <w:sz w:val="22"/>
                <w:szCs w:val="22"/>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(12,147,075)</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(14,028,825)</w:t>
            </w:r>
          </w:p>
        </w:tc>
      </w:tr>
      <w:tr>
        <w:trPr>
          <w:trHeight w:val="75"/>
        </w:trPr>
        <w:tc>
          <w:tcPr>
            <w:tcW w:w="6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392"/>
        </w:trPr>
        <w:tc>
          <w:tcPr>
            <w:tcW w:w="64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4,562,925</w:t>
            </w:r>
          </w:p>
        </w:tc>
        <w:tc>
          <w:tcPr>
            <w:tcW w:w="1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5,157,675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-2853690</wp:posOffset>
            </wp:positionV>
            <wp:extent cx="1200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-2853690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 w:lineRule="exact"/>
        <w:rPr>
          <w:sz w:val="20"/>
          <w:szCs w:val="20"/>
          <w:color w:val="auto"/>
        </w:rPr>
      </w:pPr>
    </w:p>
    <w:p>
      <w:pPr>
        <w:ind w:left="360" w:right="460" w:hanging="352"/>
        <w:spacing w:after="0" w:line="230" w:lineRule="auto"/>
        <w:tabs>
          <w:tab w:leader="none" w:pos="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Expenses applied against gross proceeds include offering expenses of $1,000,000 and underwriting commissions of $2,600,000 or $2,990,000 if the underwriters exercise their over-allotment option (excluding deferred underwriting fees). See “Use of Proceeds.”</w:t>
      </w:r>
    </w:p>
    <w:p>
      <w:pPr>
        <w:spacing w:after="0" w:line="37" w:lineRule="exact"/>
        <w:rPr>
          <w:rFonts w:ascii="Arial" w:cs="Arial" w:eastAsia="Arial" w:hAnsi="Arial"/>
          <w:sz w:val="13"/>
          <w:szCs w:val="13"/>
          <w:color w:val="auto"/>
        </w:rPr>
      </w:pPr>
    </w:p>
    <w:p>
      <w:pPr>
        <w:ind w:left="360" w:right="160" w:hanging="352"/>
        <w:spacing w:after="0" w:line="221" w:lineRule="auto"/>
        <w:tabs>
          <w:tab w:leader="none" w:pos="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in privately negotiated transactions or in the open market either prior to or following the completion of our initial business combination. In the event of any such purchases of our shares prior to the completion of our initial business combination, the number of Class A ordinary shares subject to redemption will be reduced by the amount of any such purchases, increasing the pro forma net tangible book value per share. See “Proposed Business — Effecting Our Initial Business Combination — Permitted Purchases and Other Transactions with Respect to Our Securities.”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88"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The following table sets forth our capitalization at April 2, 2020, and as adjusted to give effect to the filing of our amended and restated memorandum and articles of association, the sale of our Class A ordinary shares in this offering and the private placement shares and the application of the estimated net proceeds derived from the sale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7607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April 2, 2020</w:t>
            </w:r>
          </w:p>
        </w:tc>
      </w:tr>
      <w:tr>
        <w:trPr>
          <w:trHeight w:val="79"/>
        </w:trPr>
        <w:tc>
          <w:tcPr>
            <w:tcW w:w="68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r>
      <w:tr>
        <w:trPr>
          <w:trHeight w:val="265"/>
        </w:trPr>
        <w:tc>
          <w:tcPr>
            <w:tcW w:w="6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4"/>
          </w:tcPr>
          <w:p>
            <w:pPr>
              <w:ind w:left="40"/>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23"/>
                <w:szCs w:val="23"/>
                <w:color w:val="auto"/>
              </w:rPr>
            </w:pPr>
          </w:p>
        </w:tc>
        <w:tc>
          <w:tcPr>
            <w:tcW w:w="1180" w:type="dxa"/>
            <w:vAlign w:val="bottom"/>
            <w:gridSpan w:val="6"/>
          </w:tcPr>
          <w:p>
            <w:pPr>
              <w:jc w:val="center"/>
              <w:spacing w:after="0"/>
              <w:rPr>
                <w:sz w:val="20"/>
                <w:szCs w:val="20"/>
                <w:color w:val="auto"/>
              </w:rPr>
            </w:pPr>
            <w:r>
              <w:rPr>
                <w:rFonts w:ascii="Arial" w:cs="Arial" w:eastAsia="Arial" w:hAnsi="Arial"/>
                <w:sz w:val="14"/>
                <w:szCs w:val="14"/>
                <w:b w:val="1"/>
                <w:bCs w:val="1"/>
                <w:color w:val="auto"/>
              </w:rPr>
              <w:t>As Adjusted (1)</w:t>
            </w:r>
          </w:p>
        </w:tc>
      </w:tr>
      <w:tr>
        <w:trPr>
          <w:trHeight w:val="80"/>
        </w:trPr>
        <w:tc>
          <w:tcPr>
            <w:tcW w:w="68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r>
      <w:tr>
        <w:trPr>
          <w:trHeight w:val="344"/>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Note payable - related party</w:t>
            </w:r>
            <w:r>
              <w:rPr>
                <w:rFonts w:ascii="Arial" w:cs="Arial" w:eastAsia="Arial" w:hAnsi="Arial"/>
                <w:sz w:val="28"/>
                <w:szCs w:val="28"/>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w w:val="84"/>
              </w:rPr>
              <w:t>$</w:t>
            </w:r>
          </w:p>
        </w:tc>
        <w:tc>
          <w:tcPr>
            <w:tcW w:w="108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w:t>
            </w:r>
          </w:p>
        </w:tc>
      </w:tr>
      <w:tr>
        <w:trPr>
          <w:trHeight w:val="257"/>
        </w:trPr>
        <w:tc>
          <w:tcPr>
            <w:tcW w:w="6820" w:type="dxa"/>
            <w:vAlign w:val="bottom"/>
          </w:tcPr>
          <w:p>
            <w:pPr>
              <w:spacing w:after="0" w:line="257" w:lineRule="exact"/>
              <w:rPr>
                <w:sz w:val="20"/>
                <w:szCs w:val="20"/>
                <w:color w:val="auto"/>
              </w:rPr>
            </w:pPr>
            <w:r>
              <w:rPr>
                <w:rFonts w:ascii="Arial" w:cs="Arial" w:eastAsia="Arial" w:hAnsi="Arial"/>
                <w:sz w:val="17"/>
                <w:szCs w:val="17"/>
                <w:color w:val="auto"/>
              </w:rPr>
              <w:t>Deferred underwriting commissions</w:t>
            </w:r>
            <w:r>
              <w:rPr>
                <w:rFonts w:ascii="Arial" w:cs="Arial" w:eastAsia="Arial" w:hAnsi="Arial"/>
                <w:sz w:val="28"/>
                <w:szCs w:val="28"/>
                <w:color w:val="auto"/>
                <w:vertAlign w:val="superscript"/>
              </w:rPr>
              <w:t>(3)</w:t>
            </w:r>
          </w:p>
        </w:tc>
        <w:tc>
          <w:tcPr>
            <w:tcW w:w="100" w:type="dxa"/>
            <w:vAlign w:val="bottom"/>
          </w:tcPr>
          <w:p>
            <w:pPr>
              <w:spacing w:after="0"/>
              <w:rPr>
                <w:sz w:val="22"/>
                <w:szCs w:val="22"/>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4,550,000</w:t>
            </w:r>
          </w:p>
        </w:tc>
        <w:tc>
          <w:tcPr>
            <w:tcW w:w="60" w:type="dxa"/>
            <w:vAlign w:val="bottom"/>
          </w:tcPr>
          <w:p>
            <w:pPr>
              <w:spacing w:after="0"/>
              <w:rPr>
                <w:sz w:val="22"/>
                <w:szCs w:val="22"/>
                <w:color w:val="auto"/>
              </w:rPr>
            </w:pPr>
          </w:p>
        </w:tc>
      </w:tr>
      <w:tr>
        <w:trPr>
          <w:trHeight w:val="74"/>
        </w:trPr>
        <w:tc>
          <w:tcPr>
            <w:tcW w:w="68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77"/>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Class A ordinary shares, $0.0001 par value, 479,000,000 shares authorized; -0- and</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189"/>
        </w:trPr>
        <w:tc>
          <w:tcPr>
            <w:tcW w:w="682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12,147,075 shares are subject to possible redemption, actual and as adjusted,</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43"/>
        </w:trPr>
        <w:tc>
          <w:tcPr>
            <w:tcW w:w="6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respectively</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99"/>
              </w:rPr>
              <w:t>121,470,750</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50"/>
        </w:trPr>
        <w:tc>
          <w:tcPr>
            <w:tcW w:w="6820" w:type="dxa"/>
            <w:vAlign w:val="bottom"/>
          </w:tcPr>
          <w:p>
            <w:pPr>
              <w:spacing w:after="0"/>
              <w:rPr>
                <w:sz w:val="20"/>
                <w:szCs w:val="20"/>
                <w:color w:val="auto"/>
              </w:rPr>
            </w:pPr>
            <w:r>
              <w:rPr>
                <w:rFonts w:ascii="Arial" w:cs="Arial" w:eastAsia="Arial" w:hAnsi="Arial"/>
                <w:sz w:val="17"/>
                <w:szCs w:val="17"/>
                <w:color w:val="auto"/>
              </w:rPr>
              <w:t>Preference shares, $0.0001 par value; 1,000,000 shares authorized; none issued</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5"/>
        </w:trPr>
        <w:tc>
          <w:tcPr>
            <w:tcW w:w="6820" w:type="dxa"/>
            <w:vAlign w:val="bottom"/>
          </w:tcPr>
          <w:p>
            <w:pPr>
              <w:ind w:left="180"/>
              <w:spacing w:after="0"/>
              <w:rPr>
                <w:sz w:val="20"/>
                <w:szCs w:val="20"/>
                <w:color w:val="auto"/>
              </w:rPr>
            </w:pPr>
            <w:r>
              <w:rPr>
                <w:rFonts w:ascii="Arial" w:cs="Arial" w:eastAsia="Arial" w:hAnsi="Arial"/>
                <w:sz w:val="17"/>
                <w:szCs w:val="17"/>
                <w:color w:val="auto"/>
              </w:rPr>
              <w:t>and outstanding, actual and as adjusted</w:t>
            </w:r>
          </w:p>
        </w:tc>
        <w:tc>
          <w:tcPr>
            <w:tcW w:w="100" w:type="dxa"/>
            <w:vAlign w:val="bottom"/>
          </w:tcPr>
          <w:p>
            <w:pPr>
              <w:spacing w:after="0"/>
              <w:rPr>
                <w:sz w:val="17"/>
                <w:szCs w:val="17"/>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5"/>
          </w:tcPr>
          <w:p>
            <w:pPr>
              <w:jc w:val="right"/>
              <w:ind w:right="40"/>
              <w:spacing w:after="0"/>
              <w:rPr>
                <w:sz w:val="20"/>
                <w:szCs w:val="20"/>
                <w:color w:val="auto"/>
              </w:rPr>
            </w:pPr>
            <w:r>
              <w:rPr>
                <w:rFonts w:ascii="Arial" w:cs="Arial" w:eastAsia="Arial" w:hAnsi="Arial"/>
                <w:sz w:val="17"/>
                <w:szCs w:val="17"/>
                <w:color w:val="auto"/>
              </w:rPr>
              <w:t>—</w:t>
            </w:r>
          </w:p>
        </w:tc>
      </w:tr>
      <w:tr>
        <w:trPr>
          <w:trHeight w:val="58"/>
        </w:trPr>
        <w:tc>
          <w:tcPr>
            <w:tcW w:w="6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50"/>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Class A ordinary shares, $0.0001 par value, 479,000,000 shares authorized; -0- and</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188"/>
        </w:trPr>
        <w:tc>
          <w:tcPr>
            <w:tcW w:w="6820" w:type="dxa"/>
            <w:vAlign w:val="bottom"/>
            <w:shd w:val="clear" w:color="auto" w:fill="CCEEFF"/>
          </w:tcPr>
          <w:p>
            <w:pPr>
              <w:ind w:left="180"/>
              <w:spacing w:after="0" w:line="188" w:lineRule="exact"/>
              <w:rPr>
                <w:sz w:val="20"/>
                <w:szCs w:val="20"/>
                <w:color w:val="auto"/>
              </w:rPr>
            </w:pPr>
            <w:r>
              <w:rPr>
                <w:rFonts w:ascii="Arial" w:cs="Arial" w:eastAsia="Arial" w:hAnsi="Arial"/>
                <w:sz w:val="17"/>
                <w:szCs w:val="17"/>
                <w:color w:val="auto"/>
              </w:rPr>
              <w:t>1,312,925 shares issued and outstanding (excluding -0- and 12,147,075 shares</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64"/>
        </w:trPr>
        <w:tc>
          <w:tcPr>
            <w:tcW w:w="6820" w:type="dxa"/>
            <w:vAlign w:val="bottom"/>
            <w:shd w:val="clear" w:color="auto" w:fill="CCEEFF"/>
          </w:tcPr>
          <w:p>
            <w:pPr>
              <w:ind w:left="180"/>
              <w:spacing w:after="0" w:line="263" w:lineRule="exact"/>
              <w:rPr>
                <w:sz w:val="20"/>
                <w:szCs w:val="20"/>
                <w:color w:val="auto"/>
              </w:rPr>
            </w:pPr>
            <w:r>
              <w:rPr>
                <w:rFonts w:ascii="Arial" w:cs="Arial" w:eastAsia="Arial" w:hAnsi="Arial"/>
                <w:sz w:val="17"/>
                <w:szCs w:val="17"/>
                <w:color w:val="auto"/>
              </w:rPr>
              <w:t>subject to possible redemption), actual and as adjusted, respectively</w:t>
            </w:r>
            <w:r>
              <w:rPr>
                <w:rFonts w:ascii="Arial" w:cs="Arial" w:eastAsia="Arial" w:hAnsi="Arial"/>
                <w:sz w:val="28"/>
                <w:szCs w:val="28"/>
                <w:color w:val="auto"/>
                <w:vertAlign w:val="superscript"/>
              </w:rPr>
              <w:t>(4)</w:t>
            </w:r>
          </w:p>
        </w:tc>
        <w:tc>
          <w:tcPr>
            <w:tcW w:w="100" w:type="dxa"/>
            <w:vAlign w:val="bottom"/>
            <w:shd w:val="clear" w:color="auto" w:fill="CCEEFF"/>
          </w:tcPr>
          <w:p>
            <w:pPr>
              <w:spacing w:after="0"/>
              <w:rPr>
                <w:sz w:val="22"/>
                <w:szCs w:val="22"/>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131</w:t>
            </w:r>
          </w:p>
        </w:tc>
      </w:tr>
      <w:tr>
        <w:trPr>
          <w:trHeight w:val="250"/>
        </w:trPr>
        <w:tc>
          <w:tcPr>
            <w:tcW w:w="6820" w:type="dxa"/>
            <w:vAlign w:val="bottom"/>
          </w:tcPr>
          <w:p>
            <w:pPr>
              <w:spacing w:after="0"/>
              <w:rPr>
                <w:sz w:val="20"/>
                <w:szCs w:val="20"/>
                <w:color w:val="auto"/>
              </w:rPr>
            </w:pPr>
            <w:r>
              <w:rPr>
                <w:rFonts w:ascii="Arial" w:cs="Arial" w:eastAsia="Arial" w:hAnsi="Arial"/>
                <w:sz w:val="17"/>
                <w:szCs w:val="17"/>
                <w:color w:val="auto"/>
              </w:rPr>
              <w:t>Class B ordinary shares, $0.0001 par value, 20,000,000 shares authorized,</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89"/>
        </w:trPr>
        <w:tc>
          <w:tcPr>
            <w:tcW w:w="6820" w:type="dxa"/>
            <w:vAlign w:val="bottom"/>
          </w:tcPr>
          <w:p>
            <w:pPr>
              <w:ind w:left="180"/>
              <w:spacing w:after="0" w:line="189" w:lineRule="exact"/>
              <w:rPr>
                <w:sz w:val="20"/>
                <w:szCs w:val="20"/>
                <w:color w:val="auto"/>
              </w:rPr>
            </w:pPr>
            <w:r>
              <w:rPr>
                <w:rFonts w:ascii="Arial" w:cs="Arial" w:eastAsia="Arial" w:hAnsi="Arial"/>
                <w:sz w:val="17"/>
                <w:szCs w:val="17"/>
                <w:color w:val="auto"/>
              </w:rPr>
              <w:t>3,737,500 and 3,250,000 shares issued and outstanding, actual and as adjusted,</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6820" w:type="dxa"/>
            <w:vAlign w:val="bottom"/>
          </w:tcPr>
          <w:p>
            <w:pPr>
              <w:ind w:left="180"/>
              <w:spacing w:after="0"/>
              <w:rPr>
                <w:sz w:val="20"/>
                <w:szCs w:val="20"/>
                <w:color w:val="auto"/>
              </w:rPr>
            </w:pPr>
            <w:r>
              <w:rPr>
                <w:rFonts w:ascii="Arial" w:cs="Arial" w:eastAsia="Arial" w:hAnsi="Arial"/>
                <w:sz w:val="17"/>
                <w:szCs w:val="17"/>
                <w:color w:val="auto"/>
              </w:rPr>
              <w:t>respectively</w:t>
            </w:r>
          </w:p>
        </w:tc>
        <w:tc>
          <w:tcPr>
            <w:tcW w:w="100" w:type="dxa"/>
            <w:vAlign w:val="bottom"/>
          </w:tcPr>
          <w:p>
            <w:pPr>
              <w:spacing w:after="0"/>
              <w:rPr>
                <w:sz w:val="17"/>
                <w:szCs w:val="17"/>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7"/>
                <w:szCs w:val="17"/>
                <w:color w:val="auto"/>
              </w:rPr>
              <w:t>374</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7"/>
                <w:szCs w:val="17"/>
                <w:color w:val="auto"/>
              </w:rPr>
              <w:t>326</w:t>
            </w:r>
          </w:p>
        </w:tc>
      </w:tr>
      <w:tr>
        <w:trPr>
          <w:trHeight w:val="58"/>
        </w:trPr>
        <w:tc>
          <w:tcPr>
            <w:tcW w:w="6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24,626</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5,003,793</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57"/>
        </w:trPr>
        <w:tc>
          <w:tcPr>
            <w:tcW w:w="6820" w:type="dxa"/>
            <w:vAlign w:val="bottom"/>
          </w:tcPr>
          <w:p>
            <w:pPr>
              <w:spacing w:after="0"/>
              <w:rPr>
                <w:sz w:val="20"/>
                <w:szCs w:val="20"/>
                <w:color w:val="auto"/>
              </w:rPr>
            </w:pPr>
            <w:r>
              <w:rPr>
                <w:rFonts w:ascii="Arial" w:cs="Arial" w:eastAsia="Arial" w:hAnsi="Arial"/>
                <w:sz w:val="17"/>
                <w:szCs w:val="17"/>
                <w:color w:val="auto"/>
              </w:rPr>
              <w:t>Accumulated deficit</w:t>
            </w:r>
          </w:p>
        </w:tc>
        <w:tc>
          <w:tcPr>
            <w:tcW w:w="100" w:type="dxa"/>
            <w:vAlign w:val="bottom"/>
          </w:tcPr>
          <w:p>
            <w:pPr>
              <w:spacing w:after="0"/>
              <w:rPr>
                <w:sz w:val="22"/>
                <w:szCs w:val="22"/>
                <w:color w:val="auto"/>
              </w:rPr>
            </w:pPr>
          </w:p>
        </w:tc>
        <w:tc>
          <w:tcPr>
            <w:tcW w:w="600" w:type="dxa"/>
            <w:vAlign w:val="bottom"/>
            <w:gridSpan w:val="4"/>
          </w:tcPr>
          <w:p>
            <w:pPr>
              <w:ind w:left="60"/>
              <w:spacing w:after="0"/>
              <w:rPr>
                <w:sz w:val="20"/>
                <w:szCs w:val="20"/>
                <w:color w:val="auto"/>
              </w:rPr>
            </w:pPr>
            <w:r>
              <w:rPr>
                <w:rFonts w:ascii="Arial" w:cs="Arial" w:eastAsia="Arial" w:hAnsi="Arial"/>
                <w:sz w:val="17"/>
                <w:szCs w:val="17"/>
                <w:color w:val="auto"/>
                <w:w w:val="96"/>
              </w:rPr>
              <w:t>(4,245)</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7"/>
                <w:szCs w:val="17"/>
                <w:color w:val="auto"/>
              </w:rPr>
              <w:t>(4,245)</w:t>
            </w:r>
          </w:p>
        </w:tc>
      </w:tr>
      <w:tr>
        <w:trPr>
          <w:trHeight w:val="74"/>
        </w:trPr>
        <w:tc>
          <w:tcPr>
            <w:tcW w:w="68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84"/>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20,755</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w w:val="84"/>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5,000,005</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75"/>
        </w:trPr>
        <w:tc>
          <w:tcPr>
            <w:tcW w:w="68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94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83"/>
        </w:trPr>
        <w:tc>
          <w:tcPr>
            <w:tcW w:w="6820" w:type="dxa"/>
            <w:vAlign w:val="bottom"/>
          </w:tcPr>
          <w:p>
            <w:pPr>
              <w:spacing w:after="0"/>
              <w:rPr>
                <w:sz w:val="20"/>
                <w:szCs w:val="20"/>
                <w:color w:val="auto"/>
              </w:rPr>
            </w:pPr>
            <w:r>
              <w:rPr>
                <w:rFonts w:ascii="Arial" w:cs="Arial" w:eastAsia="Arial" w:hAnsi="Arial"/>
                <w:sz w:val="17"/>
                <w:szCs w:val="17"/>
                <w:color w:val="auto"/>
              </w:rPr>
              <w:t>Total capitalization</w:t>
            </w:r>
          </w:p>
        </w:tc>
        <w:tc>
          <w:tcPr>
            <w:tcW w:w="62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20,755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tcPr>
          <w:p>
            <w:pPr>
              <w:ind w:left="380"/>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131,020,755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
        </w:trPr>
        <w:tc>
          <w:tcPr>
            <w:tcW w:w="6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-3059430</wp:posOffset>
            </wp:positionV>
            <wp:extent cx="2400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-3059430</wp:posOffset>
            </wp:positionV>
            <wp:extent cx="1200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8"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Assumes no exercise of the underwriters’ over-allotment option and the corresponding forfeiture of 487,500 Class B ordinary shares held by our sponsor.</w:t>
      </w:r>
    </w:p>
    <w:p>
      <w:pPr>
        <w:spacing w:after="0" w:line="51" w:lineRule="exact"/>
        <w:rPr>
          <w:rFonts w:ascii="Arial" w:cs="Arial" w:eastAsia="Arial" w:hAnsi="Arial"/>
          <w:sz w:val="12"/>
          <w:szCs w:val="12"/>
          <w:color w:val="auto"/>
        </w:rPr>
      </w:pPr>
    </w:p>
    <w:p>
      <w:pPr>
        <w:ind w:left="360" w:right="260" w:hanging="352"/>
        <w:spacing w:after="0" w:line="230" w:lineRule="auto"/>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sponsor may loan us up to $300,000 under an unsecured promissory note to be used for a portion of the expenses of this offering. To date, we have fully borrowed $200,000 from our sponsor to cover for expenses in connection with this offering.</w:t>
      </w:r>
    </w:p>
    <w:p>
      <w:pPr>
        <w:spacing w:after="0" w:line="37" w:lineRule="exact"/>
        <w:rPr>
          <w:rFonts w:ascii="Arial" w:cs="Arial" w:eastAsia="Arial" w:hAnsi="Arial"/>
          <w:sz w:val="13"/>
          <w:szCs w:val="13"/>
          <w:color w:val="auto"/>
        </w:rPr>
      </w:pPr>
    </w:p>
    <w:p>
      <w:pPr>
        <w:ind w:left="360" w:right="180" w:hanging="352"/>
        <w:spacing w:after="0" w:line="221" w:lineRule="auto"/>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$0.35 per share, or $4.550 million in the aggregate, will be payable to the underwriters for deferred underwriting commissions. The deferred underwriting commissions will become payable to the underwriters from the amounts held in the Trust Account solely in the event that the Company completes a Business Combination, subject to the terms of the underwriting agreement. The Company records deferred underwriting commissions upon the closing of the initial public offering as a reduction of additional paid-in capital. Since the actual additional paid-in capital was reduced by the recording of the accrued deferred underwriting commission, total capitalization, as adjusted, includes the amount of the deferred underwriting commission to reflect total capitalization.</w:t>
      </w:r>
    </w:p>
    <w:p>
      <w:pPr>
        <w:spacing w:after="0" w:line="38" w:lineRule="exact"/>
        <w:rPr>
          <w:rFonts w:ascii="Arial" w:cs="Arial" w:eastAsia="Arial" w:hAnsi="Arial"/>
          <w:sz w:val="13"/>
          <w:szCs w:val="13"/>
          <w:color w:val="auto"/>
        </w:rPr>
      </w:pPr>
    </w:p>
    <w:p>
      <w:pPr>
        <w:ind w:left="360" w:right="80" w:hanging="352"/>
        <w:spacing w:after="0" w:line="221" w:lineRule="auto"/>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Upon the completion of our initial business combination, we will provide our public shareholders with the opportunity to redeem their public shares for cash at a per share price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whereby redemptions cannot cause our net tangible assets to be less than $5,000,001 and any limitations (including, but not limited to, cash requirements) created by the terms of the proposed business combination.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are a blank check company incorporated on March 27, 2020 as a Cayman Islands exempted company for the purpose of effecting a merger, share exchange, asset acquisition, share purchase, reorganization or similar business combination with one or more businesses. We have not selected any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sale of the private placement shares, our shares, debt or a combination of cash, equity and debt.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issuance of additional shares in a business combination:</w:t>
      </w:r>
    </w:p>
    <w:p>
      <w:pPr>
        <w:spacing w:after="0" w:line="102" w:lineRule="exact"/>
        <w:rPr>
          <w:sz w:val="20"/>
          <w:szCs w:val="20"/>
          <w:color w:val="auto"/>
        </w:rPr>
      </w:pPr>
    </w:p>
    <w:p>
      <w:pPr>
        <w:ind w:left="580" w:right="240"/>
        <w:spacing w:after="0" w:line="238" w:lineRule="auto"/>
        <w:rPr>
          <w:sz w:val="20"/>
          <w:szCs w:val="20"/>
          <w:color w:val="auto"/>
        </w:rPr>
      </w:pPr>
      <w:r>
        <w:rPr>
          <w:rFonts w:ascii="Arial" w:cs="Arial" w:eastAsia="Arial" w:hAnsi="Arial"/>
          <w:sz w:val="17"/>
          <w:szCs w:val="17"/>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93" w:lineRule="exact"/>
        <w:rPr>
          <w:sz w:val="20"/>
          <w:szCs w:val="20"/>
          <w:color w:val="auto"/>
        </w:rPr>
      </w:pPr>
    </w:p>
    <w:p>
      <w:pPr>
        <w:ind w:left="580" w:right="400"/>
        <w:spacing w:after="0" w:line="243" w:lineRule="auto"/>
        <w:rPr>
          <w:sz w:val="20"/>
          <w:szCs w:val="20"/>
          <w:color w:val="auto"/>
        </w:rPr>
      </w:pPr>
      <w:r>
        <w:rPr>
          <w:rFonts w:ascii="Arial" w:cs="Arial" w:eastAsia="Arial" w:hAnsi="Arial"/>
          <w:sz w:val="17"/>
          <w:szCs w:val="17"/>
          <w:color w:val="auto"/>
        </w:rPr>
        <w:t>may subordinate the rights of holders of Class A ordinary shares if preference shares are issued with rights senior to those afforded our Class A ordinary shares;</w:t>
      </w:r>
    </w:p>
    <w:p>
      <w:pPr>
        <w:spacing w:after="0" w:line="90" w:lineRule="exact"/>
        <w:rPr>
          <w:sz w:val="20"/>
          <w:szCs w:val="20"/>
          <w:color w:val="auto"/>
        </w:rPr>
      </w:pPr>
    </w:p>
    <w:p>
      <w:pPr>
        <w:ind w:left="580" w:right="80"/>
        <w:spacing w:after="0" w:line="238" w:lineRule="auto"/>
        <w:rPr>
          <w:sz w:val="20"/>
          <w:szCs w:val="20"/>
          <w:color w:val="auto"/>
        </w:rPr>
      </w:pPr>
      <w:r>
        <w:rPr>
          <w:rFonts w:ascii="Arial" w:cs="Arial" w:eastAsia="Arial" w:hAnsi="Arial"/>
          <w:sz w:val="17"/>
          <w:szCs w:val="17"/>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93" w:lineRule="exact"/>
        <w:rPr>
          <w:sz w:val="20"/>
          <w:szCs w:val="20"/>
          <w:color w:val="auto"/>
        </w:rPr>
      </w:pPr>
    </w:p>
    <w:p>
      <w:pPr>
        <w:ind w:left="580" w:right="40"/>
        <w:spacing w:after="0" w:line="243" w:lineRule="auto"/>
        <w:rPr>
          <w:sz w:val="20"/>
          <w:szCs w:val="20"/>
          <w:color w:val="auto"/>
        </w:rPr>
      </w:pPr>
      <w:r>
        <w:rPr>
          <w:rFonts w:ascii="Arial" w:cs="Arial" w:eastAsia="Arial" w:hAnsi="Arial"/>
          <w:sz w:val="17"/>
          <w:szCs w:val="17"/>
          <w:color w:val="auto"/>
        </w:rPr>
        <w:t>may have the effect of delaying or preventing a change of control of us by diluting the share ownership or voting rights of a person seeking to obtain control of us; and</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may adversely affect prevailing market prices for our Class A ordinary shares.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Similarly, if we issue debt or otherwise incur significant debt, it could result in:</w:t>
      </w:r>
    </w:p>
    <w:p>
      <w:pPr>
        <w:spacing w:after="0" w:line="102" w:lineRule="exact"/>
        <w:rPr>
          <w:sz w:val="20"/>
          <w:szCs w:val="20"/>
          <w:color w:val="auto"/>
        </w:rPr>
      </w:pPr>
    </w:p>
    <w:p>
      <w:pPr>
        <w:ind w:left="580" w:right="680"/>
        <w:spacing w:after="0" w:line="243" w:lineRule="auto"/>
        <w:rPr>
          <w:sz w:val="20"/>
          <w:szCs w:val="20"/>
          <w:color w:val="auto"/>
        </w:rPr>
      </w:pPr>
      <w:r>
        <w:rPr>
          <w:rFonts w:ascii="Arial" w:cs="Arial" w:eastAsia="Arial" w:hAnsi="Arial"/>
          <w:sz w:val="17"/>
          <w:szCs w:val="17"/>
          <w:color w:val="auto"/>
        </w:rPr>
        <w:t>default and foreclosure on our assets if our operating revenues after an initial business combination are insufficient to repay our debt obligations;</w:t>
      </w:r>
    </w:p>
    <w:p>
      <w:pPr>
        <w:spacing w:after="0" w:line="90" w:lineRule="exact"/>
        <w:rPr>
          <w:sz w:val="20"/>
          <w:szCs w:val="20"/>
          <w:color w:val="auto"/>
        </w:rPr>
      </w:pPr>
    </w:p>
    <w:p>
      <w:pPr>
        <w:jc w:val="both"/>
        <w:ind w:left="580" w:right="280"/>
        <w:spacing w:after="0" w:line="238" w:lineRule="auto"/>
        <w:rPr>
          <w:sz w:val="20"/>
          <w:szCs w:val="20"/>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immediate payment of all principal and accrued interest, if any, if the debt is payable on demand;</w:t>
      </w:r>
    </w:p>
    <w:p>
      <w:pPr>
        <w:spacing w:after="0" w:line="102" w:lineRule="exact"/>
        <w:rPr>
          <w:sz w:val="20"/>
          <w:szCs w:val="20"/>
          <w:color w:val="auto"/>
        </w:rPr>
      </w:pPr>
    </w:p>
    <w:p>
      <w:pPr>
        <w:ind w:left="580"/>
        <w:spacing w:after="0" w:line="243" w:lineRule="auto"/>
        <w:rPr>
          <w:sz w:val="20"/>
          <w:szCs w:val="20"/>
          <w:color w:val="auto"/>
        </w:rPr>
      </w:pPr>
      <w:r>
        <w:rPr>
          <w:rFonts w:ascii="Arial" w:cs="Arial" w:eastAsia="Arial" w:hAnsi="Arial"/>
          <w:sz w:val="17"/>
          <w:szCs w:val="17"/>
          <w:color w:val="auto"/>
        </w:rPr>
        <w:t>our inability to obtain necessary additional financing if the debt contains covenants restricting our ability to obtain such financing while the debt is outstanding;</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inability to pay dividends on our Class A ordinary shares;</w:t>
      </w:r>
    </w:p>
    <w:p>
      <w:pPr>
        <w:spacing w:after="0" w:line="102" w:lineRule="exact"/>
        <w:rPr>
          <w:sz w:val="20"/>
          <w:szCs w:val="20"/>
          <w:color w:val="auto"/>
        </w:rPr>
      </w:pPr>
    </w:p>
    <w:p>
      <w:pPr>
        <w:jc w:val="both"/>
        <w:ind w:left="580" w:right="60"/>
        <w:spacing w:after="0" w:line="238" w:lineRule="auto"/>
        <w:rPr>
          <w:sz w:val="20"/>
          <w:szCs w:val="20"/>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93" w:lineRule="exact"/>
        <w:rPr>
          <w:sz w:val="20"/>
          <w:szCs w:val="20"/>
          <w:color w:val="auto"/>
        </w:rPr>
      </w:pPr>
    </w:p>
    <w:p>
      <w:pPr>
        <w:ind w:left="580" w:right="180"/>
        <w:spacing w:after="0" w:line="243" w:lineRule="auto"/>
        <w:rPr>
          <w:sz w:val="20"/>
          <w:szCs w:val="20"/>
          <w:color w:val="auto"/>
        </w:rPr>
      </w:pPr>
      <w:r>
        <w:rPr>
          <w:rFonts w:ascii="Arial" w:cs="Arial" w:eastAsia="Arial" w:hAnsi="Arial"/>
          <w:sz w:val="17"/>
          <w:szCs w:val="17"/>
          <w:color w:val="auto"/>
        </w:rPr>
        <w:t>limitations on our flexibility in planning for and reacting to changes in our business and in the industry in which we operate;</w:t>
      </w:r>
    </w:p>
    <w:p>
      <w:pPr>
        <w:spacing w:after="0" w:line="90" w:lineRule="exact"/>
        <w:rPr>
          <w:sz w:val="20"/>
          <w:szCs w:val="20"/>
          <w:color w:val="auto"/>
        </w:rPr>
      </w:pPr>
    </w:p>
    <w:p>
      <w:pPr>
        <w:ind w:left="580" w:right="580"/>
        <w:spacing w:after="0" w:line="243" w:lineRule="auto"/>
        <w:rPr>
          <w:sz w:val="20"/>
          <w:szCs w:val="20"/>
          <w:color w:val="auto"/>
        </w:rPr>
      </w:pPr>
      <w:r>
        <w:rPr>
          <w:rFonts w:ascii="Arial" w:cs="Arial" w:eastAsia="Arial" w:hAnsi="Arial"/>
          <w:sz w:val="17"/>
          <w:szCs w:val="17"/>
          <w:color w:val="auto"/>
        </w:rPr>
        <w:t>increased vulnerability to adverse changes in general economic, industry and competitive conditions and adverse changes in government regulation; and</w:t>
      </w:r>
    </w:p>
    <w:p>
      <w:pPr>
        <w:spacing w:after="0" w:line="90" w:lineRule="exact"/>
        <w:rPr>
          <w:sz w:val="20"/>
          <w:szCs w:val="20"/>
          <w:color w:val="auto"/>
        </w:rPr>
      </w:pPr>
    </w:p>
    <w:p>
      <w:pPr>
        <w:ind w:left="580" w:right="180"/>
        <w:spacing w:after="0" w:line="238" w:lineRule="auto"/>
        <w:rPr>
          <w:sz w:val="20"/>
          <w:szCs w:val="20"/>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As indicated in the accompanying financial statements, as of April 2, 2020, we had no cash and deferred offering costs of $25,000. Further, we expect to incur significant costs in the pursuit of our initial business combination. We cannot assure you that our plans to raise capital or to complete our initial business combination will be successful.</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and Known Trends or Future Events</w:t>
      </w:r>
    </w:p>
    <w:p>
      <w:pPr>
        <w:spacing w:after="0" w:line="176"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6"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Our liquidity needs have been satisfied prior to the completion of this offering through receipt of a $25,000 capital contribution from our sponsor in exchange for the issuance of the founder shares to our sponsor and a commitment from our sponsor to loan up to $300,000 to us to cover our expenses in connection with this offering. We estimate that the net proceeds from (i) the sale of the Class A ordinary shares in this offering, after deducting offering expenses of $1.0 million, underwriting commissions of $2,600,000, or $2,990,000 if the underwriters’ over-allotment option is exercised in full (excluding deferred underwriting commissions of $4,550,000, or $5,232,500 if the underwriters’ over-allotment option is exercised in full), and (ii) the sale of the private placement shares for a purchase price of $4,600,000 (or $4,990,000 if the underwriters’ over-allotment option is exercised in full) will be $131.0 million (or $150.5 million if the underwriters’ over-allotment option is exercised in full). $130.0 million (or $149.5 million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$1.0 million will not be held in the trust account. In the event that our offering expenses exceed our estimate of</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$1.0 million, we may fund such excess with funds not to be held in the trust account. In such case, the amount of funds we intend to be held outside the trust account would decrease by a corresponding amount. Conversely, in the event that the offering expenses are less than our estimate of $1.0 million, the amount of funds we intend to be held outside the trust account would increase by a corresponding amount.</w:t>
      </w:r>
    </w:p>
    <w:p>
      <w:pPr>
        <w:spacing w:after="0" w:line="16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(less taxes payable and deferred underwriting commissions), to complete our initial business combination. We may withdraw interest income (if any) to pay income taxes, if any. Our annual income tax obligations will depend on the amount of interest and other income earned on the amounts held in the trust account. We expect the interest income earned on the amount in the trust account (if any)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6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Prior to the completion of our initial business combination, we will have available to us the $1.0 million of proceeds held outside the trust account, as well as certain funds from loans from our sponsor, members of our management team or any of their affiliates.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prior to the completion of our initial business combination, other than funds available from loans from our sponsor, members of our management team or any of their affiliates. However, if our estimates of the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costs of identifying a target business, undertaking in-depth due diligence and negotiating an initial business combination are less than the actual amount necessary to do so, we may have insufficient funds available to operate our business prior to the completion of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may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shares of the post-business combination company at a price of $10.00 per share at the option of the lender. The shares would be identical to the private placement shares. The terms of such loans, if any, have not been determined and no written agreements exist with respect to such loans. Prior to the completion of our initial business combination, we do not expect to seek loans from parties other than our sponsor, members of our management team or any of their affiliates as we do not believe third parties will be willing to loan such funds and provide a waiver against any and all rights to seek access to funds in our trust account.</w:t>
      </w:r>
    </w:p>
    <w:p>
      <w:pPr>
        <w:spacing w:after="0" w:line="165"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expect our primary liquidity requirements during that period to include approximately $350,000 for legal, accounting, due diligence, travel and other expenses in connection with any business combinations; $150,000 for legal and accounting fees related to regulatory reporting obligations; $100,000 for consulting, travel and miscellaneous expenses incurred during the search for an initial business combination target; $55,000 for Nasdaq continued listing fees; and $105,000 for general working capital that will be used for miscellaneous expenses and reserves. We will also reimburse our sponsor for office space, secretarial and administrative services provided to us in the amount of $10,000 per month ($240,000 in the aggregate).</w:t>
      </w:r>
    </w:p>
    <w:p>
      <w:pPr>
        <w:spacing w:after="0" w:line="164"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54"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If we have not consummated our initial business combination within 24 months from the closing of this offering because we do not have sufficient funds available to us, we will be forced to cease operations and liquidate the trust account.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Controls and Procedures</w:t>
      </w:r>
    </w:p>
    <w:p>
      <w:pPr>
        <w:spacing w:after="0" w:line="176"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Prior to the closing of this offering, we have not completed an assessment, nor have our auditors tested our systems, of our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97" w:lineRule="exact"/>
        <w:rPr>
          <w:sz w:val="20"/>
          <w:szCs w:val="20"/>
          <w:color w:val="auto"/>
        </w:rPr>
      </w:pPr>
    </w:p>
    <w:p>
      <w:pPr>
        <w:ind w:left="580" w:right="1460"/>
        <w:spacing w:after="0" w:line="364" w:lineRule="auto"/>
        <w:rPr>
          <w:sz w:val="20"/>
          <w:szCs w:val="20"/>
          <w:color w:val="auto"/>
        </w:rPr>
      </w:pPr>
      <w:r>
        <w:rPr>
          <w:rFonts w:ascii="Arial" w:cs="Arial" w:eastAsia="Arial" w:hAnsi="Arial"/>
          <w:sz w:val="17"/>
          <w:szCs w:val="17"/>
          <w:color w:val="auto"/>
        </w:rPr>
        <w:t>staffing for financial, accounting and external reporting areas, including segregation of duties; reconciliation of accounts;</w:t>
      </w:r>
    </w:p>
    <w:p>
      <w:pPr>
        <w:spacing w:after="0" w:line="1" w:lineRule="exact"/>
        <w:rPr>
          <w:sz w:val="20"/>
          <w:szCs w:val="20"/>
          <w:color w:val="auto"/>
        </w:rPr>
      </w:pPr>
    </w:p>
    <w:p>
      <w:pPr>
        <w:ind w:left="580" w:right="2680"/>
        <w:spacing w:after="0" w:line="364" w:lineRule="auto"/>
        <w:rPr>
          <w:sz w:val="20"/>
          <w:szCs w:val="20"/>
          <w:color w:val="auto"/>
        </w:rPr>
      </w:pPr>
      <w:r>
        <w:rPr>
          <w:rFonts w:ascii="Arial" w:cs="Arial" w:eastAsia="Arial" w:hAnsi="Arial"/>
          <w:sz w:val="17"/>
          <w:szCs w:val="17"/>
          <w:color w:val="auto"/>
        </w:rPr>
        <w:t>proper recording of expenses and liabilities in the period to which they relate; evidence of internal review and approval of accounting transactions;</w:t>
      </w:r>
    </w:p>
    <w:p>
      <w:pPr>
        <w:spacing w:after="0" w:line="1" w:lineRule="exact"/>
        <w:rPr>
          <w:sz w:val="20"/>
          <w:szCs w:val="20"/>
          <w:color w:val="auto"/>
        </w:rPr>
      </w:pPr>
    </w:p>
    <w:p>
      <w:pPr>
        <w:ind w:left="580" w:right="1220"/>
        <w:spacing w:after="0" w:line="375" w:lineRule="auto"/>
        <w:rPr>
          <w:sz w:val="20"/>
          <w:szCs w:val="20"/>
          <w:color w:val="auto"/>
        </w:rPr>
      </w:pPr>
      <w:r>
        <w:rPr>
          <w:rFonts w:ascii="Arial" w:cs="Arial" w:eastAsia="Arial" w:hAnsi="Arial"/>
          <w:sz w:val="17"/>
          <w:szCs w:val="17"/>
          <w:color w:val="auto"/>
        </w:rPr>
        <w:t>documentation of processes, assumptions and conclusions underlying significant estimates; and documentation of accounting policies and procedures.</w:t>
      </w:r>
    </w:p>
    <w:p>
      <w:pPr>
        <w:spacing w:after="0" w:line="5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63"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Once our management’s report on internal controls is complete, we will retain our independent auditors to audit and render an opinion on such report when required by Section 404 of the Sarbanes-Oxley Act. The independent auditors may identify additional issues concerning a target business’s internal controls while performing their audit of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8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net proceeds of this offering and the sale of the private placement shares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224" w:lineRule="exact"/>
        <w:rPr>
          <w:sz w:val="20"/>
          <w:szCs w:val="20"/>
          <w:color w:val="auto"/>
        </w:rPr>
      </w:pPr>
    </w:p>
    <w:p>
      <w:pPr>
        <w:ind w:right="1080"/>
        <w:spacing w:after="0" w:line="352" w:lineRule="auto"/>
        <w:rPr>
          <w:sz w:val="20"/>
          <w:szCs w:val="20"/>
          <w:color w:val="auto"/>
        </w:rPr>
      </w:pPr>
      <w:r>
        <w:rPr>
          <w:rFonts w:ascii="Arial" w:cs="Arial" w:eastAsia="Arial" w:hAnsi="Arial"/>
          <w:sz w:val="17"/>
          <w:szCs w:val="17"/>
          <w:b w:val="1"/>
          <w:bCs w:val="1"/>
          <w:color w:val="auto"/>
        </w:rPr>
        <w:t xml:space="preserve">Off-Balance Sheet Arrangements; Commitments and Contractual Obligations; Quarterly Results </w:t>
      </w:r>
      <w:r>
        <w:rPr>
          <w:rFonts w:ascii="Arial" w:cs="Arial" w:eastAsia="Arial" w:hAnsi="Arial"/>
          <w:sz w:val="17"/>
          <w:szCs w:val="17"/>
          <w:color w:val="auto"/>
        </w:rPr>
        <w:t>As of April 2, 2020, we did not have any off-balance sheet arrangements as defined in Item 303(a)(4)(ii) of</w:t>
      </w:r>
    </w:p>
    <w:p>
      <w:pPr>
        <w:ind w:right="140"/>
        <w:spacing w:after="0" w:line="243" w:lineRule="auto"/>
        <w:rPr>
          <w:sz w:val="20"/>
          <w:szCs w:val="20"/>
          <w:color w:val="auto"/>
        </w:rPr>
      </w:pPr>
      <w:r>
        <w:rPr>
          <w:rFonts w:ascii="Arial" w:cs="Arial" w:eastAsia="Arial" w:hAnsi="Arial"/>
          <w:sz w:val="17"/>
          <w:szCs w:val="17"/>
          <w:color w:val="auto"/>
        </w:rPr>
        <w:t>Regulation S-K and did not have any commitments or contractual obligations. No unaudited quarterly operating data is included in this prospectus as we have not conducted any operations to date.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w:t>
      </w:r>
    </w:p>
    <w:p>
      <w:pPr>
        <w:spacing w:after="0" w:line="18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5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report on our system of internal controls over financial reporting pursuant to Section 404 of the Sarbanes-Oxley Act,</w:t>
      </w:r>
    </w:p>
    <w:p>
      <w:pPr>
        <w:ind w:firstLine="8"/>
        <w:spacing w:after="0" w:line="234" w:lineRule="auto"/>
        <w:tabs>
          <w:tab w:leader="none" w:pos="237"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our initial public offering or until we are no longer an “emerging growth company,” whichever is earlier.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PROPOSED BUSINESS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17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are a newly organized blank check company incorporated in March 27, 2020 as a Cayman Islands exempted company formed for the purpose of effecting a merger, share exchange, asset acquisition, share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initiated any substantive discussions, directly or indirectly, with any business combination target. We have generated no operating revenues to date and we do not expect that we will generate operating revenues until we consummate our initial business combination.</w:t>
      </w:r>
    </w:p>
    <w:p>
      <w:pPr>
        <w:spacing w:after="0" w:line="163"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While we may pursue an acquisition opportunity in any business, industry, sector or geographical location, we intend to focus on industries that complement our management team’s background, and to capitalize on the ability of our management team to identify and acquire a business, focusing on the healthcare or healthcare related industries.</w:t>
      </w:r>
    </w:p>
    <w:p>
      <w:pPr>
        <w:ind w:right="100"/>
        <w:spacing w:after="0" w:line="236" w:lineRule="auto"/>
        <w:rPr>
          <w:sz w:val="20"/>
          <w:szCs w:val="20"/>
          <w:color w:val="auto"/>
        </w:rPr>
      </w:pPr>
      <w:r>
        <w:rPr>
          <w:rFonts w:ascii="Arial" w:cs="Arial" w:eastAsia="Arial" w:hAnsi="Arial"/>
          <w:sz w:val="17"/>
          <w:szCs w:val="17"/>
          <w:color w:val="auto"/>
        </w:rPr>
        <w:t>In particular, we will target North American or European companies in the life sciences and medical technology sectors where our management has extensive investment experience. We may pursue a transaction in which our shareholders immediately prior to the completion of our initial business combination would collectively own a minority interest in the post-business combination company.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Founders</w:t>
      </w:r>
    </w:p>
    <w:p>
      <w:pPr>
        <w:spacing w:after="0" w:line="18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Our sponsor is an affiliate of Perceptive Advisors, a leading life sciences focused investment firm with over $7 billion of regulatory assets under management as of December 31, 2019. Since its launch in 1999, Perceptive Advisors has focused exclusively on the healthcare industry. Our founders are the founder and management of Perceptive Advisors. Joseph Edelman, our Chairman, founded Perceptive Advisors in 1999. Adam Stone, our Chief Executive Officer, is the Chief Investment Officer of Perceptive Advisors, Michael Altman, our Chief Financial Officer, is a Managing Director at Perceptive Advisors and Konstantin Poukalov, our Chief Business Officer, is a Managing Director at Perceptive Advisors. Perceptive Advisors’ investment activity is focused on identifying both private and public companies in the life sciences and medical technology sectors and currently has investments in over 150 companies. The team at Perceptive Advisors consists of trained scientists, physicians and financial analysts who are passionately committed to identifying innovation that can drive critical change to current treatment paradigms. Perceptive Advisors invests across the capital structure and throughout a company’s growth cycle which provides access to a broad universe of management teams and companies seeking flexible capital solutions. Perceptive Advisors is also an active investor in pre-IPO financing rounds known as “crossovers.” Perceptive Advisors has invested in over 75 private companies since 2013 and in 2019 met with over 200 private companies in evaluation of private growth financing rounds, crossovers, and pre-IPO analysis. We have not selected any business combination target and we have not, nor has anyone on our behalf, initiated any substantive discussions, directly or indirectly, with any business combination target.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Board of Directors and Management</w:t>
      </w:r>
    </w:p>
    <w:p>
      <w:pPr>
        <w:spacing w:after="0" w:line="18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Joseph Edelman serves as the Chairman of our board of directors. Mr. Edelman is Founder, Chief Executive Officer and Portfolio Manager of Perceptive Advisors. He has also served as Chairman of the board of directors of ARYA Sciences Acquisition Corp II (Nasdaq: ARYB) since June 2020.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and a BA, magna cum laude, in psychology from the University of California San Diego.</w:t>
      </w:r>
    </w:p>
    <w:p>
      <w:pPr>
        <w:spacing w:after="0" w:line="16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Adam Stone, our Chief Executive Officer, joined Perceptive Advisors in 2006 and has acted as Chief Investment Officer since 2012 and is a member of the internal investment committees of Perceptive Advisors’ credit opportunities and venture funds. Mr. Stone currently also serves on the boards of directors of ARYA Sciences Acquisition Corp II (Nasdaq: ARYB) as well as Solid Biosciences (Nasdaq: SLDB), Renovia, and Xontogeny, which are portfolio companies of</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Perceptive Advisors. Following the consummation of the business combination of ARYA Sciences Acquisition Corp. with Immatics Biotechnologies GmbH in July 2020, Mr. Stone also serves on the supervisory board of Immatics N.V. (Nasdaq: IMTX). Prior to joining Perceptive Advisors, Mr. Stone was a Senior Analyst at Ursus Capital from 2001 to 2006 where he focused on biotechnology and specialty pharmaceuticals. Mr. Stone graduated, with honors, from Princeton University with a BA in molecular biology.</w:t>
      </w:r>
    </w:p>
    <w:p>
      <w:pPr>
        <w:spacing w:after="0" w:line="16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Michael Altman, CFA, our Chief Financial Officer, joined Perceptive Advisors in 2007, is a 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also serves on the board of ARYA Sciences Acquisition Corp II (Nasdaq: ARYB). Prior to joining Perceptive Advisors, Mr. Altman was a trader and analyst at First New York Securities from 2005 to 2007. Mr. Altman graduated from the University of Vermont with a BS in Business Administration.</w:t>
      </w:r>
    </w:p>
    <w:p>
      <w:pPr>
        <w:spacing w:after="0" w:line="164" w:lineRule="exact"/>
        <w:rPr>
          <w:sz w:val="20"/>
          <w:szCs w:val="20"/>
          <w:color w:val="auto"/>
        </w:rPr>
      </w:pPr>
    </w:p>
    <w:p>
      <w:pPr>
        <w:ind w:right="220"/>
        <w:spacing w:after="0" w:line="233" w:lineRule="auto"/>
        <w:rPr>
          <w:sz w:val="20"/>
          <w:szCs w:val="20"/>
          <w:color w:val="auto"/>
        </w:rPr>
      </w:pPr>
      <w:r>
        <w:rPr>
          <w:rFonts w:ascii="Arial" w:cs="Arial" w:eastAsia="Arial" w:hAnsi="Arial"/>
          <w:sz w:val="17"/>
          <w:szCs w:val="17"/>
          <w:color w:val="auto"/>
        </w:rPr>
        <w:t>Konstantin Poukalov, our Chief Business Officer, joined Perceptive Advisors in 2019 and is a Managing Director at Perceptive Advisors focused on various strategies across the Perceptive platforms. Mr. Poukalov also serves as the Chief Business Officer of ARYA Sciences Acquisition Corp II (Nasdaq: ARYB) and on the boards of directors of Lyra Therapeutics (Nasdaq: LYRA), Landos Biopharma, Inc. and LianBio, which are portfolio companies of Perceptive Advisors. Prior to joining Perceptive, Mr. Poukalov served as Executive Vice President and Chief Financial Officer of Kadmon Holdings (NYSE: KDMN) from 2014 to 2018. From 2012 to 2014, Mr. Poukalov served as Kadmon's Vice President, Strategic Operations. Prior to joining Kadmon, Mr. Poukalov was a member of the healthcare investment banking group at Jefferies LLC from 2009 to 2012, focusing on companies across the life sciences and biotechnology sectors. Prior to Jefferies, Mr. Poukalov was a member of UBS Investment Bank, focusing on the healthcare industry, from 2006 to 2009. Mr. Poukalov graduated from Stony Brook University with a Bachelor of Engineering in Electrical Engineering.</w:t>
      </w:r>
    </w:p>
    <w:p>
      <w:pPr>
        <w:spacing w:after="0" w:line="154"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We believe our management team is well positioned to take advantage of the growing set of investment opportunities focused on the healthcare industry and that our contacts and relationships will allow us to generate an attractive transaction for our shareholders.</w:t>
      </w:r>
    </w:p>
    <w:p>
      <w:pPr>
        <w:spacing w:after="0" w:line="16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Dr. Todd Wider has agreed to serve on our board of directors. Dr. Wider is an active, honorary member of the medical staff of Mount Sinai Hospital in New York, where he worked for over 20 years, and is a plastic and reconstructive surgeon who focused on cancer surgery. Dr. Wider has served on the board of directors of Abeona Therapeutics Inc. (Nasdaq: ABEO) since May 2015 and ARYA Sciences Acquisition CorpII (Nasdaq: ARYB) since June 2020. Dr. Wider also is the Executive Chairman of Emendo Biotherapeutics, which focuses on highly specific and differentiated gene editing. Dr. Wider previously consulted with a number of entities in the biotechnology space. Dr. Wider received an MD from Columbia College of Physicians and Surgeons, where he was Rudin Fellow, and an AB, with high honors and Phi Beta Kappa, from Princeton University. He did his residency in general surgery and plastic and reconstructive surgery at Columbia Presbyterian Medical Center, and postdoctoral fellowships in complex reconstructive surgery at Memorial Sloan Kettering Cancer Center, where he was Chief Microsurgery Fellow, and in craniofacial surgery at the University of Miami. Dr. Wider is also a principal in Wider Film Projects, a documentary film company focusing on producing films with sociopolitical resonance.</w:t>
      </w:r>
    </w:p>
    <w:p>
      <w:pPr>
        <w:spacing w:after="0" w:line="166" w:lineRule="exact"/>
        <w:rPr>
          <w:sz w:val="20"/>
          <w:szCs w:val="20"/>
          <w:color w:val="auto"/>
        </w:rPr>
      </w:pPr>
    </w:p>
    <w:p>
      <w:pPr>
        <w:ind w:right="100"/>
        <w:spacing w:after="0" w:line="205" w:lineRule="auto"/>
        <w:rPr>
          <w:sz w:val="20"/>
          <w:szCs w:val="20"/>
          <w:color w:val="auto"/>
        </w:rPr>
      </w:pPr>
      <w:r>
        <w:rPr>
          <w:rFonts w:ascii="Arial" w:cs="Arial" w:eastAsia="Arial" w:hAnsi="Arial"/>
          <w:sz w:val="17"/>
          <w:szCs w:val="17"/>
          <w:color w:val="auto"/>
        </w:rPr>
        <w:t>Bradley L. Campbell has agreed to serve on our board of directors. He has nearly 20 years of experience in the orphan drug industry and has served on the board of directors of Amicus since June 2018 and as President and Chief Operating Officer of Amicus since January 2015. In this capacity, Mr. Campbell leads the global commercial organization responsible for the commercialization of Galafold</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for the treatment of Fabry Disease. He also oversees the Technical Operations, Market Access, Program Management and Clinical Operations functions. Previously,</w:t>
      </w:r>
    </w:p>
    <w:p>
      <w:pPr>
        <w:spacing w:after="0" w:line="2"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Mr. Campbell served as Chief Operating Officer of Amicus from December 2013 to January 2015 and, prior thereto, as Chief Business Officer of Amicus from February 2012 to December 2013. From January 2010 to February 2012,</w:t>
      </w:r>
    </w:p>
    <w:p>
      <w:pPr>
        <w:ind w:right="80"/>
        <w:spacing w:after="0" w:line="232" w:lineRule="auto"/>
        <w:rPr>
          <w:sz w:val="20"/>
          <w:szCs w:val="20"/>
          <w:color w:val="auto"/>
        </w:rPr>
      </w:pPr>
      <w:r>
        <w:rPr>
          <w:rFonts w:ascii="Arial" w:cs="Arial" w:eastAsia="Arial" w:hAnsi="Arial"/>
          <w:sz w:val="17"/>
          <w:szCs w:val="17"/>
          <w:color w:val="auto"/>
        </w:rPr>
        <w:t>Mr. Campbell served as Senior Vice President, Business Operations; from May 2007 to January 2010, as Vice President, Business Planning; and from April 2006 until May 2007, as Senior Director, Business Development of Amicus. Mr. Campbell also served as Senior Product Manager of Myozyme© for Pompe Disease and later as Business Director of Cardiovascular Gene Therapy at Genzyme Corporation from 2002 to 2006. Prior to joining Genzyme,</w:t>
      </w:r>
    </w:p>
    <w:p>
      <w:pPr>
        <w:ind w:right="140"/>
        <w:spacing w:after="0" w:line="243" w:lineRule="auto"/>
        <w:rPr>
          <w:sz w:val="20"/>
          <w:szCs w:val="20"/>
          <w:color w:val="auto"/>
        </w:rPr>
      </w:pPr>
      <w:r>
        <w:rPr>
          <w:rFonts w:ascii="Arial" w:cs="Arial" w:eastAsia="Arial" w:hAnsi="Arial"/>
          <w:sz w:val="17"/>
          <w:szCs w:val="17"/>
          <w:color w:val="auto"/>
        </w:rPr>
        <w:t>Mr. Campbell worked in sales &amp; marketing for Bristol-Myers-Squibb and as a business strategy consultant for Marakon Associates. Currently, Mr. Campbell serves as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Director for the Alliance for Regenerative Medicine, and he previously served as a director of Progenics Pharmaceuticals, Inc. (Nasdaq: PGNX) from June 2016 to June 2020. Mr. Campbell holds a B.A. from Duke University and an MBA from Harvard Business School.</w:t>
      </w:r>
    </w:p>
    <w:p>
      <w:pPr>
        <w:spacing w:after="0" w:line="161"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Saqib Islam has agreed to serve on our board of directors. Mr. Islam has served as the Chief Executive Officer and director of SpringWorks since August 2018. Previously, Mr. Islam served as the Chief Financial Officer and Chief Business Officer of SpringWorks since its formation in August 2017. Prior to joining SpringWorks, Mr. Islam served as Chief Business Officer at Moderna Therapeutics, Inc. from February 2016 to August 2017. Prior to Moderna, Mr. Islam was Executive Vice President, Chief Strategy and Portfolio Officer at Alexion Pharmaceuticals, Inc. from February 2013 to February 2016, where he was responsible for executing the company’s corporate growth strategies and contributed to its assessment and management of global operations. Prior to joining Alexion, Mr. Islam worked for more than 25 years in international business management with a focus on business development, strategic decision-making and planning and capital markets, previously holding Managing Director positions at Morgan Stanley and Credit Suisse. Mr. Islam has also served on the board of directors of Passage Bio, Inc. since March 2019. Mr. Islam holds a JD from Columbia Law School, where he was a Harlan Fiske Scholar, and a Bachelor’s degree from McGill University where he was a Faculty and University Scholar.</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Experience with Special Purpose Acquisition Vehicles</w:t>
      </w:r>
    </w:p>
    <w:p>
      <w:pPr>
        <w:spacing w:after="0" w:line="189"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Our management team has previous experience in the execution of public acquisition vehicles. In July 2020, ARYA Sciences Acquisition Corp. consummated its initial business combination with Immatics Biotechnologies GmbH (“Immatics”). The ordinary shares of the combined company, Immatics N.V., are traded on Nasdaq under the symbol “IMTX.” Mr. Stone continues to serve on the supervisory board of Immatics N.V. following the consummation of the business combination.</w:t>
      </w:r>
    </w:p>
    <w:p>
      <w:pPr>
        <w:spacing w:after="0" w:line="163"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Further, Mr. Edelman is the Chairman of the board of directors of ARYA Sciences Acquisition Corp II, Mr. Stone is the Chief Executive Officer of ARYA Sciences Acquisition Corp II, Mr. Altman is the Chief Financial Officer of ARYA Sciences Acquisition Corp II and Mr. Poukalov is the Chief Business Officer of ARYA Sciences Acquisition Corp II. ARYA Sciences Acquisition Corp II is a special purpose acquisition company formed for substantially similar purposes as our company.</w:t>
      </w:r>
    </w:p>
    <w:p>
      <w:pPr>
        <w:spacing w:after="0" w:line="150" w:lineRule="exact"/>
        <w:rPr>
          <w:sz w:val="20"/>
          <w:szCs w:val="20"/>
          <w:color w:val="auto"/>
        </w:rPr>
      </w:pPr>
    </w:p>
    <w:p>
      <w:pPr>
        <w:jc w:val="both"/>
        <w:ind w:right="40"/>
        <w:spacing w:after="0" w:line="235" w:lineRule="auto"/>
        <w:rPr>
          <w:sz w:val="20"/>
          <w:szCs w:val="20"/>
          <w:color w:val="auto"/>
        </w:rPr>
      </w:pPr>
      <w:r>
        <w:rPr>
          <w:rFonts w:ascii="Arial" w:cs="Arial" w:eastAsia="Arial" w:hAnsi="Arial"/>
          <w:sz w:val="17"/>
          <w:szCs w:val="17"/>
          <w:color w:val="auto"/>
        </w:rPr>
        <w:t>Our founders and our directors and officers, Perceptive Advisors, or its affiliates expect in the future to become affiliated with other public special public acquisition companies that may have acquisition objectives that are similar to ours. See “Risk Factors—Our officers and directors presently have, and any of them in the future may have additional, fiduciary or contractual obligations to other entities, including another blank check company, and, accordingly, may have conflicts of interest in determining to which entity a particular business opportunity should be presented.”</w:t>
      </w:r>
    </w:p>
    <w:p>
      <w:pPr>
        <w:spacing w:after="0" w:line="16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past performance of the members of our management team, or their affiliates, including ARYA Sciences Acquisition Corp. and Perceptive Advisors, is not a guarantee that we will be able to identify a suitable candidate for our initial business combination or of success with respect to any business combination we may consummate. You should not rely on the historical record or the performance of our management team, Perceptive Advisors or any of their affiliates’ or managed fund’s performance as indicative of our future performance.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Opportunity</w:t>
      </w:r>
    </w:p>
    <w:p>
      <w:pPr>
        <w:spacing w:after="0" w:line="189" w:lineRule="exact"/>
        <w:rPr>
          <w:sz w:val="20"/>
          <w:szCs w:val="20"/>
          <w:color w:val="auto"/>
        </w:rPr>
      </w:pPr>
    </w:p>
    <w:p>
      <w:pPr>
        <w:ind w:right="200"/>
        <w:spacing w:after="0" w:line="234" w:lineRule="auto"/>
        <w:rPr>
          <w:sz w:val="20"/>
          <w:szCs w:val="20"/>
          <w:color w:val="auto"/>
        </w:rPr>
      </w:pPr>
      <w:r>
        <w:rPr>
          <w:rFonts w:ascii="Arial" w:cs="Arial" w:eastAsia="Arial" w:hAnsi="Arial"/>
          <w:sz w:val="17"/>
          <w:szCs w:val="17"/>
          <w:color w:val="auto"/>
        </w:rPr>
        <w:t>While we may acquire a business in any industry, our focus will be on the healthcare industry in the United States and other developed countries. We believe the healthcare industry, particularly the life sciences and medical technology sectors, represents an enormous and growing target market with a large number of potential target acquisition opportunities. In 2018, total U.S. national health expenditures exceeded $3.6 trillion, and the Center for Medicare and Medicaid Services estimated that total healthcare spending accounted for approximately 18% of total U.S. Gross Domestic Product. According to IBISWorld, in February 2020, the global biotechnology market is expected to grow almost 2.9% to over $294 million in revenue in 2020.</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Current Life Sciences IPO Market</w:t>
      </w:r>
    </w:p>
    <w:p>
      <w:pPr>
        <w:spacing w:after="0" w:line="189"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We believe that current dynamics in the life sciences and medical technology IPO market may enhance our ability to locate an attractive target. Over 200 life sciences and medical technology companies have gone public since 2016 in the United States. Despite the current level of IPO activity, according to IBISWorld, in February 2020 there were estimated to be approximately 9,500 biotechnology companies globally, only a fraction of which are publicly traded.</w:t>
      </w:r>
    </w:p>
    <w:p>
      <w:pPr>
        <w:spacing w:after="0" w:line="163"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We also believe that the process for life sciences and medical technology IPO demand generation often produces offerings that are significantly oversubscribed but where a majority of the offering is allocated to the top ten investors, some of whom may be existing investors in these companies or are industry specialists. As a result, we believe that there may be numerous investors who have not been able to receive meaningful, or any, allocations in recent life sciences and medical technology IPOs who may be interested in a potential target opportunity that we identify.</w:t>
      </w:r>
    </w:p>
    <w:p>
      <w:pPr>
        <w:spacing w:after="0" w:line="150"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We believe that life sciences and medical technology companies, at a certain stage in their development, will see material benefits from being publicly-traded, including greater access to capital, more liquid securities and increased customer awareness. An acquisition by a special purpose acquisition company with a management team that is well-known to, and respected by, life sciences founders, their current third-party investors and their management teams, we believe, can provide a more transparent and efficient mechanism to bring a private healthcare company to the public markets.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Strategy</w:t>
      </w:r>
    </w:p>
    <w:p>
      <w:pPr>
        <w:spacing w:after="0" w:line="176"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We believe our management team is well positioned to identify unique opportunities in our target sectors. Our selection process will leverage our relationships with leading venture capitalists and growth equity funds, executives of private and public companies, as well as leading investment banking firms, which we believe should provide us with a key competitive advantage in sourcing potential business combination targets. Given our profile and dedicated industry approach, we anticipate that target business candidates may be brought to our attention from various unaffiliated sources, and in particular investors in other private and public companies in our networks. We also believe that Perceptive Advisors’ reputation, experience and track record of making investments in the healthcare space will make us a preferred partner for these potential targets.</w:t>
      </w:r>
    </w:p>
    <w:p>
      <w:pPr>
        <w:spacing w:after="0" w:line="16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Consistent with our strategy, we have identified the following criteria to evaluate prospective target businesses. We may however, decide to enter into our initial business combination with a target business that does not meet these criteria. We intend to seek to acquire companies that we believe:</w:t>
      </w:r>
    </w:p>
    <w:p>
      <w:pPr>
        <w:spacing w:after="0" w:line="93" w:lineRule="exact"/>
        <w:rPr>
          <w:sz w:val="20"/>
          <w:szCs w:val="20"/>
          <w:color w:val="auto"/>
        </w:rPr>
      </w:pPr>
    </w:p>
    <w:p>
      <w:pPr>
        <w:ind w:left="580" w:right="20"/>
        <w:spacing w:after="0" w:line="243" w:lineRule="auto"/>
        <w:rPr>
          <w:sz w:val="20"/>
          <w:szCs w:val="20"/>
          <w:color w:val="auto"/>
        </w:rPr>
      </w:pPr>
      <w:r>
        <w:rPr>
          <w:rFonts w:ascii="Arial" w:cs="Arial" w:eastAsia="Arial" w:hAnsi="Arial"/>
          <w:sz w:val="17"/>
          <w:szCs w:val="17"/>
          <w:color w:val="auto"/>
        </w:rPr>
        <w:t>have a scientific or other competitive advantage in the markets in which they operate and which can benefit from access to additional capital as well as our industry relationships and expertise;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are ready to be public, with strong management, corporate governance and reporting policies in place;</w:t>
      </w:r>
    </w:p>
    <w:p>
      <w:pPr>
        <w:spacing w:after="0" w:line="102" w:lineRule="exact"/>
        <w:rPr>
          <w:sz w:val="20"/>
          <w:szCs w:val="20"/>
          <w:color w:val="auto"/>
        </w:rPr>
      </w:pPr>
    </w:p>
    <w:p>
      <w:pPr>
        <w:ind w:left="580" w:right="600"/>
        <w:spacing w:after="0" w:line="243" w:lineRule="auto"/>
        <w:rPr>
          <w:sz w:val="20"/>
          <w:szCs w:val="20"/>
          <w:color w:val="auto"/>
        </w:rPr>
      </w:pPr>
      <w:r>
        <w:rPr>
          <w:rFonts w:ascii="Arial" w:cs="Arial" w:eastAsia="Arial" w:hAnsi="Arial"/>
          <w:sz w:val="17"/>
          <w:szCs w:val="17"/>
          <w:color w:val="auto"/>
        </w:rPr>
        <w:t>will likely be well received by public investors and are expected to have good access to the public capital markets;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have significant embedded and/or underexploited growth opportunities;</w:t>
      </w:r>
    </w:p>
    <w:p>
      <w:pPr>
        <w:spacing w:after="0" w:line="102" w:lineRule="exact"/>
        <w:rPr>
          <w:sz w:val="20"/>
          <w:szCs w:val="20"/>
          <w:color w:val="auto"/>
        </w:rPr>
      </w:pPr>
    </w:p>
    <w:p>
      <w:pPr>
        <w:ind w:left="580"/>
        <w:spacing w:after="0" w:line="243" w:lineRule="auto"/>
        <w:rPr>
          <w:sz w:val="20"/>
          <w:szCs w:val="20"/>
          <w:color w:val="auto"/>
        </w:rPr>
      </w:pPr>
      <w:r>
        <w:rPr>
          <w:rFonts w:ascii="Arial" w:cs="Arial" w:eastAsia="Arial" w:hAnsi="Arial"/>
          <w:sz w:val="17"/>
          <w:szCs w:val="17"/>
          <w:color w:val="auto"/>
        </w:rPr>
        <w:t>exhibit unrecognized value or other characteristics that we believe have been misevaluated by the market based on our rigorous analysis and scientific and business due diligence review; and</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will offer attractive risk-adjusted equity returns for our shareholders.</w:t>
      </w:r>
    </w:p>
    <w:p>
      <w:pPr>
        <w:spacing w:after="0" w:line="169"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We intend to focus on target businesses with valuations of $300 to $500 million or more and that have the potential to be $1 billion or more market capitalization companies. We may use other criteria as well. Any evaluation relating to the merits of a particular initial business combination may be based on these general criteria as well as other considerations, factors and criteria that our management may deem relevant.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Initial Business Combination</w:t>
      </w:r>
    </w:p>
    <w:p>
      <w:pPr>
        <w:spacing w:after="0" w:line="18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Our initial business combination must occur with one or more target businesses that together have an aggregate fair market value of at least 80% of the net assets held in the trust account (excluding the amount of deferred underwriting discounts held in trust and taxes payable on the interest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from an independent investment banking firm which is a member of FINRA, or an independent valuation or accounting firm with respect to the satisfaction of such criteria. Our shareholders may not be provided with a copy of such opinion nor will they be able to rely on such opinion. While we consider it unlikely that our board will not be able to make an independent determination of the fair market value of a target business or businesses, it may be unable to do so if the board is less familiar or experienced with the target company’s business, there is a significant amount of uncertainty as to the value of the company’s assets or prospects, including if such company is at an early stage of development, operations or growth, or if the anticipated transaction involves a complex financial analysis or other specialized skills and the board determines that outside expertise would be helpful or necessary in conducting such analysis. Since any opinion, if obtained, would merely state that the fair market value of the target business meets the 80% of net assets threshold, unless such opinion includes material information regarding the valuation of a target business or the consideration to be provided, it is not anticipated that copies of such opinion would be distributed to our shareholders. However, if required under applicable law, any proxy statement that we deliver to shareholders and file with the SEC in connection with a proposed transaction will include such opinion.</w:t>
      </w:r>
    </w:p>
    <w:p>
      <w:pPr>
        <w:spacing w:after="0" w:line="162"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business in order to meet certain objectives of the target management team or shareholders or for other reasons, but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shareholders immediately prior to the completion of our initial business combination could own less than a majority of our issued and outstanding shares subsequent to our initial business combination.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 In addition, we have agreed not to enter into a definitive agreement regarding an initial business combination without the prior consent of our sponsor.</w:t>
      </w:r>
    </w:p>
    <w:p>
      <w:pPr>
        <w:spacing w:after="0" w:line="163"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In addition, our sponsor has indicated an interest to purchase up to an aggregate of $25,000,000 of our ordinary shares in a private placement that would occur concurrently with the consummation of our initial business combination.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If we sell shares to our sponsor (or any other investor) in connection with our initial business combination, the equity interest of investors in this offering in the combined company may be diluted and the market prices for our securities may be adversely affected. In addition, if the per share trading price of our ordinary shares is greater than the price per share paid in the private placement, the private placement will result in value dilution to you, in addition to the immediate dilution that you will experience in connection with the consummation of this offering. See “Dilution.”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Considerations</w:t>
      </w:r>
    </w:p>
    <w:p>
      <w:pPr>
        <w:spacing w:after="0" w:line="189"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We are not prohibited from pursuing an initial business combination or subsequent transaction with a company that is affiliated with Perceptive Advisors or our sponsor, founders, officers or directors. In the event we seek to complete our initial business combination with a company that is affiliated with Perceptive Advisors, our sponsor or any of our founders, officers or directors, we, or a committee of independent directors, will obtain an opinion from an independent investment banking firm which is a member of FINRA or an independent valuation or accounting firm that such initial business combination or transaction is fair to our company from a financial point of view. We are not required to obtain such an opinion in any other context.</w:t>
      </w:r>
    </w:p>
    <w:p>
      <w:pPr>
        <w:spacing w:after="0" w:line="16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Affiliates of Perceptive Advisors and members of our board of directors will directly or indirectly own founder shares and private placement shares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or directors were to be included by a target business as a condition to any agreement with respect to our initial business combination.</w:t>
      </w:r>
    </w:p>
    <w:p>
      <w:pPr>
        <w:spacing w:after="0" w:line="148"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We have not selected any business combination target and we have not, nor has anyone on our behalf, initiated any substantive discussions, directly or indirectly, with any business combination target. Perceptive Advisors is continuously made aware of potential business opportunities, one or more of which we may desire to pursue for a business combination, but we have not (nor has anyone on our behalf) contacted any prospective target business or had any substantive discussions, formal or otherwise, with respect to a business combination transaction with our company. We will not consider a business combination with any company that has already been identified to Perceptive Advisors as a suitable acquisition candidate for it, unless Perceptive Advisors, in its sole discretion, declines such potential business combination or makes available to our company a co-investment opportunity in accordance with Perceptive Advisors’ applicable existing and future policies and procedures. Additionally, we have not, nor has anyone on our behalf, taken any substantive measure, directly or indirectly, to identify or locate any suitable acquisition candidate for us, nor have we engaged or retained any agent or other representative to identify or locate any such acquisition candidate.</w:t>
      </w:r>
    </w:p>
    <w:p>
      <w:pPr>
        <w:spacing w:after="0" w:line="167"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Perceptive Advisors may manage multiple investment vehicles and raise additional funds and/or successor funds in the future, which may be during the period in which we are seeking our initial business combination. These Perceptive Advisors investment entities may be seeking acquisition opportunities and related financing at any time. We may compete with any one or more of them on any given acquisition opportunity.</w:t>
      </w:r>
    </w:p>
    <w:p>
      <w:pPr>
        <w:spacing w:after="0" w:line="16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50"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addition, certain of our founders, officers and directors presently have, and any of them in the future may have additional, fiduciary and contractual duties to other entities, including without limitation, ARYA Sciences Acquisition Corp</w:t>
      </w:r>
    </w:p>
    <w:p>
      <w:pPr>
        <w:ind w:firstLine="8"/>
        <w:spacing w:after="0" w:line="233" w:lineRule="auto"/>
        <w:tabs>
          <w:tab w:leader="none" w:pos="142"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and any future special purpose acquisition companies we expect they may be involved in and, investment funds, accounts, co-investment vehicles and other entities managed by affiliates of Perceptive Advisors and certain companies in which Perceptive Advisors or such entities have invested. As a result, if any of our founders, officers or directors becomes aware of a business combination opportunity which is suitable for an entity to which he, she or it has then-current fiduciary or contractual obligations (including, without limitation, ARYA Sciences Acquisition Corp II and any future special purpose acquisition companies we expect they may be involved in and any Perceptive Advisors funds or other investment vehicles), then, subject to their fiduciary duties under Cayman Islands law, he or she will need to honor such fiduciary or contractual obligations to present such business combination opportunity to such entity, before we can pursue such opportunity. If these funds or investment entities decide to pursue any such opportunity, we may be precluded from pursuing the same. In addition, investment ideas generated within or presented to Perceptive Advisors or our founders may be suitable for both us and a current or future Perceptive Advisors fund, portfolio company or other investment entity and, subject to applicable fiduciary duties, will first be directed to such fund, portfolio company or other entity before being directed, if at all, to us. None of Perceptive Advisors, our founders or any members of our board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jc w:val="both"/>
        <w:ind w:right="300"/>
        <w:spacing w:after="0" w:line="238" w:lineRule="auto"/>
        <w:rPr>
          <w:sz w:val="20"/>
          <w:szCs w:val="20"/>
          <w:color w:val="auto"/>
        </w:rPr>
      </w:pPr>
      <w:r>
        <w:rPr>
          <w:rFonts w:ascii="Arial" w:cs="Arial" w:eastAsia="Arial" w:hAnsi="Arial"/>
          <w:sz w:val="17"/>
          <w:szCs w:val="17"/>
          <w:color w:val="auto"/>
        </w:rPr>
        <w:t>of directors who are also employed by Perceptive Advisors or its affiliates have any obligation to present us with any opportunity for a potential business combination of which they become aware solely in their capacities as officers or executives of Perceptive Advisors.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However, we do not expect these duties to materially affect our ability to complete our initial business combination.</w:t>
      </w:r>
    </w:p>
    <w:p>
      <w:pPr>
        <w:spacing w:after="0" w:line="16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addition, our founders,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In particular, certain of our officers and directors serve as an officer and/or director of ARYA Sciences Acquisition Corp II, which is a blank check companies sponsored by an affiliate of Perceptive Advisors, and in the future we expect they may be officers and/or directors of other future special purpose acquisition companies. Moreover, our founders, officers and directors have, and will have in the future, time and attention requirements for current and future investment funds, accounts, co-investment vehicles and other entities managed by Perceptive Advisors. To the extent any conflict of interest arises between, on the one hand, us and, on the other hand, investments funds, accounts, co-investment vehicles and other entities managed by Perceptive Advisors (including, without limitation, arising as a result of certain of our founders, officers and directors being required to offer acquisition opportunities to such investment funds, accounts, co-investment vehicles and other entities), Perceptive Advisors and its affiliates will resolve such conflicts of interest in their sole discretion in accordance with their then existing fiduciary, contractual and other duties and there can be no assurance that such conflict of interest will be resolved in our favor.</w:t>
      </w:r>
    </w:p>
    <w:p>
      <w:pPr>
        <w:spacing w:after="0" w:line="165"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Unlike other SPAC IPOs, investors in this offering will not receive warrants that would become exercisable following completion of our initial business combination.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Status as a Public Company</w:t>
      </w:r>
    </w:p>
    <w:p>
      <w:pPr>
        <w:spacing w:after="0" w:line="189"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with us. In a business combination transaction with us, the owners of the target business may, for example, exchange their shares of stock in the target business for our Class A ordinary shares (or shares of a new holding company) or for a combination of our Class A ordinary shares and cash, allowing us to tailor the consideration to the specific needs of the sellers.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that may not be present to the same extent in connection with a business combination with us.</w:t>
      </w:r>
    </w:p>
    <w:p>
      <w:pPr>
        <w:spacing w:after="0" w:line="154"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have negative valuation consequences. Once public, we believe the target business would then have greater access to capital, an additional means of providing management incentives consistent with shareholders’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6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shareholder approval of any proposed initial business combination, negatively.</w:t>
      </w:r>
    </w:p>
    <w:p>
      <w:pPr>
        <w:spacing w:after="0" w:line="16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We are an “emerging growth company,” as defined in the JOBS Act.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30th, and (2) the date on which we have issued more than $1.0 billion in non-convertible debt during the prior three-year period.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Position</w:t>
      </w:r>
    </w:p>
    <w:p>
      <w:pPr>
        <w:spacing w:after="0" w:line="176"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With funds available for a business combination initially in the amount of $126,450,000, after payment of the estimated expenses of this offering and $4,550,000 of deferred underwriting fees (or $145,267,500 after payment of the estimated expenses of this offering and $5,232,500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Effecting Our Initial Business Combination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8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are not presently engaged in, and we will not engage in, any operations for an indefinite period of time following this offering. We intend to effectuate our initial business combination using cash from the proceeds of this offering, the sale of the private placements shares, our equity,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w:t>
      </w:r>
    </w:p>
    <w:p>
      <w:pPr>
        <w:spacing w:after="0" w:line="161"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We have not selected any business combination target and we have not, nor has anyone on our behalf, initiated any substantive discussions with any business combination target. Additionally, we have not engaged or retained any agent or other representative to identify or locate any suitable acquisition candidate, to conduct any research or take any measures, directly or indirectly, to locate or contact a target business, other than our officers and directors.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6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There are no prohibitions on our ability to issue securities or incur debt in connection with our initial business combination. We are not currently a party to any arrangement or understanding with any third party with respect to raising any additional funds through the sale of securities, the incurrence of debt or otherwise.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Target Businesses</w:t>
      </w:r>
    </w:p>
    <w:p>
      <w:pPr>
        <w:spacing w:after="0" w:line="189" w:lineRule="exact"/>
        <w:rPr>
          <w:sz w:val="20"/>
          <w:szCs w:val="20"/>
          <w:color w:val="auto"/>
        </w:rPr>
      </w:pPr>
    </w:p>
    <w:p>
      <w:pPr>
        <w:ind w:right="79"/>
        <w:spacing w:after="0" w:line="234" w:lineRule="auto"/>
        <w:rPr>
          <w:sz w:val="20"/>
          <w:szCs w:val="20"/>
          <w:color w:val="auto"/>
        </w:rPr>
      </w:pPr>
      <w:r>
        <w:rPr>
          <w:rFonts w:ascii="Arial" w:cs="Arial" w:eastAsia="Arial" w:hAnsi="Arial"/>
          <w:sz w:val="17"/>
          <w:szCs w:val="17"/>
          <w:color w:val="auto"/>
        </w:rPr>
        <w:t>Our process of identifying acquisition targets will leverage Perceptive Advisors’ and our management team’s unique industry experiences, proven deal sourcing capabilities and broad and deep network of relationships in numerous industries, including executives and management teams, private equity groups and other institutional investors, large business enterprises, lenders, investment bankers and other investment market participants, restructuring advisers, consultants, attorneys and accountants, which we believe should provide us with a number of business combination opportunities. We expect that the collective experience, capability and network of Perceptive Advisors, our founders, directors and officers, combined with their individual and collective reputations in the investment community, will help to create prospective business combination opportunities.</w:t>
      </w:r>
    </w:p>
    <w:p>
      <w:pPr>
        <w:spacing w:after="0" w:line="163" w:lineRule="exact"/>
        <w:rPr>
          <w:sz w:val="20"/>
          <w:szCs w:val="20"/>
          <w:color w:val="auto"/>
        </w:rPr>
      </w:pPr>
    </w:p>
    <w:p>
      <w:pPr>
        <w:ind w:right="19"/>
        <w:spacing w:after="0" w:line="234" w:lineRule="auto"/>
        <w:rPr>
          <w:sz w:val="20"/>
          <w:szCs w:val="20"/>
          <w:color w:val="auto"/>
        </w:rPr>
      </w:pPr>
      <w:r>
        <w:rPr>
          <w:rFonts w:ascii="Arial" w:cs="Arial" w:eastAsia="Arial" w:hAnsi="Arial"/>
          <w:sz w:val="17"/>
          <w:szCs w:val="17"/>
          <w:color w:val="auto"/>
        </w:rPr>
        <w:t>In addition, we anticipate that target business candidates may be brought to our attention from various unaffiliated sources, including investment bankers and private investment funds.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of which they become aware through their business contacts as a result of formal or informal inquiries or discussions they may have, as well as attending trade shows or conventions.</w:t>
      </w:r>
    </w:p>
    <w:p>
      <w:pPr>
        <w:spacing w:after="0" w:line="149" w:lineRule="exact"/>
        <w:rPr>
          <w:sz w:val="20"/>
          <w:szCs w:val="20"/>
          <w:color w:val="auto"/>
        </w:rPr>
      </w:pPr>
    </w:p>
    <w:p>
      <w:pPr>
        <w:ind w:right="19"/>
        <w:spacing w:after="0" w:line="233" w:lineRule="auto"/>
        <w:rPr>
          <w:sz w:val="20"/>
          <w:szCs w:val="20"/>
          <w:color w:val="auto"/>
        </w:rPr>
      </w:pPr>
      <w:r>
        <w:rPr>
          <w:rFonts w:ascii="Arial" w:cs="Arial" w:eastAsia="Arial" w:hAnsi="Arial"/>
          <w:sz w:val="17"/>
          <w:szCs w:val="17"/>
          <w:color w:val="auto"/>
        </w:rPr>
        <w:t>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 None of our sponsor, executive officers or directors, or any of their respective affiliates, will be allowed to receive any compensation, finder’s fees or consulting fees from a prospective business combination target in connection with a contemplated acquisition of such target by us. We have agreed to pay our sponsor a total of $10,000 per month for office space, secretarial and administrative support and to reimburse our sponsor for any out-of-pocket expenses related to identifying, investigating and completing an initial business combination. Some of our officers and directors may enter into employment or consulting agreements with the post-business combination company following our initial business combination.</w:t>
      </w:r>
    </w:p>
    <w:p>
      <w:pPr>
        <w:spacing w:after="0" w:line="162" w:lineRule="exact"/>
        <w:rPr>
          <w:sz w:val="20"/>
          <w:szCs w:val="20"/>
          <w:color w:val="auto"/>
        </w:rPr>
      </w:pPr>
    </w:p>
    <w:p>
      <w:pPr>
        <w:ind w:right="119"/>
        <w:spacing w:after="0" w:line="234" w:lineRule="auto"/>
        <w:rPr>
          <w:sz w:val="20"/>
          <w:szCs w:val="20"/>
          <w:color w:val="auto"/>
        </w:rPr>
      </w:pPr>
      <w:r>
        <w:rPr>
          <w:rFonts w:ascii="Arial" w:cs="Arial" w:eastAsia="Arial" w:hAnsi="Arial"/>
          <w:sz w:val="17"/>
          <w:szCs w:val="17"/>
          <w:color w:val="auto"/>
        </w:rPr>
        <w:t>We are not prohibited from pursuing an initial business combination or subsequent transaction with a company that is affiliated with Perceptive Advisors or our sponsor, founders, officers or directors. In the event we seek to complete our initial business combination with a company that is affiliated with Perceptive Advisors, our sponsor or any of our founders, officers or directors, we, or a committee of independent directors, will obtain an opinion from an independent investment banking firm which is a member of FINRA or an independent valuation or accounting firm that such initial business combination or transaction is fair to our company from a financial point of view. We are not required to obtain such an opinion in any other context.</w:t>
      </w:r>
    </w:p>
    <w:p>
      <w:pPr>
        <w:spacing w:after="0" w:line="164" w:lineRule="exact"/>
        <w:rPr>
          <w:sz w:val="20"/>
          <w:szCs w:val="20"/>
          <w:color w:val="auto"/>
        </w:rPr>
      </w:pPr>
    </w:p>
    <w:p>
      <w:pPr>
        <w:ind w:right="19"/>
        <w:spacing w:after="0" w:line="234"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to other entities, including any future special purpose acquisition companies we expect they may be involved in and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See “Management — Conflicts of Interest.”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a Target Business and Structuring of Our Initial Business Combination</w:t>
      </w:r>
    </w:p>
    <w:p>
      <w:pPr>
        <w:spacing w:after="0" w:line="18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In evaluating a prospective target business, we expect to conduct a thorough due diligence review which may encompass, among other things, meetings with incumbent management and employees, document reviews, interviews of customers and suppliers, inspection of facilities,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16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time required to identify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any of their respective affiliates, for services rendered to or in connection with our initial business combination. In addition, we have agreed not to enter into a definitive agreement regarding an initial business combination without the prior consent of our sponsor.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Lack of Business Diversification</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96" w:lineRule="exact"/>
        <w:rPr>
          <w:sz w:val="20"/>
          <w:szCs w:val="20"/>
          <w:color w:val="auto"/>
        </w:rPr>
      </w:pPr>
    </w:p>
    <w:p>
      <w:pPr>
        <w:ind w:left="580" w:right="140"/>
        <w:spacing w:after="0" w:line="238" w:lineRule="auto"/>
        <w:rPr>
          <w:sz w:val="20"/>
          <w:szCs w:val="20"/>
          <w:color w:val="auto"/>
        </w:rPr>
      </w:pPr>
      <w:r>
        <w:rPr>
          <w:rFonts w:ascii="Arial" w:cs="Arial" w:eastAsia="Arial" w:hAnsi="Arial"/>
          <w:sz w:val="17"/>
          <w:szCs w:val="17"/>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cause us to depend on the marketing and sale of a single product or limited number of products or services.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Limited Ability to Evaluate the Target’s Management Team</w:t>
      </w:r>
    </w:p>
    <w:p>
      <w:pPr>
        <w:spacing w:after="0" w:line="18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5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6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Shareholders May Not Have the Ability to Approve Our Initial Business Combination</w:t>
      </w:r>
    </w:p>
    <w:p>
      <w:pPr>
        <w:spacing w:after="0" w:line="189" w:lineRule="exact"/>
        <w:rPr>
          <w:sz w:val="20"/>
          <w:szCs w:val="20"/>
          <w:color w:val="auto"/>
        </w:rPr>
      </w:pPr>
    </w:p>
    <w:p>
      <w:pPr>
        <w:jc w:val="both"/>
        <w:ind w:right="240"/>
        <w:spacing w:after="0" w:line="236" w:lineRule="auto"/>
        <w:rPr>
          <w:sz w:val="20"/>
          <w:szCs w:val="20"/>
          <w:color w:val="auto"/>
        </w:rPr>
      </w:pPr>
      <w:r>
        <w:rPr>
          <w:rFonts w:ascii="Arial" w:cs="Arial" w:eastAsia="Arial" w:hAnsi="Arial"/>
          <w:sz w:val="17"/>
          <w:szCs w:val="17"/>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applicable law or stock exchange rule, or we may decide to seek shareholder approval for business or other reasons.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Under Nasdaq’s listing rules, shareholder approval would be required for our initial business combination if, for example:</w:t>
      </w:r>
    </w:p>
    <w:p>
      <w:pPr>
        <w:spacing w:after="0" w:line="102" w:lineRule="exact"/>
        <w:rPr>
          <w:sz w:val="20"/>
          <w:szCs w:val="20"/>
          <w:color w:val="auto"/>
        </w:rPr>
      </w:pPr>
    </w:p>
    <w:p>
      <w:pPr>
        <w:ind w:left="580" w:right="120"/>
        <w:spacing w:after="0" w:line="232" w:lineRule="auto"/>
        <w:rPr>
          <w:sz w:val="20"/>
          <w:szCs w:val="20"/>
          <w:color w:val="auto"/>
        </w:rPr>
      </w:pPr>
      <w:r>
        <w:rPr>
          <w:rFonts w:ascii="Arial" w:cs="Arial" w:eastAsia="Arial" w:hAnsi="Arial"/>
          <w:sz w:val="17"/>
          <w:szCs w:val="17"/>
          <w:color w:val="auto"/>
        </w:rPr>
        <w:t>we issue (other than in a public offering for cash) ordinary shares that will either (a) be equal to or in excess of 20% of the number of ordinary shares then issued and outstanding (excluding the private placement shares) or</w:t>
      </w:r>
    </w:p>
    <w:p>
      <w:pPr>
        <w:ind w:left="580" w:right="160" w:firstLine="8"/>
        <w:spacing w:after="0" w:line="243" w:lineRule="auto"/>
        <w:tabs>
          <w:tab w:leader="none" w:pos="8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have voting power equal to or in excess of 20% of the voting power then issued and outstanding (excluding the private placement shares);</w:t>
      </w:r>
    </w:p>
    <w:p>
      <w:pPr>
        <w:spacing w:after="0" w:line="90" w:lineRule="exact"/>
        <w:rPr>
          <w:sz w:val="20"/>
          <w:szCs w:val="20"/>
          <w:color w:val="auto"/>
        </w:rPr>
      </w:pPr>
    </w:p>
    <w:p>
      <w:pPr>
        <w:ind w:left="580" w:right="80"/>
        <w:spacing w:after="0" w:line="236" w:lineRule="auto"/>
        <w:rPr>
          <w:sz w:val="20"/>
          <w:szCs w:val="20"/>
          <w:color w:val="auto"/>
        </w:rPr>
      </w:pPr>
      <w:r>
        <w:rPr>
          <w:rFonts w:ascii="Arial" w:cs="Arial" w:eastAsia="Arial" w:hAnsi="Arial"/>
          <w:sz w:val="17"/>
          <w:szCs w:val="17"/>
          <w:color w:val="auto"/>
        </w:rPr>
        <w:t>any of our directors, officers or substantial shareholders (as defined by Nasdaq rules) has a 5% or greater interest (or such persons collectively have a 10% or greater interest), directly or indirectly, in the target business or assets to be acquired or otherwise and the present or potential issuance of ordinary shares could result in an increase in outstanding ordinary shares or voting power of 5% or more; or</w:t>
      </w:r>
    </w:p>
    <w:p>
      <w:pPr>
        <w:spacing w:after="0" w:line="95"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the issuance or potential issuance of ordinary shares will result in our undergoing a change of control.</w:t>
      </w:r>
    </w:p>
    <w:p>
      <w:pPr>
        <w:spacing w:after="0" w:line="169"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The Companies Law and Cayman Islands law do not currently require, and we are not aware of any other applicable law that will require, shareholder approval of our initial business combination.</w:t>
      </w:r>
    </w:p>
    <w:p>
      <w:pPr>
        <w:spacing w:after="0" w:line="14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decision as to whether we will seek shareholder approval of a proposed business combination in those instances in which shareholder approval is not required by law will be made by us, solely in our discretion, and will be based on business and legal reasons, which include a variety of factors, including, but not limited to:</w:t>
      </w:r>
    </w:p>
    <w:p>
      <w:pPr>
        <w:spacing w:after="0" w:line="93" w:lineRule="exact"/>
        <w:rPr>
          <w:sz w:val="20"/>
          <w:szCs w:val="20"/>
          <w:color w:val="auto"/>
        </w:rPr>
      </w:pPr>
    </w:p>
    <w:p>
      <w:pPr>
        <w:jc w:val="both"/>
        <w:ind w:left="580" w:right="20"/>
        <w:spacing w:after="0" w:line="238" w:lineRule="auto"/>
        <w:rPr>
          <w:sz w:val="20"/>
          <w:szCs w:val="20"/>
          <w:color w:val="auto"/>
        </w:rPr>
      </w:pPr>
      <w:r>
        <w:rPr>
          <w:rFonts w:ascii="Arial" w:cs="Arial" w:eastAsia="Arial" w:hAnsi="Arial"/>
          <w:sz w:val="17"/>
          <w:szCs w:val="17"/>
          <w:color w:val="auto"/>
        </w:rPr>
        <w:t>the timing of the transaction, including in the event we determine shareholder approval would require additional time and there is either not enough time to seek shareholder approval or doing so would place the company at a disadvantage in the transaction or result in other additional burdens on the company;</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expected cost of holding a shareholder vote;</w:t>
      </w:r>
    </w:p>
    <w:p>
      <w:pPr>
        <w:spacing w:after="0" w:line="102" w:lineRule="exact"/>
        <w:rPr>
          <w:sz w:val="20"/>
          <w:szCs w:val="20"/>
          <w:color w:val="auto"/>
        </w:rPr>
      </w:pPr>
    </w:p>
    <w:p>
      <w:pPr>
        <w:ind w:left="580" w:right="1900"/>
        <w:spacing w:after="0" w:line="364" w:lineRule="auto"/>
        <w:rPr>
          <w:sz w:val="20"/>
          <w:szCs w:val="20"/>
          <w:color w:val="auto"/>
        </w:rPr>
      </w:pPr>
      <w:r>
        <w:rPr>
          <w:rFonts w:ascii="Arial" w:cs="Arial" w:eastAsia="Arial" w:hAnsi="Arial"/>
          <w:sz w:val="17"/>
          <w:szCs w:val="17"/>
          <w:color w:val="auto"/>
        </w:rPr>
        <w:t>the risk that the shareholders would fail to approve the proposed business combination; other time and budget constraints of the company; and</w:t>
      </w:r>
    </w:p>
    <w:p>
      <w:pPr>
        <w:spacing w:after="0" w:line="1" w:lineRule="exact"/>
        <w:rPr>
          <w:sz w:val="20"/>
          <w:szCs w:val="20"/>
          <w:color w:val="auto"/>
        </w:rPr>
      </w:pPr>
    </w:p>
    <w:p>
      <w:pPr>
        <w:ind w:left="580" w:right="940"/>
        <w:spacing w:after="0" w:line="243" w:lineRule="auto"/>
        <w:rPr>
          <w:sz w:val="20"/>
          <w:szCs w:val="20"/>
          <w:color w:val="auto"/>
        </w:rPr>
      </w:pPr>
      <w:r>
        <w:rPr>
          <w:rFonts w:ascii="Arial" w:cs="Arial" w:eastAsia="Arial" w:hAnsi="Arial"/>
          <w:sz w:val="17"/>
          <w:szCs w:val="17"/>
          <w:color w:val="auto"/>
        </w:rPr>
        <w:t>additional legal complexities of a proposed business combination that would be time-consuming and burdensome to present to shareholders.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Permitted Purchases and Other Transactions with Respect to Our Securities</w:t>
      </w:r>
    </w:p>
    <w:p>
      <w:pPr>
        <w:spacing w:after="0" w:line="176"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in privately negotiated transactions or in the open market either prior to or following the completion of our initial business combination. Additionally, at any time at or prior to our initial business combination, subject to applicable securities laws (including with respect to material nonpublic information), our sponsor, directors, executive officers, advisors or their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in the trust account will be used to purchase public shares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w:t>
      </w:r>
    </w:p>
    <w:p>
      <w:pPr>
        <w:spacing w:after="0" w:line="165"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In the event that our sponsor, directors, officers, advisors or their affiliates purchase shares in privately negotiated transactions from public shareholders who have already elected to exercise their redemption rights or submitted a proxy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6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purpose of any such transactions could be to (i) vote such shares in favor of the business combination and thereby increase the likelihood of obtaining shareholder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w:t>
      </w:r>
    </w:p>
    <w:p>
      <w:pPr>
        <w:spacing w:after="0" w:line="161" w:lineRule="exact"/>
        <w:rPr>
          <w:sz w:val="20"/>
          <w:szCs w:val="20"/>
          <w:color w:val="auto"/>
        </w:rPr>
      </w:pPr>
    </w:p>
    <w:p>
      <w:pPr>
        <w:ind w:right="420"/>
        <w:spacing w:after="0" w:line="238" w:lineRule="auto"/>
        <w:rPr>
          <w:sz w:val="20"/>
          <w:szCs w:val="20"/>
          <w:color w:val="auto"/>
        </w:rPr>
      </w:pPr>
      <w:r>
        <w:rPr>
          <w:rFonts w:ascii="Arial" w:cs="Arial" w:eastAsia="Arial" w:hAnsi="Arial"/>
          <w:sz w:val="17"/>
          <w:szCs w:val="17"/>
          <w:color w:val="auto"/>
        </w:rPr>
        <w:t>In addition, if such purchases are made, the public “float” of our Class A ordinary shares may be reduced and the number of beneficial holders of our securities may be reduced, which may make it difficult to maintain or obtain the quotation, listing or trading of our securities on a national securities exchange.</w:t>
      </w:r>
    </w:p>
    <w:p>
      <w:pPr>
        <w:spacing w:after="0" w:line="14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Our sponsor, officers, directors and/or their affiliates anticipate that they may identify the shareholders with whom our sponsor, officers, directors or their affiliates may pursue privately negotiated transactions by either the shareholders contacting us directly or by our receipt of redemption requests submitted by shareholders (in the case of Class A ordinary shares) following our mailing of tender offer or proxy materials in connection with our initial business combination. To the extent that our sponsor, officers, directors, advisors or their affiliates enter into a private transaction, they would identify and contact only potential selling or redeeming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shareholder meeting related to our initial business combination. Our sponsor, executive officers, directors, advisors or their affiliates will select which shareholders to purchase shares from based on the negotiated price and number of shares and any other factors that they may deem relevant, and will be restricted from purchasing shares if such purchases do not comply with Regulation M under the Exchange Act and the other federal securities laws.</w:t>
      </w:r>
    </w:p>
    <w:p>
      <w:pPr>
        <w:spacing w:after="0" w:line="165"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sponsor, officers, directors and/or their affiliates will be restricted from making purchases of shares if the purchases would violate Section 9(a)(2) or Rule 10b-5 of the Exchange Act. We expect any such purchases would be reported by such person pursuant to Section 13 and Section 16 of the Exchange Act to the extent such purchasers are subject to such reporting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Redemption Rights for Public Shareholders upon Completion of Our Initial Business Combination</w:t>
      </w:r>
    </w:p>
    <w:p>
      <w:pPr>
        <w:spacing w:after="0" w:line="18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rights may include the requirement that a beneficial holder must identify itself in order to validly redeem its shares. Further, we will not proceed with redeeming our public shares, even if a public shareholder has properly elected to redeem its shares, if a business combination does not close. Our sponsor and our management team have entered into an agreement with us, pursuant to which they have agreed to waive their 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500"/>
        <w:spacing w:after="0" w:line="243" w:lineRule="auto"/>
        <w:rPr>
          <w:sz w:val="20"/>
          <w:szCs w:val="20"/>
          <w:color w:val="auto"/>
        </w:rPr>
      </w:pPr>
      <w:r>
        <w:rPr>
          <w:rFonts w:ascii="Arial" w:cs="Arial" w:eastAsia="Arial" w:hAnsi="Arial"/>
          <w:sz w:val="17"/>
          <w:szCs w:val="17"/>
          <w:color w:val="auto"/>
        </w:rPr>
        <w:t>if we do not complete our initial business combination within 24 months from the closing of this offering or (B) with respect to any other provision relating to the rights of holders of our Class A ordinary shares.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Redemptions</w:t>
      </w:r>
    </w:p>
    <w:p>
      <w:pPr>
        <w:spacing w:after="0" w:line="176"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(so that we do not then become subject to the SEC’s “penny stock” rules). However, the proposed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business combination.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Class A ordinary shares submitted for redemption will be returned to the holders thereof.</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Manner of Conducting Redemptions</w:t>
      </w:r>
    </w:p>
    <w:p>
      <w:pPr>
        <w:spacing w:after="0" w:line="176"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either (i) in connection with a shareholder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Asset acquisitions and share purchases would not typically require shareholder approval while direct mergers with our company where we do not survive and any transactions where we issue more than 20% of our issued and outstanding ordinary shares (excluding the private placement shares) or seek to amend our amended and restated memorandum and articles of association would typically require shareholder approval. We currently intend to conduct redemptions in connection with a shareholder vote unless shareholder approval is not required by applicable law or stock exchange rule or we choose to conduct redemptions pursuant to the tender offer rules of the SEC for business or other reasons.</w:t>
      </w:r>
    </w:p>
    <w:p>
      <w:pPr>
        <w:spacing w:after="0" w:line="165"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If we held a shareholder vote to approve our initial business combination, we will, pursuant to our amended and restated memorandum and articles of association:</w:t>
      </w:r>
    </w:p>
    <w:p>
      <w:pPr>
        <w:spacing w:after="0" w:line="90" w:lineRule="exact"/>
        <w:rPr>
          <w:sz w:val="20"/>
          <w:szCs w:val="20"/>
          <w:color w:val="auto"/>
        </w:rPr>
      </w:pPr>
    </w:p>
    <w:p>
      <w:pPr>
        <w:ind w:left="580" w:right="320"/>
        <w:spacing w:after="0" w:line="243" w:lineRule="auto"/>
        <w:rPr>
          <w:sz w:val="20"/>
          <w:szCs w:val="20"/>
          <w:color w:val="auto"/>
        </w:rPr>
      </w:pPr>
      <w:r>
        <w:rPr>
          <w:rFonts w:ascii="Arial" w:cs="Arial" w:eastAsia="Arial" w:hAnsi="Arial"/>
          <w:sz w:val="17"/>
          <w:szCs w:val="17"/>
          <w:color w:val="auto"/>
        </w:rPr>
        <w:t>conduct the redemptions in conjunction with a proxy solicitation pursuant to Regulation 14A of the Exchange Act, which regulates the solicitation of proxies, and not pursuant to the tender offer rules; and</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file proxy materials with the SEC.</w:t>
      </w:r>
    </w:p>
    <w:p>
      <w:pPr>
        <w:spacing w:after="0" w:line="169"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4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public shares purchased during or after this offering in favor of our initial business combination. As a result, in addition to our initial shareholders’ founder shares and private placement shares, we would need 4,645,001, or 35.73%, of the 13,000,000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over-allotment option is not exercised). Each public shareholder may elect to redeem their public shares irrespective of whether they vote for or against the proposed transaction or vote at all. In addition, our sponsor and our management team have entered into an agreement with us, pursuant to which they have agreed to waive their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w:t>
      </w:r>
    </w:p>
    <w:p>
      <w:pPr>
        <w:spacing w:after="0" w:line="164"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If we conduct redemptions pursuant to the tender offer rules of the SEC, we will, pursuant to our amended and restated memorandum and articles of association:</w:t>
      </w:r>
    </w:p>
    <w:p>
      <w:pPr>
        <w:spacing w:after="0" w:line="90" w:lineRule="exact"/>
        <w:rPr>
          <w:sz w:val="20"/>
          <w:szCs w:val="20"/>
          <w:color w:val="auto"/>
        </w:rPr>
      </w:pPr>
    </w:p>
    <w:p>
      <w:pPr>
        <w:ind w:left="580"/>
        <w:spacing w:after="0" w:line="243" w:lineRule="auto"/>
        <w:rPr>
          <w:sz w:val="20"/>
          <w:szCs w:val="20"/>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90" w:lineRule="exact"/>
        <w:rPr>
          <w:sz w:val="20"/>
          <w:szCs w:val="20"/>
          <w:color w:val="auto"/>
        </w:rPr>
      </w:pPr>
    </w:p>
    <w:p>
      <w:pPr>
        <w:ind w:left="580" w:right="60"/>
        <w:spacing w:after="0" w:line="238" w:lineRule="auto"/>
        <w:rPr>
          <w:sz w:val="20"/>
          <w:szCs w:val="20"/>
          <w:color w:val="auto"/>
        </w:rPr>
      </w:pPr>
      <w:r>
        <w:rPr>
          <w:rFonts w:ascii="Arial" w:cs="Arial" w:eastAsia="Arial" w:hAnsi="Arial"/>
          <w:sz w:val="17"/>
          <w:szCs w:val="17"/>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61" w:lineRule="exact"/>
        <w:rPr>
          <w:sz w:val="20"/>
          <w:szCs w:val="20"/>
          <w:color w:val="auto"/>
        </w:rPr>
      </w:pPr>
    </w:p>
    <w:p>
      <w:pPr>
        <w:ind w:right="520"/>
        <w:spacing w:after="0" w:line="238" w:lineRule="auto"/>
        <w:rPr>
          <w:sz w:val="20"/>
          <w:szCs w:val="20"/>
          <w:color w:val="auto"/>
        </w:rPr>
      </w:pPr>
      <w:r>
        <w:rPr>
          <w:rFonts w:ascii="Arial" w:cs="Arial" w:eastAsia="Arial" w:hAnsi="Arial"/>
          <w:sz w:val="17"/>
          <w:szCs w:val="17"/>
          <w:color w:val="auto"/>
        </w:rPr>
        <w:t>Upon the public announcement of our initial business combination, we or our sponsor will terminate any plan established in accordance with Rule 10b5-1 to purchase Class A ordinary shares in the open market if we elect to redeem our public shares through a tender offer, to comply with Rule 14e-5 under the Exchange Act.</w:t>
      </w:r>
    </w:p>
    <w:p>
      <w:pPr>
        <w:spacing w:after="0" w:line="147"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w:t>
      </w:r>
    </w:p>
    <w:p>
      <w:pPr>
        <w:spacing w:after="0" w:line="236" w:lineRule="exact"/>
        <w:rPr>
          <w:sz w:val="20"/>
          <w:szCs w:val="20"/>
          <w:color w:val="auto"/>
        </w:rPr>
      </w:pPr>
    </w:p>
    <w:p>
      <w:pPr>
        <w:ind w:right="620"/>
        <w:spacing w:after="0" w:line="267" w:lineRule="auto"/>
        <w:rPr>
          <w:sz w:val="20"/>
          <w:szCs w:val="20"/>
          <w:color w:val="auto"/>
        </w:rPr>
      </w:pPr>
      <w:r>
        <w:rPr>
          <w:rFonts w:ascii="Arial" w:cs="Arial" w:eastAsia="Arial" w:hAnsi="Arial"/>
          <w:sz w:val="17"/>
          <w:szCs w:val="17"/>
          <w:b w:val="1"/>
          <w:bCs w:val="1"/>
          <w:color w:val="auto"/>
        </w:rPr>
        <w:t>Limitation on Redemption upon Completion of Our Initial Business Combination If We Seek Shareholder Approval</w:t>
      </w:r>
    </w:p>
    <w:p>
      <w:pPr>
        <w:spacing w:after="0" w:line="125"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management team at a premium to the then-current market price or on other undesirable terms. By limiting our shareholders’ ability to redeem no more than 15% of the shares sold in this offering without our prior consent,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64"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However, we would not be restricting our shareholders’ ability to vote all of their shares (including Excess Shares) for or against our initial business combination.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Tendering Share Certificates in Connection with a Tender Offer or Redemption Rights</w:t>
      </w:r>
    </w:p>
    <w:p>
      <w:pPr>
        <w:spacing w:after="0" w:line="18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Public shareholders seeking to exercise their redemption rights, whether they are record holders or hold their shares in “street name,” will be required to either tender their certificates (if any) to our transfer agent prior to the date set forth in the proxy solicitation or tender offer materials, as applicable, mailed to such holders, or to deliver their shares to the transfer agent electronically using The Depository Trust Company’s DWAC (Deposit/ Withdrawal At Custodian) System, at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99"/>
        <w:spacing w:after="0" w:line="234" w:lineRule="auto"/>
        <w:rPr>
          <w:sz w:val="20"/>
          <w:szCs w:val="20"/>
          <w:color w:val="auto"/>
        </w:rPr>
      </w:pPr>
      <w:r>
        <w:rPr>
          <w:rFonts w:ascii="Arial" w:cs="Arial" w:eastAsia="Arial" w:hAnsi="Arial"/>
          <w:sz w:val="17"/>
          <w:szCs w:val="17"/>
          <w:color w:val="auto"/>
        </w:rPr>
        <w:t>the holder’s option, in each case up to two business days prior to the initially scheduled vote to approve the business combination. The proxy solicitation or tender offer materials, as applicable, that we will furnish to holders of our public shares in connection with our initial business combination will indicate the applicable delivery requirements, which may include the requirement that a beneficial holder must identify itself in order to validly redeem its shares. Accordingly, a public shareholder would have from the time we send out our tender offer materials until the close of the tender offer period, or up to two business days prior to the initially scheduled vote on the proposal to approve the business combination if we distribute proxy materials, as applicable, to tender its shares if it wishes to seek to exercise its redemption rights. Given the relatively short period in which to exercise redemption rights, it is advisable for shareholders to use electronic delivery of their public shares.</w:t>
      </w:r>
    </w:p>
    <w:p>
      <w:pPr>
        <w:spacing w:after="0" w:line="161" w:lineRule="exact"/>
        <w:rPr>
          <w:sz w:val="20"/>
          <w:szCs w:val="20"/>
          <w:color w:val="auto"/>
        </w:rPr>
      </w:pPr>
    </w:p>
    <w:p>
      <w:pPr>
        <w:ind w:right="159"/>
        <w:spacing w:after="0" w:line="235" w:lineRule="auto"/>
        <w:rPr>
          <w:sz w:val="20"/>
          <w:szCs w:val="20"/>
          <w:color w:val="auto"/>
        </w:rPr>
      </w:pPr>
      <w:r>
        <w:rPr>
          <w:rFonts w:ascii="Arial" w:cs="Arial" w:eastAsia="Arial" w:hAnsi="Arial"/>
          <w:sz w:val="17"/>
          <w:szCs w:val="17"/>
          <w:color w:val="auto"/>
        </w:rPr>
        <w:t>There is a nominal cost associated with the above-referenced tendering process and the act of certificating the shares or delivering them through the DWAC System. The transfer agent will typically charge the tendering broker a fee of approximately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61" w:lineRule="exact"/>
        <w:rPr>
          <w:sz w:val="20"/>
          <w:szCs w:val="20"/>
          <w:color w:val="auto"/>
        </w:rPr>
      </w:pPr>
    </w:p>
    <w:p>
      <w:pPr>
        <w:ind w:right="39"/>
        <w:spacing w:after="0" w:line="233" w:lineRule="auto"/>
        <w:rPr>
          <w:sz w:val="20"/>
          <w:szCs w:val="20"/>
          <w:color w:val="auto"/>
        </w:rPr>
      </w:pPr>
      <w:r>
        <w:rPr>
          <w:rFonts w:ascii="Arial" w:cs="Arial" w:eastAsia="Arial" w:hAnsi="Arial"/>
          <w:sz w:val="17"/>
          <w:szCs w:val="17"/>
          <w:color w:val="auto"/>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 would become “option” rights surviving past the completion of the business combination until the redeeming holder delivered its certificate. The requirement for physical or electronic delivery prior to the meeting ensures that a redeeming shareholder’s election to redeem is irrevocable once the business combination is approved.</w:t>
      </w:r>
    </w:p>
    <w:p>
      <w:pPr>
        <w:spacing w:after="0" w:line="152" w:lineRule="exact"/>
        <w:rPr>
          <w:sz w:val="20"/>
          <w:szCs w:val="20"/>
          <w:color w:val="auto"/>
        </w:rPr>
      </w:pPr>
    </w:p>
    <w:p>
      <w:pPr>
        <w:ind w:right="59"/>
        <w:spacing w:after="0" w:line="234" w:lineRule="auto"/>
        <w:rPr>
          <w:sz w:val="20"/>
          <w:szCs w:val="20"/>
          <w:color w:val="auto"/>
        </w:rPr>
      </w:pPr>
      <w:r>
        <w:rPr>
          <w:rFonts w:ascii="Arial" w:cs="Arial" w:eastAsia="Arial" w:hAnsi="Arial"/>
          <w:sz w:val="17"/>
          <w:szCs w:val="17"/>
          <w:color w:val="auto"/>
        </w:rPr>
        <w:t>Any request to redeem such shares, once made, may be withdrawn at any time up to two business days prior to the initially scheduled vote on the proposal to approve the business combination, unless otherwise agreed to by us.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64" w:lineRule="exact"/>
        <w:rPr>
          <w:sz w:val="20"/>
          <w:szCs w:val="20"/>
          <w:color w:val="auto"/>
        </w:rPr>
      </w:pPr>
    </w:p>
    <w:p>
      <w:pPr>
        <w:ind w:right="39"/>
        <w:spacing w:after="0" w:line="236" w:lineRule="auto"/>
        <w:rPr>
          <w:sz w:val="20"/>
          <w:szCs w:val="20"/>
          <w:color w:val="auto"/>
        </w:rPr>
      </w:pPr>
      <w:r>
        <w:rPr>
          <w:rFonts w:ascii="Arial" w:cs="Arial" w:eastAsia="Arial" w:hAnsi="Arial"/>
          <w:sz w:val="17"/>
          <w:szCs w:val="17"/>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63" w:lineRule="exact"/>
        <w:rPr>
          <w:sz w:val="20"/>
          <w:szCs w:val="20"/>
          <w:color w:val="auto"/>
        </w:rPr>
      </w:pPr>
    </w:p>
    <w:p>
      <w:pPr>
        <w:ind w:right="879"/>
        <w:spacing w:after="0" w:line="243" w:lineRule="auto"/>
        <w:rPr>
          <w:sz w:val="20"/>
          <w:szCs w:val="20"/>
          <w:color w:val="auto"/>
        </w:rPr>
      </w:pPr>
      <w:r>
        <w:rPr>
          <w:rFonts w:ascii="Arial" w:cs="Arial" w:eastAsia="Arial" w:hAnsi="Arial"/>
          <w:sz w:val="17"/>
          <w:szCs w:val="17"/>
          <w:color w:val="auto"/>
        </w:rPr>
        <w:t>If our initial proposed business combination is not completed, we may continue to try to complete a business combination with a different target until 24 months from the closing of this offering.</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Redemption of Public Shares and Liquidation If No Initial Business Combination</w:t>
      </w:r>
    </w:p>
    <w:p>
      <w:pPr>
        <w:spacing w:after="0" w:line="189" w:lineRule="exact"/>
        <w:rPr>
          <w:sz w:val="20"/>
          <w:szCs w:val="20"/>
          <w:color w:val="auto"/>
        </w:rPr>
      </w:pPr>
    </w:p>
    <w:p>
      <w:pPr>
        <w:ind w:right="79"/>
        <w:spacing w:after="0" w:line="235" w:lineRule="auto"/>
        <w:rPr>
          <w:sz w:val="20"/>
          <w:szCs w:val="20"/>
          <w:color w:val="auto"/>
        </w:rPr>
      </w:pPr>
      <w:r>
        <w:rPr>
          <w:rFonts w:ascii="Arial" w:cs="Arial" w:eastAsia="Arial" w:hAnsi="Arial"/>
          <w:sz w:val="17"/>
          <w:szCs w:val="17"/>
          <w:color w:val="auto"/>
        </w:rPr>
        <w:t>Our amended and restated memorandum and articles of association will provide that we will have only 24 months from the closing of this offering to consummate an initial business combination. If we do not consummate an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w:t>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6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Our sponsor and each member of our management team have entered into an agreement with us, pursuant to which they have agreed to waive their rights to liquidating distributions from the trust account with respect to any founder shares or private placement shares they hold if we fail to consummate an initial business combination within 24 months from the closing of this offering (although they will be entitled to liquidating distributions from the trust account with respect to any public shares they hold if we fail to complete our initial business combination within 24 months from the closing of this offering).</w:t>
      </w:r>
    </w:p>
    <w:p>
      <w:pPr>
        <w:spacing w:after="0" w:line="161"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Our sponsor, executive officers, directors and director nominees have agreed, pursuant to a written agreement with us, that they will not propose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do not then become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expect that all costs and expenses associated with implementing our plan of dissolution, as well as payments to any creditors, will be funded from amounts remaining out of the $1,000,000 of proceeds held outside the trust account plus up to $100,000 of funds from the trust account available to us to pay dissolution expenses, although we cannot assure you that there will be sufficient funds for such purpose.</w:t>
      </w:r>
    </w:p>
    <w:p>
      <w:pPr>
        <w:spacing w:after="0" w:line="16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If we were to expend all of the net proceeds of this offering and the sale of the private placement shares, other than the proceeds deposited in the trust account, and without taking into account interest, if any, earned on 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spacing w:after="0" w:line="164"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Although we will seek to have all vendors, service providers (excluding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The underwriters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vendor for services rendered or products sold to us, or a prospective target business with which we have discussed entering into a transaction agreement, reduce the amounts in the trust account to below the lesser of (i) $10.00 per public share and</w:t>
      </w:r>
    </w:p>
    <w:p>
      <w:pPr>
        <w:ind w:right="20" w:firstLine="8"/>
        <w:spacing w:after="0" w:line="233" w:lineRule="auto"/>
        <w:tabs>
          <w:tab w:leader="none" w:pos="237"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liability will not apply to any claims by a third party or prospective target business who executed a waiver of any and all rights to seek access to the trust account nor will it apply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 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Our sponsor may not be able to satisfy those obligations. None of our officers or directors will indemnify us for claims by third parties including, without limitation, claims by vendors and prospective target businesses.</w:t>
      </w:r>
    </w:p>
    <w:p>
      <w:pPr>
        <w:spacing w:after="0" w:line="16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public share.</w:t>
      </w:r>
    </w:p>
    <w:p>
      <w:pPr>
        <w:spacing w:after="0" w:line="16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(excluding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$1,000,000 from the proceeds of this offering and the sale of the private placement shares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5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public share to our public shareholders. Additionally, if we file a bankruptcy petition or an involuntary bankruptcy petition is filed against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us that is not dismissed, any distributions received by shareholders could be viewed under applicable debtor/creditor and/or bankruptcy laws as either a “preferential transfer” or a “fraudulent conveyance.”</w:t>
      </w:r>
    </w:p>
    <w:p>
      <w:pPr>
        <w:spacing w:after="0" w:line="158"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As a result, a bankruptcy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63"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Our public shareholders will be entitled to receive funds from the trust account only (i) in the event of the redemption of our public shares if we do not consummate an initial business combination within 24 months from the closing of this offering, (ii)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w:t>
      </w:r>
    </w:p>
    <w:p>
      <w:pPr>
        <w:ind w:firstLine="8"/>
        <w:spacing w:after="0" w:line="233" w:lineRule="auto"/>
        <w:tabs>
          <w:tab w:leader="none" w:pos="2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with respect to any other provision relating to the rights of holders of our Class A ordinary shares, and (iii) if they redeem their respective shares for cash upon the completion of the initial business combination.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have not consummated an initial business combination within 24 months from the closing of this offering, with respect to such Class A ordinary shares so redeemed.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187"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b w:val="1"/>
          <w:bCs w:val="1"/>
          <w:color w:val="auto"/>
        </w:rPr>
        <w:t>Comparison of Redemption or Purchase Prices in Connection with Our Initial Business Combination and If We Fail to Complete Our Initial Business Combination.</w:t>
      </w:r>
    </w:p>
    <w:p>
      <w:pPr>
        <w:spacing w:after="0" w:line="125"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The following table compares the redemptions and other permitted purchases of public shares that may take place in connection with the completion of our initial business combination and if we do not consummate an initial business combination within 24 months from the closing of this offering.</w:t>
      </w:r>
    </w:p>
    <w:p>
      <w:pPr>
        <w:spacing w:after="0" w:line="302" w:lineRule="exact"/>
        <w:rPr>
          <w:sz w:val="20"/>
          <w:szCs w:val="20"/>
          <w:color w:val="auto"/>
        </w:rPr>
      </w:pPr>
    </w:p>
    <w:tbl>
      <w:tblPr>
        <w:tblLayout w:type="fixed"/>
        <w:tblInd w:w="2280" w:type="dxa"/>
        <w:tblCellMar>
          <w:top w:w="0" w:type="dxa"/>
          <w:left w:w="0" w:type="dxa"/>
          <w:bottom w:w="0" w:type="dxa"/>
          <w:right w:w="0" w:type="dxa"/>
        </w:tblCellMar>
      </w:tblPr>
      <w:tr>
        <w:trPr>
          <w:trHeight w:val="162"/>
        </w:trPr>
        <w:tc>
          <w:tcPr>
            <w:tcW w:w="2060" w:type="dxa"/>
            <w:vAlign w:val="bottom"/>
          </w:tcPr>
          <w:p>
            <w:pPr>
              <w:spacing w:after="0"/>
              <w:rPr>
                <w:sz w:val="20"/>
                <w:szCs w:val="20"/>
                <w:color w:val="auto"/>
              </w:rPr>
            </w:pPr>
            <w:r>
              <w:rPr>
                <w:rFonts w:ascii="Arial" w:cs="Arial" w:eastAsia="Arial" w:hAnsi="Arial"/>
                <w:sz w:val="14"/>
                <w:szCs w:val="14"/>
                <w:b w:val="1"/>
                <w:bCs w:val="1"/>
                <w:color w:val="auto"/>
              </w:rPr>
              <w:t>REDEMPTIONS IN</w:t>
            </w:r>
          </w:p>
        </w:tc>
        <w:tc>
          <w:tcPr>
            <w:tcW w:w="2360" w:type="dxa"/>
            <w:vAlign w:val="bottom"/>
          </w:tcPr>
          <w:p>
            <w:pPr>
              <w:ind w:left="320"/>
              <w:spacing w:after="0"/>
              <w:rPr>
                <w:sz w:val="20"/>
                <w:szCs w:val="20"/>
                <w:color w:val="auto"/>
              </w:rPr>
            </w:pPr>
            <w:r>
              <w:rPr>
                <w:rFonts w:ascii="Arial" w:cs="Arial" w:eastAsia="Arial" w:hAnsi="Arial"/>
                <w:sz w:val="14"/>
                <w:szCs w:val="14"/>
                <w:b w:val="1"/>
                <w:bCs w:val="1"/>
                <w:color w:val="auto"/>
              </w:rPr>
              <w:t>OTHER PERMITTED</w:t>
            </w:r>
          </w:p>
        </w:tc>
        <w:tc>
          <w:tcPr>
            <w:tcW w:w="2160" w:type="dxa"/>
            <w:vAlign w:val="bottom"/>
          </w:tcPr>
          <w:p>
            <w:pPr>
              <w:spacing w:after="0"/>
              <w:rPr>
                <w:sz w:val="14"/>
                <w:szCs w:val="14"/>
                <w:color w:val="auto"/>
              </w:rPr>
            </w:pPr>
          </w:p>
        </w:tc>
      </w:tr>
      <w:tr>
        <w:trPr>
          <w:trHeight w:val="162"/>
        </w:trPr>
        <w:tc>
          <w:tcPr>
            <w:tcW w:w="2060" w:type="dxa"/>
            <w:vAlign w:val="bottom"/>
          </w:tcPr>
          <w:p>
            <w:pPr>
              <w:spacing w:after="0"/>
              <w:rPr>
                <w:sz w:val="20"/>
                <w:szCs w:val="20"/>
                <w:color w:val="auto"/>
              </w:rPr>
            </w:pPr>
            <w:r>
              <w:rPr>
                <w:rFonts w:ascii="Arial" w:cs="Arial" w:eastAsia="Arial" w:hAnsi="Arial"/>
                <w:sz w:val="14"/>
                <w:szCs w:val="14"/>
                <w:b w:val="1"/>
                <w:bCs w:val="1"/>
                <w:color w:val="auto"/>
              </w:rPr>
              <w:t>CONNECTION WITH OUR</w:t>
            </w:r>
          </w:p>
        </w:tc>
        <w:tc>
          <w:tcPr>
            <w:tcW w:w="2360" w:type="dxa"/>
            <w:vAlign w:val="bottom"/>
          </w:tcPr>
          <w:p>
            <w:pPr>
              <w:ind w:left="320"/>
              <w:spacing w:after="0"/>
              <w:rPr>
                <w:sz w:val="20"/>
                <w:szCs w:val="20"/>
                <w:color w:val="auto"/>
              </w:rPr>
            </w:pPr>
            <w:r>
              <w:rPr>
                <w:rFonts w:ascii="Arial" w:cs="Arial" w:eastAsia="Arial" w:hAnsi="Arial"/>
                <w:sz w:val="14"/>
                <w:szCs w:val="14"/>
                <w:b w:val="1"/>
                <w:bCs w:val="1"/>
                <w:color w:val="auto"/>
              </w:rPr>
              <w:t>PURCHASES OF PUBLIC</w:t>
            </w:r>
          </w:p>
        </w:tc>
        <w:tc>
          <w:tcPr>
            <w:tcW w:w="2160" w:type="dxa"/>
            <w:vAlign w:val="bottom"/>
          </w:tcPr>
          <w:p>
            <w:pPr>
              <w:ind w:left="320"/>
              <w:spacing w:after="0"/>
              <w:rPr>
                <w:sz w:val="20"/>
                <w:szCs w:val="20"/>
                <w:color w:val="auto"/>
              </w:rPr>
            </w:pPr>
            <w:r>
              <w:rPr>
                <w:rFonts w:ascii="Arial" w:cs="Arial" w:eastAsia="Arial" w:hAnsi="Arial"/>
                <w:sz w:val="14"/>
                <w:szCs w:val="14"/>
                <w:b w:val="1"/>
                <w:bCs w:val="1"/>
                <w:color w:val="auto"/>
              </w:rPr>
              <w:t>REDEMPTIONS IF WE FAIL</w:t>
            </w:r>
          </w:p>
        </w:tc>
      </w:tr>
      <w:tr>
        <w:trPr>
          <w:trHeight w:val="162"/>
        </w:trPr>
        <w:tc>
          <w:tcPr>
            <w:tcW w:w="2060" w:type="dxa"/>
            <w:vAlign w:val="bottom"/>
          </w:tcPr>
          <w:p>
            <w:pPr>
              <w:spacing w:after="0"/>
              <w:rPr>
                <w:sz w:val="20"/>
                <w:szCs w:val="20"/>
                <w:color w:val="auto"/>
              </w:rPr>
            </w:pPr>
            <w:r>
              <w:rPr>
                <w:rFonts w:ascii="Arial" w:cs="Arial" w:eastAsia="Arial" w:hAnsi="Arial"/>
                <w:sz w:val="14"/>
                <w:szCs w:val="14"/>
                <w:b w:val="1"/>
                <w:bCs w:val="1"/>
                <w:color w:val="auto"/>
              </w:rPr>
              <w:t>INITIAL BUSINESS</w:t>
            </w:r>
          </w:p>
        </w:tc>
        <w:tc>
          <w:tcPr>
            <w:tcW w:w="2360" w:type="dxa"/>
            <w:vAlign w:val="bottom"/>
          </w:tcPr>
          <w:p>
            <w:pPr>
              <w:ind w:left="320"/>
              <w:spacing w:after="0"/>
              <w:rPr>
                <w:sz w:val="20"/>
                <w:szCs w:val="20"/>
                <w:color w:val="auto"/>
              </w:rPr>
            </w:pPr>
            <w:r>
              <w:rPr>
                <w:rFonts w:ascii="Arial" w:cs="Arial" w:eastAsia="Arial" w:hAnsi="Arial"/>
                <w:sz w:val="14"/>
                <w:szCs w:val="14"/>
                <w:b w:val="1"/>
                <w:bCs w:val="1"/>
                <w:color w:val="auto"/>
              </w:rPr>
              <w:t>SHARES BY OUR</w:t>
            </w:r>
          </w:p>
        </w:tc>
        <w:tc>
          <w:tcPr>
            <w:tcW w:w="2160" w:type="dxa"/>
            <w:vAlign w:val="bottom"/>
          </w:tcPr>
          <w:p>
            <w:pPr>
              <w:ind w:left="320"/>
              <w:spacing w:after="0"/>
              <w:rPr>
                <w:sz w:val="20"/>
                <w:szCs w:val="20"/>
                <w:color w:val="auto"/>
              </w:rPr>
            </w:pPr>
            <w:r>
              <w:rPr>
                <w:rFonts w:ascii="Arial" w:cs="Arial" w:eastAsia="Arial" w:hAnsi="Arial"/>
                <w:sz w:val="14"/>
                <w:szCs w:val="14"/>
                <w:b w:val="1"/>
                <w:bCs w:val="1"/>
                <w:color w:val="auto"/>
              </w:rPr>
              <w:t>TO COMPLETE AN INITIAL</w:t>
            </w:r>
          </w:p>
        </w:tc>
      </w:tr>
      <w:tr>
        <w:trPr>
          <w:trHeight w:val="190"/>
        </w:trPr>
        <w:tc>
          <w:tcPr>
            <w:tcW w:w="2060" w:type="dxa"/>
            <w:vAlign w:val="bottom"/>
          </w:tcPr>
          <w:p>
            <w:pPr>
              <w:spacing w:after="0"/>
              <w:rPr>
                <w:sz w:val="20"/>
                <w:szCs w:val="20"/>
                <w:color w:val="auto"/>
              </w:rPr>
            </w:pPr>
            <w:r>
              <w:rPr>
                <w:rFonts w:ascii="Arial" w:cs="Arial" w:eastAsia="Arial" w:hAnsi="Arial"/>
                <w:sz w:val="14"/>
                <w:szCs w:val="14"/>
                <w:b w:val="1"/>
                <w:bCs w:val="1"/>
                <w:color w:val="auto"/>
              </w:rPr>
              <w:t>COMBINATION</w:t>
            </w:r>
          </w:p>
        </w:tc>
        <w:tc>
          <w:tcPr>
            <w:tcW w:w="2360" w:type="dxa"/>
            <w:vAlign w:val="bottom"/>
          </w:tcPr>
          <w:p>
            <w:pPr>
              <w:ind w:left="320"/>
              <w:spacing w:after="0"/>
              <w:rPr>
                <w:sz w:val="20"/>
                <w:szCs w:val="20"/>
                <w:color w:val="auto"/>
              </w:rPr>
            </w:pPr>
            <w:r>
              <w:rPr>
                <w:rFonts w:ascii="Arial" w:cs="Arial" w:eastAsia="Arial" w:hAnsi="Arial"/>
                <w:sz w:val="14"/>
                <w:szCs w:val="14"/>
                <w:b w:val="1"/>
                <w:bCs w:val="1"/>
                <w:color w:val="auto"/>
              </w:rPr>
              <w:t>AFFILIATES</w:t>
            </w:r>
          </w:p>
        </w:tc>
        <w:tc>
          <w:tcPr>
            <w:tcW w:w="2160" w:type="dxa"/>
            <w:vAlign w:val="bottom"/>
          </w:tcPr>
          <w:p>
            <w:pPr>
              <w:ind w:left="320"/>
              <w:spacing w:after="0"/>
              <w:rPr>
                <w:sz w:val="20"/>
                <w:szCs w:val="20"/>
                <w:color w:val="auto"/>
              </w:rPr>
            </w:pPr>
            <w:r>
              <w:rPr>
                <w:rFonts w:ascii="Arial" w:cs="Arial" w:eastAsia="Arial" w:hAnsi="Arial"/>
                <w:sz w:val="14"/>
                <w:szCs w:val="14"/>
                <w:b w:val="1"/>
                <w:bCs w:val="1"/>
                <w:color w:val="auto"/>
              </w:rPr>
              <w:t>BUSINESS COMBINATION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33020</wp:posOffset>
            </wp:positionV>
            <wp:extent cx="43116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1650" cy="8890"/>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p>
      <w:pPr>
        <w:spacing w:after="0" w:line="94" w:lineRule="exact"/>
        <w:rPr>
          <w:sz w:val="20"/>
          <w:szCs w:val="20"/>
          <w:color w:val="auto"/>
        </w:rPr>
      </w:pPr>
    </w:p>
    <w:p>
      <w:pPr>
        <w:ind w:left="180" w:hanging="170"/>
        <w:spacing w:after="0" w:line="267" w:lineRule="auto"/>
        <w:rPr>
          <w:sz w:val="20"/>
          <w:szCs w:val="20"/>
          <w:color w:val="auto"/>
        </w:rPr>
      </w:pPr>
      <w:r>
        <w:rPr>
          <w:rFonts w:ascii="Arial" w:cs="Arial" w:eastAsia="Arial" w:hAnsi="Arial"/>
          <w:sz w:val="17"/>
          <w:szCs w:val="17"/>
          <w:b w:val="1"/>
          <w:bCs w:val="1"/>
          <w:color w:val="auto"/>
        </w:rPr>
        <w:t>Calculation of redemption price</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Redemptions at the time of our initial business combination may be made pursuant to a tender offer or in connection with a shareholder vote. The redemption price will be the same whether we conduct redemptions pursuant to a tender offer or in connection with a shareholder vote. In either case, our public shareholders may redeem their public shares for cash equal to the aggregate amount then on deposit in</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If we seek shareholder approval of our initial business combination, our sponsor, directors, officers, advisors or their affiliates may purchase shares in privately negotiated transactions or in the open market either prior to or following completion of our initial business combination. There is no limit to the prices that our sponsor, directors, officers, advisors or their affiliates may pay in these transactions. If they</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113665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If we do not consummate an initial business combination within</w:t>
      </w:r>
    </w:p>
    <w:p>
      <w:pPr>
        <w:spacing w:after="0" w:line="248" w:lineRule="auto"/>
        <w:rPr>
          <w:sz w:val="20"/>
          <w:szCs w:val="20"/>
          <w:color w:val="auto"/>
        </w:rPr>
      </w:pPr>
      <w:r>
        <w:rPr>
          <w:rFonts w:ascii="Arial" w:cs="Arial" w:eastAsia="Arial" w:hAnsi="Arial"/>
          <w:sz w:val="16"/>
          <w:szCs w:val="16"/>
          <w:color w:val="auto"/>
        </w:rPr>
        <w:t>24 months from the closing of this offering, we will redeem all public shares at a per-share price, payable in cash, equal to the aggregate amount, then on deposit in the trust account (which is initially anticipated to be $10.00 per share), including interest earned on the funds held in the trust account and not previously released to us to</w:t>
      </w:r>
    </w:p>
    <w:p>
      <w:pPr>
        <w:sectPr>
          <w:pgSz w:w="11900" w:h="16838" w:orient="portrait"/>
          <w:cols w:equalWidth="0" w:num="4">
            <w:col w:w="1560" w:space="720"/>
            <w:col w:w="2020" w:space="160"/>
            <w:col w:w="2240" w:space="320"/>
            <w:col w:w="2040"/>
          </w:cols>
          <w:pgMar w:left="1400" w:top="265" w:right="1439" w:bottom="1440" w:gutter="0" w:footer="0" w:header="0"/>
          <w:type w:val="continuous"/>
        </w:sectPr>
      </w:pPr>
    </w:p>
    <w:bookmarkStart w:id="89" w:name="page90"/>
    <w:bookmarkEnd w:id="8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p>
      <w:pPr>
        <w:ind w:left="2280"/>
        <w:spacing w:after="0"/>
        <w:tabs>
          <w:tab w:leader="none" w:pos="4640" w:val="left"/>
        </w:tabs>
        <w:rPr>
          <w:sz w:val="20"/>
          <w:szCs w:val="20"/>
          <w:color w:val="auto"/>
        </w:rPr>
      </w:pPr>
      <w:r>
        <w:rPr>
          <w:rFonts w:ascii="Arial" w:cs="Arial" w:eastAsia="Arial" w:hAnsi="Arial"/>
          <w:sz w:val="14"/>
          <w:szCs w:val="14"/>
          <w:b w:val="1"/>
          <w:bCs w:val="1"/>
          <w:color w:val="auto"/>
        </w:rPr>
        <w:t>REDEMPTIONS IN</w:t>
      </w:r>
      <w:r>
        <w:rPr>
          <w:sz w:val="20"/>
          <w:szCs w:val="20"/>
          <w:color w:val="auto"/>
        </w:rPr>
        <w:tab/>
      </w:r>
      <w:r>
        <w:rPr>
          <w:rFonts w:ascii="Arial" w:cs="Arial" w:eastAsia="Arial" w:hAnsi="Arial"/>
          <w:sz w:val="14"/>
          <w:szCs w:val="14"/>
          <w:b w:val="1"/>
          <w:bCs w:val="1"/>
          <w:color w:val="auto"/>
        </w:rPr>
        <w:t>OTHER PERMITTED</w:t>
      </w:r>
    </w:p>
    <w:p>
      <w:pPr>
        <w:spacing w:after="0" w:line="19"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auto"/>
        </w:rPr>
        <w:t>CONNECTION WITH OUR</w:t>
      </w:r>
      <w:r>
        <w:rPr>
          <w:sz w:val="20"/>
          <w:szCs w:val="20"/>
          <w:color w:val="auto"/>
        </w:rPr>
        <w:tab/>
      </w:r>
      <w:r>
        <w:rPr>
          <w:rFonts w:ascii="Arial" w:cs="Arial" w:eastAsia="Arial" w:hAnsi="Arial"/>
          <w:sz w:val="14"/>
          <w:szCs w:val="14"/>
          <w:b w:val="1"/>
          <w:bCs w:val="1"/>
          <w:color w:val="auto"/>
        </w:rPr>
        <w:t>PURCHASES OF PUBLIC</w:t>
      </w:r>
    </w:p>
    <w:p>
      <w:pPr>
        <w:spacing w:after="0" w:line="1" w:lineRule="exact"/>
        <w:rPr>
          <w:sz w:val="20"/>
          <w:szCs w:val="20"/>
          <w:color w:val="auto"/>
        </w:rPr>
      </w:pPr>
    </w:p>
    <w:p>
      <w:pPr>
        <w:ind w:left="2280"/>
        <w:spacing w:after="0"/>
        <w:tabs>
          <w:tab w:leader="none" w:pos="4640" w:val="left"/>
        </w:tabs>
        <w:rPr>
          <w:sz w:val="20"/>
          <w:szCs w:val="20"/>
          <w:color w:val="auto"/>
        </w:rPr>
      </w:pPr>
      <w:r>
        <w:rPr>
          <w:rFonts w:ascii="Arial" w:cs="Arial" w:eastAsia="Arial" w:hAnsi="Arial"/>
          <w:sz w:val="14"/>
          <w:szCs w:val="14"/>
          <w:b w:val="1"/>
          <w:bCs w:val="1"/>
          <w:color w:val="auto"/>
        </w:rPr>
        <w:t>INITIAL BUSINESS</w:t>
      </w:r>
      <w:r>
        <w:rPr>
          <w:sz w:val="20"/>
          <w:szCs w:val="20"/>
          <w:color w:val="auto"/>
        </w:rPr>
        <w:tab/>
      </w:r>
      <w:r>
        <w:rPr>
          <w:rFonts w:ascii="Arial" w:cs="Arial" w:eastAsia="Arial" w:hAnsi="Arial"/>
          <w:sz w:val="14"/>
          <w:szCs w:val="14"/>
          <w:b w:val="1"/>
          <w:bCs w:val="1"/>
          <w:color w:val="auto"/>
        </w:rPr>
        <w:t>SHARES BY OUR</w:t>
      </w:r>
    </w:p>
    <w:p>
      <w:pPr>
        <w:spacing w:after="0" w:line="1" w:lineRule="exact"/>
        <w:rPr>
          <w:sz w:val="20"/>
          <w:szCs w:val="20"/>
          <w:color w:val="auto"/>
        </w:rPr>
      </w:pPr>
    </w:p>
    <w:p>
      <w:pPr>
        <w:ind w:left="2280"/>
        <w:spacing w:after="0"/>
        <w:tabs>
          <w:tab w:leader="none" w:pos="4640" w:val="left"/>
        </w:tabs>
        <w:rPr>
          <w:sz w:val="20"/>
          <w:szCs w:val="20"/>
          <w:color w:val="auto"/>
        </w:rPr>
      </w:pPr>
      <w:r>
        <w:rPr>
          <w:rFonts w:ascii="Arial" w:cs="Arial" w:eastAsia="Arial" w:hAnsi="Arial"/>
          <w:sz w:val="14"/>
          <w:szCs w:val="14"/>
          <w:b w:val="1"/>
          <w:bCs w:val="1"/>
          <w:color w:val="auto"/>
        </w:rPr>
        <w:t>COMBINATION</w:t>
      </w:r>
      <w:r>
        <w:rPr>
          <w:sz w:val="20"/>
          <w:szCs w:val="20"/>
          <w:color w:val="auto"/>
        </w:rPr>
        <w:tab/>
      </w:r>
      <w:r>
        <w:rPr>
          <w:rFonts w:ascii="Arial" w:cs="Arial" w:eastAsia="Arial" w:hAnsi="Arial"/>
          <w:sz w:val="14"/>
          <w:szCs w:val="14"/>
          <w:b w:val="1"/>
          <w:bCs w:val="1"/>
          <w:color w:val="auto"/>
        </w:rPr>
        <w:t>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40640</wp:posOffset>
            </wp:positionV>
            <wp:extent cx="27946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both"/>
        <w:ind w:right="220"/>
        <w:spacing w:after="0" w:line="263"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13112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2">
            <w:col w:w="6380" w:space="640"/>
            <w:col w:w="2060"/>
          </w:cols>
          <w:pgMar w:left="1400" w:top="265" w:right="1419" w:bottom="1440" w:gutter="0" w:footer="0" w:header="0"/>
        </w:sectPr>
      </w:pPr>
    </w:p>
    <w:p>
      <w:pPr>
        <w:ind w:left="2280"/>
        <w:spacing w:after="0"/>
        <w:rPr>
          <w:sz w:val="20"/>
          <w:szCs w:val="20"/>
          <w:color w:val="auto"/>
        </w:rPr>
      </w:pPr>
      <w:r>
        <w:rPr>
          <w:rFonts w:ascii="Arial" w:cs="Arial" w:eastAsia="Arial" w:hAnsi="Arial"/>
          <w:sz w:val="17"/>
          <w:szCs w:val="17"/>
          <w:color w:val="auto"/>
        </w:rPr>
        <w:t>the trust account</w:t>
      </w:r>
    </w:p>
    <w:p>
      <w:pPr>
        <w:ind w:left="2280"/>
        <w:spacing w:after="0" w:line="232" w:lineRule="auto"/>
        <w:rPr>
          <w:sz w:val="20"/>
          <w:szCs w:val="20"/>
          <w:color w:val="auto"/>
        </w:rPr>
      </w:pPr>
      <w:r>
        <w:rPr>
          <w:rFonts w:ascii="Arial" w:cs="Arial" w:eastAsia="Arial" w:hAnsi="Arial"/>
          <w:sz w:val="17"/>
          <w:szCs w:val="17"/>
          <w:color w:val="auto"/>
        </w:rPr>
        <w:t>calculated as of two</w:t>
      </w:r>
    </w:p>
    <w:p>
      <w:pPr>
        <w:ind w:left="2280"/>
        <w:spacing w:after="0" w:line="232" w:lineRule="auto"/>
        <w:rPr>
          <w:sz w:val="20"/>
          <w:szCs w:val="20"/>
          <w:color w:val="auto"/>
        </w:rPr>
      </w:pPr>
      <w:r>
        <w:rPr>
          <w:rFonts w:ascii="Arial" w:cs="Arial" w:eastAsia="Arial" w:hAnsi="Arial"/>
          <w:sz w:val="17"/>
          <w:szCs w:val="17"/>
          <w:color w:val="auto"/>
        </w:rPr>
        <w:t>business days prior to the</w:t>
      </w:r>
    </w:p>
    <w:p>
      <w:pPr>
        <w:ind w:left="2280"/>
        <w:spacing w:after="0" w:line="232" w:lineRule="auto"/>
        <w:rPr>
          <w:sz w:val="20"/>
          <w:szCs w:val="20"/>
          <w:color w:val="auto"/>
        </w:rPr>
      </w:pPr>
      <w:r>
        <w:rPr>
          <w:rFonts w:ascii="Arial" w:cs="Arial" w:eastAsia="Arial" w:hAnsi="Arial"/>
          <w:sz w:val="17"/>
          <w:szCs w:val="17"/>
          <w:color w:val="auto"/>
        </w:rPr>
        <w:t>consummation of the initial</w:t>
      </w:r>
    </w:p>
    <w:p>
      <w:pPr>
        <w:ind w:left="2280"/>
        <w:spacing w:after="0" w:line="232" w:lineRule="auto"/>
        <w:rPr>
          <w:sz w:val="20"/>
          <w:szCs w:val="20"/>
          <w:color w:val="auto"/>
        </w:rPr>
      </w:pPr>
      <w:r>
        <w:rPr>
          <w:rFonts w:ascii="Arial" w:cs="Arial" w:eastAsia="Arial" w:hAnsi="Arial"/>
          <w:sz w:val="17"/>
          <w:szCs w:val="17"/>
          <w:color w:val="auto"/>
        </w:rPr>
        <w:t>business combination</w:t>
      </w:r>
    </w:p>
    <w:p>
      <w:pPr>
        <w:ind w:left="2280"/>
        <w:spacing w:after="0" w:line="232" w:lineRule="auto"/>
        <w:rPr>
          <w:sz w:val="20"/>
          <w:szCs w:val="20"/>
          <w:color w:val="auto"/>
        </w:rPr>
      </w:pPr>
      <w:r>
        <w:rPr>
          <w:rFonts w:ascii="Arial" w:cs="Arial" w:eastAsia="Arial" w:hAnsi="Arial"/>
          <w:sz w:val="17"/>
          <w:szCs w:val="17"/>
          <w:color w:val="auto"/>
        </w:rPr>
        <w:t>(which is initially</w:t>
      </w:r>
    </w:p>
    <w:p>
      <w:pPr>
        <w:ind w:left="2280"/>
        <w:spacing w:after="0" w:line="232" w:lineRule="auto"/>
        <w:rPr>
          <w:sz w:val="20"/>
          <w:szCs w:val="20"/>
          <w:color w:val="auto"/>
        </w:rPr>
      </w:pPr>
      <w:r>
        <w:rPr>
          <w:rFonts w:ascii="Arial" w:cs="Arial" w:eastAsia="Arial" w:hAnsi="Arial"/>
          <w:sz w:val="17"/>
          <w:szCs w:val="17"/>
          <w:color w:val="auto"/>
        </w:rPr>
        <w:t>anticipated to be $10.00</w:t>
      </w:r>
    </w:p>
    <w:p>
      <w:pPr>
        <w:ind w:left="2280"/>
        <w:spacing w:after="0" w:line="232" w:lineRule="auto"/>
        <w:rPr>
          <w:sz w:val="20"/>
          <w:szCs w:val="20"/>
          <w:color w:val="auto"/>
        </w:rPr>
      </w:pPr>
      <w:r>
        <w:rPr>
          <w:rFonts w:ascii="Arial" w:cs="Arial" w:eastAsia="Arial" w:hAnsi="Arial"/>
          <w:sz w:val="17"/>
          <w:szCs w:val="17"/>
          <w:color w:val="auto"/>
        </w:rPr>
        <w:t>per share), including</w:t>
      </w:r>
    </w:p>
    <w:p>
      <w:pPr>
        <w:ind w:left="2280"/>
        <w:spacing w:after="0" w:line="232" w:lineRule="auto"/>
        <w:rPr>
          <w:sz w:val="20"/>
          <w:szCs w:val="20"/>
          <w:color w:val="auto"/>
        </w:rPr>
      </w:pPr>
      <w:r>
        <w:rPr>
          <w:rFonts w:ascii="Arial" w:cs="Arial" w:eastAsia="Arial" w:hAnsi="Arial"/>
          <w:sz w:val="17"/>
          <w:szCs w:val="17"/>
          <w:color w:val="auto"/>
        </w:rPr>
        <w:t>interest earned on the</w:t>
      </w:r>
    </w:p>
    <w:p>
      <w:pPr>
        <w:ind w:left="2280"/>
        <w:spacing w:after="0" w:line="232" w:lineRule="auto"/>
        <w:rPr>
          <w:sz w:val="20"/>
          <w:szCs w:val="20"/>
          <w:color w:val="auto"/>
        </w:rPr>
      </w:pPr>
      <w:r>
        <w:rPr>
          <w:rFonts w:ascii="Arial" w:cs="Arial" w:eastAsia="Arial" w:hAnsi="Arial"/>
          <w:sz w:val="17"/>
          <w:szCs w:val="17"/>
          <w:color w:val="auto"/>
        </w:rPr>
        <w:t>funds held in the trust</w:t>
      </w:r>
    </w:p>
    <w:p>
      <w:pPr>
        <w:ind w:left="2280"/>
        <w:spacing w:after="0" w:line="232" w:lineRule="auto"/>
        <w:rPr>
          <w:sz w:val="20"/>
          <w:szCs w:val="20"/>
          <w:color w:val="auto"/>
        </w:rPr>
      </w:pPr>
      <w:r>
        <w:rPr>
          <w:rFonts w:ascii="Arial" w:cs="Arial" w:eastAsia="Arial" w:hAnsi="Arial"/>
          <w:sz w:val="17"/>
          <w:szCs w:val="17"/>
          <w:color w:val="auto"/>
        </w:rPr>
        <w:t>account and not previously</w:t>
      </w:r>
    </w:p>
    <w:p>
      <w:pPr>
        <w:ind w:left="2280"/>
        <w:spacing w:after="0" w:line="232" w:lineRule="auto"/>
        <w:rPr>
          <w:sz w:val="20"/>
          <w:szCs w:val="20"/>
          <w:color w:val="auto"/>
        </w:rPr>
      </w:pPr>
      <w:r>
        <w:rPr>
          <w:rFonts w:ascii="Arial" w:cs="Arial" w:eastAsia="Arial" w:hAnsi="Arial"/>
          <w:sz w:val="17"/>
          <w:szCs w:val="17"/>
          <w:color w:val="auto"/>
        </w:rPr>
        <w:t>released to us to pay our</w:t>
      </w:r>
    </w:p>
    <w:p>
      <w:pPr>
        <w:ind w:left="2280"/>
        <w:spacing w:after="0" w:line="232" w:lineRule="auto"/>
        <w:rPr>
          <w:sz w:val="20"/>
          <w:szCs w:val="20"/>
          <w:color w:val="auto"/>
        </w:rPr>
      </w:pPr>
      <w:r>
        <w:rPr>
          <w:rFonts w:ascii="Arial" w:cs="Arial" w:eastAsia="Arial" w:hAnsi="Arial"/>
          <w:sz w:val="17"/>
          <w:szCs w:val="17"/>
          <w:color w:val="auto"/>
        </w:rPr>
        <w:t>income taxes, if any,</w:t>
      </w:r>
    </w:p>
    <w:p>
      <w:pPr>
        <w:ind w:left="2280"/>
        <w:spacing w:after="0" w:line="232" w:lineRule="auto"/>
        <w:rPr>
          <w:sz w:val="20"/>
          <w:szCs w:val="20"/>
          <w:color w:val="auto"/>
        </w:rPr>
      </w:pPr>
      <w:r>
        <w:rPr>
          <w:rFonts w:ascii="Arial" w:cs="Arial" w:eastAsia="Arial" w:hAnsi="Arial"/>
          <w:sz w:val="17"/>
          <w:szCs w:val="17"/>
          <w:color w:val="auto"/>
        </w:rPr>
        <w:t>divided by the number of</w:t>
      </w:r>
    </w:p>
    <w:p>
      <w:pPr>
        <w:ind w:left="2280"/>
        <w:spacing w:after="0" w:line="232" w:lineRule="auto"/>
        <w:rPr>
          <w:sz w:val="20"/>
          <w:szCs w:val="20"/>
          <w:color w:val="auto"/>
        </w:rPr>
      </w:pPr>
      <w:r>
        <w:rPr>
          <w:rFonts w:ascii="Arial" w:cs="Arial" w:eastAsia="Arial" w:hAnsi="Arial"/>
          <w:sz w:val="17"/>
          <w:szCs w:val="17"/>
          <w:color w:val="auto"/>
        </w:rPr>
        <w:t>the then-outstanding</w:t>
      </w:r>
    </w:p>
    <w:p>
      <w:pPr>
        <w:ind w:left="2280"/>
        <w:spacing w:after="0" w:line="232" w:lineRule="auto"/>
        <w:rPr>
          <w:sz w:val="20"/>
          <w:szCs w:val="20"/>
          <w:color w:val="auto"/>
        </w:rPr>
      </w:pPr>
      <w:r>
        <w:rPr>
          <w:rFonts w:ascii="Arial" w:cs="Arial" w:eastAsia="Arial" w:hAnsi="Arial"/>
          <w:sz w:val="17"/>
          <w:szCs w:val="17"/>
          <w:color w:val="auto"/>
        </w:rPr>
        <w:t>public shares, subject to</w:t>
      </w:r>
    </w:p>
    <w:p>
      <w:pPr>
        <w:ind w:left="2280"/>
        <w:spacing w:after="0" w:line="232" w:lineRule="auto"/>
        <w:rPr>
          <w:sz w:val="20"/>
          <w:szCs w:val="20"/>
          <w:color w:val="auto"/>
        </w:rPr>
      </w:pPr>
      <w:r>
        <w:rPr>
          <w:rFonts w:ascii="Arial" w:cs="Arial" w:eastAsia="Arial" w:hAnsi="Arial"/>
          <w:sz w:val="17"/>
          <w:szCs w:val="17"/>
          <w:color w:val="auto"/>
        </w:rPr>
        <w:t>the limitation that no</w:t>
      </w:r>
    </w:p>
    <w:p>
      <w:pPr>
        <w:ind w:left="2280"/>
        <w:spacing w:after="0" w:line="232" w:lineRule="auto"/>
        <w:rPr>
          <w:sz w:val="20"/>
          <w:szCs w:val="20"/>
          <w:color w:val="auto"/>
        </w:rPr>
      </w:pPr>
      <w:r>
        <w:rPr>
          <w:rFonts w:ascii="Arial" w:cs="Arial" w:eastAsia="Arial" w:hAnsi="Arial"/>
          <w:sz w:val="17"/>
          <w:szCs w:val="17"/>
          <w:color w:val="auto"/>
        </w:rPr>
        <w:t>redemptions will take</w:t>
      </w:r>
    </w:p>
    <w:p>
      <w:pPr>
        <w:ind w:left="2280"/>
        <w:spacing w:after="0" w:line="232" w:lineRule="auto"/>
        <w:rPr>
          <w:sz w:val="20"/>
          <w:szCs w:val="20"/>
          <w:color w:val="auto"/>
        </w:rPr>
      </w:pPr>
      <w:r>
        <w:rPr>
          <w:rFonts w:ascii="Arial" w:cs="Arial" w:eastAsia="Arial" w:hAnsi="Arial"/>
          <w:sz w:val="17"/>
          <w:szCs w:val="17"/>
          <w:color w:val="auto"/>
        </w:rPr>
        <w:t>place if all of the</w:t>
      </w:r>
    </w:p>
    <w:p>
      <w:pPr>
        <w:ind w:left="2280"/>
        <w:spacing w:after="0" w:line="232" w:lineRule="auto"/>
        <w:rPr>
          <w:sz w:val="20"/>
          <w:szCs w:val="20"/>
          <w:color w:val="auto"/>
        </w:rPr>
      </w:pPr>
      <w:r>
        <w:rPr>
          <w:rFonts w:ascii="Arial" w:cs="Arial" w:eastAsia="Arial" w:hAnsi="Arial"/>
          <w:sz w:val="17"/>
          <w:szCs w:val="17"/>
          <w:color w:val="auto"/>
        </w:rPr>
        <w:t>redemptions would cause</w:t>
      </w:r>
    </w:p>
    <w:p>
      <w:pPr>
        <w:ind w:left="2280"/>
        <w:spacing w:after="0" w:line="233" w:lineRule="auto"/>
        <w:rPr>
          <w:sz w:val="20"/>
          <w:szCs w:val="20"/>
          <w:color w:val="auto"/>
        </w:rPr>
      </w:pPr>
      <w:r>
        <w:rPr>
          <w:rFonts w:ascii="Arial" w:cs="Arial" w:eastAsia="Arial" w:hAnsi="Arial"/>
          <w:sz w:val="17"/>
          <w:szCs w:val="17"/>
          <w:color w:val="auto"/>
        </w:rPr>
        <w:t>our net tangible assets to</w:t>
      </w:r>
    </w:p>
    <w:p>
      <w:pPr>
        <w:ind w:left="2280"/>
        <w:spacing w:after="0" w:line="232" w:lineRule="auto"/>
        <w:rPr>
          <w:sz w:val="20"/>
          <w:szCs w:val="20"/>
          <w:color w:val="auto"/>
        </w:rPr>
      </w:pPr>
      <w:r>
        <w:rPr>
          <w:rFonts w:ascii="Arial" w:cs="Arial" w:eastAsia="Arial" w:hAnsi="Arial"/>
          <w:sz w:val="17"/>
          <w:szCs w:val="17"/>
          <w:color w:val="auto"/>
        </w:rPr>
        <w:t>be less than $5,000,001</w:t>
      </w:r>
    </w:p>
    <w:p>
      <w:pPr>
        <w:ind w:left="2280"/>
        <w:spacing w:after="0" w:line="232" w:lineRule="auto"/>
        <w:rPr>
          <w:sz w:val="20"/>
          <w:szCs w:val="20"/>
          <w:color w:val="auto"/>
        </w:rPr>
      </w:pPr>
      <w:r>
        <w:rPr>
          <w:rFonts w:ascii="Arial" w:cs="Arial" w:eastAsia="Arial" w:hAnsi="Arial"/>
          <w:sz w:val="17"/>
          <w:szCs w:val="17"/>
          <w:color w:val="auto"/>
        </w:rPr>
        <w:t>and any limitations</w:t>
      </w:r>
    </w:p>
    <w:p>
      <w:pPr>
        <w:ind w:left="2280"/>
        <w:spacing w:after="0" w:line="232" w:lineRule="auto"/>
        <w:rPr>
          <w:sz w:val="20"/>
          <w:szCs w:val="20"/>
          <w:color w:val="auto"/>
        </w:rPr>
      </w:pPr>
      <w:r>
        <w:rPr>
          <w:rFonts w:ascii="Arial" w:cs="Arial" w:eastAsia="Arial" w:hAnsi="Arial"/>
          <w:sz w:val="17"/>
          <w:szCs w:val="17"/>
          <w:color w:val="auto"/>
        </w:rPr>
        <w:t>(including but not limited to</w:t>
      </w:r>
    </w:p>
    <w:p>
      <w:pPr>
        <w:ind w:left="2280"/>
        <w:spacing w:after="0" w:line="232" w:lineRule="auto"/>
        <w:rPr>
          <w:sz w:val="20"/>
          <w:szCs w:val="20"/>
          <w:color w:val="auto"/>
        </w:rPr>
      </w:pPr>
      <w:r>
        <w:rPr>
          <w:rFonts w:ascii="Arial" w:cs="Arial" w:eastAsia="Arial" w:hAnsi="Arial"/>
          <w:sz w:val="17"/>
          <w:szCs w:val="17"/>
          <w:color w:val="auto"/>
        </w:rPr>
        <w:t>cash requirements)</w:t>
      </w:r>
    </w:p>
    <w:p>
      <w:pPr>
        <w:ind w:left="2280"/>
        <w:spacing w:after="0" w:line="232" w:lineRule="auto"/>
        <w:rPr>
          <w:sz w:val="20"/>
          <w:szCs w:val="20"/>
          <w:color w:val="auto"/>
        </w:rPr>
      </w:pPr>
      <w:r>
        <w:rPr>
          <w:rFonts w:ascii="Arial" w:cs="Arial" w:eastAsia="Arial" w:hAnsi="Arial"/>
          <w:sz w:val="17"/>
          <w:szCs w:val="17"/>
          <w:color w:val="auto"/>
        </w:rPr>
        <w:t>agreed to in connection</w:t>
      </w:r>
    </w:p>
    <w:p>
      <w:pPr>
        <w:ind w:left="2280"/>
        <w:spacing w:after="0" w:line="232" w:lineRule="auto"/>
        <w:rPr>
          <w:sz w:val="20"/>
          <w:szCs w:val="20"/>
          <w:color w:val="auto"/>
        </w:rPr>
      </w:pPr>
      <w:r>
        <w:rPr>
          <w:rFonts w:ascii="Arial" w:cs="Arial" w:eastAsia="Arial" w:hAnsi="Arial"/>
          <w:sz w:val="17"/>
          <w:szCs w:val="17"/>
          <w:color w:val="auto"/>
        </w:rPr>
        <w:t>with the negotiation of</w:t>
      </w:r>
    </w:p>
    <w:p>
      <w:pPr>
        <w:ind w:left="2280"/>
        <w:spacing w:after="0" w:line="232" w:lineRule="auto"/>
        <w:rPr>
          <w:sz w:val="20"/>
          <w:szCs w:val="20"/>
          <w:color w:val="auto"/>
        </w:rPr>
      </w:pPr>
      <w:r>
        <w:rPr>
          <w:rFonts w:ascii="Arial" w:cs="Arial" w:eastAsia="Arial" w:hAnsi="Arial"/>
          <w:sz w:val="17"/>
          <w:szCs w:val="17"/>
          <w:color w:val="auto"/>
        </w:rPr>
        <w:t>terms of a proposed</w:t>
      </w:r>
    </w:p>
    <w:p>
      <w:pPr>
        <w:ind w:left="2280"/>
        <w:spacing w:after="0"/>
        <w:rPr>
          <w:sz w:val="20"/>
          <w:szCs w:val="20"/>
          <w:color w:val="auto"/>
        </w:rPr>
      </w:pPr>
      <w:r>
        <w:rPr>
          <w:rFonts w:ascii="Arial" w:cs="Arial" w:eastAsia="Arial" w:hAnsi="Arial"/>
          <w:sz w:val="17"/>
          <w:szCs w:val="17"/>
          <w:color w:val="auto"/>
        </w:rPr>
        <w:t>business combination.</w:t>
      </w:r>
    </w:p>
    <w:p>
      <w:pPr>
        <w:spacing w:after="0" w:line="318" w:lineRule="exact"/>
        <w:rPr>
          <w:sz w:val="20"/>
          <w:szCs w:val="20"/>
          <w:color w:val="auto"/>
        </w:rPr>
      </w:pPr>
    </w:p>
    <w:p>
      <w:pPr>
        <w:spacing w:after="0"/>
        <w:tabs>
          <w:tab w:leader="none" w:pos="2260" w:val="left"/>
        </w:tabs>
        <w:rPr>
          <w:sz w:val="20"/>
          <w:szCs w:val="20"/>
          <w:color w:val="auto"/>
        </w:rPr>
      </w:pPr>
      <w:r>
        <w:rPr>
          <w:rFonts w:ascii="Arial" w:cs="Arial" w:eastAsia="Arial" w:hAnsi="Arial"/>
          <w:sz w:val="17"/>
          <w:szCs w:val="17"/>
          <w:b w:val="1"/>
          <w:bCs w:val="1"/>
          <w:color w:val="auto"/>
        </w:rPr>
        <w:t>Impact to remaining</w:t>
      </w:r>
      <w:r>
        <w:rPr>
          <w:sz w:val="20"/>
          <w:szCs w:val="20"/>
          <w:color w:val="auto"/>
        </w:rPr>
        <w:tab/>
      </w:r>
      <w:r>
        <w:rPr>
          <w:rFonts w:ascii="Arial" w:cs="Arial" w:eastAsia="Arial" w:hAnsi="Arial"/>
          <w:sz w:val="17"/>
          <w:szCs w:val="17"/>
          <w:color w:val="auto"/>
        </w:rPr>
        <w:t>The redemptions in</w:t>
      </w:r>
    </w:p>
    <w:p>
      <w:pPr>
        <w:spacing w:after="0" w:line="7" w:lineRule="exact"/>
        <w:rPr>
          <w:sz w:val="20"/>
          <w:szCs w:val="20"/>
          <w:color w:val="auto"/>
        </w:rPr>
      </w:pPr>
    </w:p>
    <w:p>
      <w:pPr>
        <w:ind w:left="180"/>
        <w:spacing w:after="0"/>
        <w:tabs>
          <w:tab w:leader="none" w:pos="2260" w:val="left"/>
        </w:tabs>
        <w:rPr>
          <w:sz w:val="20"/>
          <w:szCs w:val="20"/>
          <w:color w:val="auto"/>
        </w:rPr>
      </w:pPr>
      <w:r>
        <w:rPr>
          <w:rFonts w:ascii="Arial" w:cs="Arial" w:eastAsia="Arial" w:hAnsi="Arial"/>
          <w:sz w:val="17"/>
          <w:szCs w:val="17"/>
          <w:b w:val="1"/>
          <w:bCs w:val="1"/>
          <w:color w:val="auto"/>
        </w:rPr>
        <w:t>shareholders</w:t>
      </w:r>
      <w:r>
        <w:rPr>
          <w:sz w:val="20"/>
          <w:szCs w:val="20"/>
          <w:color w:val="auto"/>
        </w:rPr>
        <w:tab/>
      </w:r>
      <w:r>
        <w:rPr>
          <w:rFonts w:ascii="Arial" w:cs="Arial" w:eastAsia="Arial" w:hAnsi="Arial"/>
          <w:sz w:val="17"/>
          <w:szCs w:val="17"/>
          <w:color w:val="auto"/>
        </w:rPr>
        <w:t>connection with our initial</w:t>
      </w:r>
    </w:p>
    <w:p>
      <w:pPr>
        <w:ind w:left="2280"/>
        <w:spacing w:after="0" w:line="232" w:lineRule="auto"/>
        <w:rPr>
          <w:sz w:val="20"/>
          <w:szCs w:val="20"/>
          <w:color w:val="auto"/>
        </w:rPr>
      </w:pPr>
      <w:r>
        <w:rPr>
          <w:rFonts w:ascii="Arial" w:cs="Arial" w:eastAsia="Arial" w:hAnsi="Arial"/>
          <w:sz w:val="17"/>
          <w:szCs w:val="17"/>
          <w:color w:val="auto"/>
        </w:rPr>
        <w:t>business combination will</w:t>
      </w:r>
    </w:p>
    <w:p>
      <w:pPr>
        <w:ind w:left="2280"/>
        <w:spacing w:after="0" w:line="232" w:lineRule="auto"/>
        <w:rPr>
          <w:sz w:val="20"/>
          <w:szCs w:val="20"/>
          <w:color w:val="auto"/>
        </w:rPr>
      </w:pPr>
      <w:r>
        <w:rPr>
          <w:rFonts w:ascii="Arial" w:cs="Arial" w:eastAsia="Arial" w:hAnsi="Arial"/>
          <w:sz w:val="17"/>
          <w:szCs w:val="17"/>
          <w:color w:val="auto"/>
        </w:rPr>
        <w:t>reduce the book value per</w:t>
      </w:r>
    </w:p>
    <w:p>
      <w:pPr>
        <w:ind w:left="2280"/>
        <w:spacing w:after="0" w:line="232" w:lineRule="auto"/>
        <w:rPr>
          <w:sz w:val="20"/>
          <w:szCs w:val="20"/>
          <w:color w:val="auto"/>
        </w:rPr>
      </w:pPr>
      <w:r>
        <w:rPr>
          <w:rFonts w:ascii="Arial" w:cs="Arial" w:eastAsia="Arial" w:hAnsi="Arial"/>
          <w:sz w:val="17"/>
          <w:szCs w:val="17"/>
          <w:color w:val="auto"/>
        </w:rPr>
        <w:t>share for our remaining</w:t>
      </w:r>
    </w:p>
    <w:p>
      <w:pPr>
        <w:ind w:left="2280"/>
        <w:spacing w:after="0" w:line="232" w:lineRule="auto"/>
        <w:rPr>
          <w:sz w:val="20"/>
          <w:szCs w:val="20"/>
          <w:color w:val="auto"/>
        </w:rPr>
      </w:pPr>
      <w:r>
        <w:rPr>
          <w:rFonts w:ascii="Arial" w:cs="Arial" w:eastAsia="Arial" w:hAnsi="Arial"/>
          <w:sz w:val="17"/>
          <w:szCs w:val="17"/>
          <w:color w:val="auto"/>
        </w:rPr>
        <w:t>shareholders, who will</w:t>
      </w:r>
    </w:p>
    <w:p>
      <w:pPr>
        <w:ind w:left="2280"/>
        <w:spacing w:after="0" w:line="232" w:lineRule="auto"/>
        <w:rPr>
          <w:sz w:val="20"/>
          <w:szCs w:val="20"/>
          <w:color w:val="auto"/>
        </w:rPr>
      </w:pPr>
      <w:r>
        <w:rPr>
          <w:rFonts w:ascii="Arial" w:cs="Arial" w:eastAsia="Arial" w:hAnsi="Arial"/>
          <w:sz w:val="17"/>
          <w:szCs w:val="17"/>
          <w:color w:val="auto"/>
        </w:rPr>
        <w:t>bear the burden of the</w:t>
      </w:r>
    </w:p>
    <w:p>
      <w:pPr>
        <w:ind w:left="2280"/>
        <w:spacing w:after="0" w:line="232" w:lineRule="auto"/>
        <w:rPr>
          <w:sz w:val="20"/>
          <w:szCs w:val="20"/>
          <w:color w:val="auto"/>
        </w:rPr>
      </w:pPr>
      <w:r>
        <w:rPr>
          <w:rFonts w:ascii="Arial" w:cs="Arial" w:eastAsia="Arial" w:hAnsi="Arial"/>
          <w:sz w:val="17"/>
          <w:szCs w:val="17"/>
          <w:color w:val="auto"/>
        </w:rPr>
        <w:t>deferred underwriting</w:t>
      </w:r>
    </w:p>
    <w:p>
      <w:pPr>
        <w:ind w:left="2280"/>
        <w:spacing w:after="0" w:line="232" w:lineRule="auto"/>
        <w:rPr>
          <w:sz w:val="20"/>
          <w:szCs w:val="20"/>
          <w:color w:val="auto"/>
        </w:rPr>
      </w:pPr>
      <w:r>
        <w:rPr>
          <w:rFonts w:ascii="Arial" w:cs="Arial" w:eastAsia="Arial" w:hAnsi="Arial"/>
          <w:sz w:val="17"/>
          <w:szCs w:val="17"/>
          <w:color w:val="auto"/>
        </w:rPr>
        <w:t>commissions and taxes</w:t>
      </w:r>
    </w:p>
    <w:p>
      <w:pPr>
        <w:ind w:left="2280"/>
        <w:spacing w:after="0"/>
        <w:rPr>
          <w:sz w:val="20"/>
          <w:szCs w:val="20"/>
          <w:color w:val="auto"/>
        </w:rPr>
      </w:pPr>
      <w:r>
        <w:rPr>
          <w:rFonts w:ascii="Arial" w:cs="Arial" w:eastAsia="Arial" w:hAnsi="Arial"/>
          <w:sz w:val="17"/>
          <w:szCs w:val="17"/>
          <w:color w:val="auto"/>
        </w:rPr>
        <w:t>payable.</w:t>
      </w:r>
    </w:p>
    <w:p>
      <w:pPr>
        <w:spacing w:after="0" w:line="20" w:lineRule="exact"/>
        <w:rPr>
          <w:sz w:val="20"/>
          <w:szCs w:val="20"/>
          <w:color w:val="auto"/>
        </w:rPr>
      </w:pPr>
      <w:r>
        <w:rPr>
          <w:sz w:val="20"/>
          <w:szCs w:val="20"/>
          <w:color w:val="auto"/>
        </w:rPr>
        <w:br w:type="column"/>
      </w:r>
    </w:p>
    <w:p>
      <w:pPr>
        <w:ind w:left="200"/>
        <w:spacing w:after="0" w:line="232" w:lineRule="auto"/>
        <w:rPr>
          <w:sz w:val="20"/>
          <w:szCs w:val="20"/>
          <w:color w:val="auto"/>
        </w:rPr>
      </w:pPr>
      <w:r>
        <w:rPr>
          <w:rFonts w:ascii="Arial" w:cs="Arial" w:eastAsia="Arial" w:hAnsi="Arial"/>
          <w:sz w:val="17"/>
          <w:szCs w:val="17"/>
          <w:color w:val="auto"/>
        </w:rPr>
        <w:t>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 however, if the purchasers determine at the time of any such purchases that the purchases are subject to such rules, the purchasers will be required to comply with such rules.</w:t>
      </w:r>
    </w:p>
    <w:p>
      <w:pPr>
        <w:spacing w:after="0" w:line="200" w:lineRule="exact"/>
        <w:rPr>
          <w:sz w:val="20"/>
          <w:szCs w:val="20"/>
          <w:color w:val="auto"/>
        </w:rPr>
      </w:pPr>
    </w:p>
    <w:p>
      <w:pPr>
        <w:spacing w:after="0" w:line="341"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color w:val="auto"/>
        </w:rPr>
        <w:t>If the permitted purchases described above are made, there would be no impact to our remaining shareholders because the purchase price would not be paid by us.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121920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17"/>
          <w:szCs w:val="17"/>
          <w:color w:val="auto"/>
        </w:rPr>
        <w:t>pay our income taxes, if any (less up to $100,000 of interest to pay dissolution expenses) divided by the number of then outstanding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redemption of our public shares if we fail to complete our initial business combination will reduce the book value per share for the shares held by our sponsor, who will be our only remaining shareholder after such redemptions.</w:t>
      </w:r>
    </w:p>
    <w:p>
      <w:pPr>
        <w:sectPr>
          <w:pgSz w:w="11900" w:h="16838" w:orient="portrait"/>
          <w:cols w:equalWidth="0" w:num="3">
            <w:col w:w="4320" w:space="140"/>
            <w:col w:w="2220" w:space="340"/>
            <w:col w:w="2060"/>
          </w:cols>
          <w:pgMar w:left="1400" w:top="265" w:right="1419" w:bottom="1440" w:gutter="0" w:footer="0" w:header="0"/>
          <w:type w:val="continuous"/>
        </w:sectPr>
      </w:pPr>
    </w:p>
    <w:bookmarkStart w:id="90" w:name="page91"/>
    <w:bookmarkEnd w:id="9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This Offering to Those of Blank Check Companies Subject to Rule 419</w:t>
      </w:r>
    </w:p>
    <w:p>
      <w:pPr>
        <w:spacing w:after="0" w:line="189"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9060"/>
          </w:cols>
          <w:pgMar w:left="1400" w:top="265" w:right="14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52070</wp:posOffset>
            </wp:positionV>
            <wp:extent cx="19284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$130,000,000 of the net proceeds of this offering and the sale of the private placement shares will be deposited into a trust account located in the United States with Continental Stock Transfer &amp; Trust Company acting as trustee.</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52070</wp:posOffset>
            </wp:positionV>
            <wp:extent cx="19373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137"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Approximately $110,565,000 of the offering proceeds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200" w:lineRule="exact"/>
        <w:rPr>
          <w:sz w:val="20"/>
          <w:szCs w:val="20"/>
          <w:color w:val="auto"/>
        </w:rPr>
      </w:pPr>
    </w:p>
    <w:p>
      <w:pPr>
        <w:sectPr>
          <w:pgSz w:w="11900" w:h="16838" w:orient="portrait"/>
          <w:cols w:equalWidth="0" w:num="3">
            <w:col w:w="1860" w:space="720"/>
            <w:col w:w="2980" w:space="460"/>
            <w:col w:w="3040"/>
          </w:cols>
          <w:pgMar w:left="1400" w:top="265" w:right="1439" w:bottom="1440" w:gutter="0" w:footer="0" w:header="0"/>
          <w:type w:val="continuous"/>
        </w:sectPr>
      </w:pPr>
    </w:p>
    <w:p>
      <w:pPr>
        <w:spacing w:after="0" w:line="117" w:lineRule="exact"/>
        <w:rPr>
          <w:sz w:val="20"/>
          <w:szCs w:val="20"/>
          <w:color w:val="auto"/>
        </w:rPr>
      </w:pPr>
    </w:p>
    <w:p>
      <w:pPr>
        <w:ind w:right="680"/>
        <w:spacing w:after="0" w:line="267" w:lineRule="auto"/>
        <w:rPr>
          <w:sz w:val="20"/>
          <w:szCs w:val="20"/>
          <w:color w:val="auto"/>
        </w:rPr>
      </w:pPr>
      <w:r>
        <w:rPr>
          <w:rFonts w:ascii="Arial" w:cs="Arial" w:eastAsia="Arial" w:hAnsi="Arial"/>
          <w:sz w:val="17"/>
          <w:szCs w:val="17"/>
          <w:b w:val="1"/>
          <w:bCs w:val="1"/>
          <w:color w:val="auto"/>
        </w:rPr>
        <w:t>Investment of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 w:right="340" w:hanging="170"/>
        <w:spacing w:after="0" w:line="267" w:lineRule="auto"/>
        <w:rPr>
          <w:sz w:val="20"/>
          <w:szCs w:val="20"/>
          <w:color w:val="auto"/>
        </w:rPr>
      </w:pPr>
      <w:r>
        <w:rPr>
          <w:rFonts w:ascii="Arial" w:cs="Arial" w:eastAsia="Arial" w:hAnsi="Arial"/>
          <w:sz w:val="17"/>
          <w:szCs w:val="17"/>
          <w:b w:val="1"/>
          <w:bCs w:val="1"/>
          <w:color w:val="auto"/>
        </w:rPr>
        <w:t>Receipt of interest on escrowed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80" w:hanging="170"/>
        <w:spacing w:after="0" w:line="249" w:lineRule="auto"/>
        <w:rPr>
          <w:sz w:val="20"/>
          <w:szCs w:val="20"/>
          <w:color w:val="auto"/>
        </w:rPr>
      </w:pPr>
      <w:r>
        <w:rPr>
          <w:rFonts w:ascii="Arial" w:cs="Arial" w:eastAsia="Arial" w:hAnsi="Arial"/>
          <w:sz w:val="17"/>
          <w:szCs w:val="17"/>
          <w:b w:val="1"/>
          <w:bCs w:val="1"/>
          <w:color w:val="auto"/>
        </w:rPr>
        <w:t>Limitation on fair value or net assets of target business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$130,000,000 of the net proceeds of this offering and the sale of the private placement shares held in trust will be invested only in U.S. government treasury obligations with a maturity of 185 days or less or in money market funds meeting certain conditions under Rule 2a-7 under the Investment Company Act which invest only in direct U.S. government treasury obligations.</w:t>
      </w:r>
    </w:p>
    <w:p>
      <w:pPr>
        <w:spacing w:after="0" w:line="343"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Interest income (if any) on proceeds from the trust account to be paid to shareholders is reduced by (i) any income taxes paid or payable and (ii)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342"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interest earned on the trust account) at the time of signing the agreement to enter into the initial business combination.</w:t>
      </w:r>
    </w:p>
    <w:p>
      <w:pPr>
        <w:spacing w:after="0" w:line="216"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113665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Interest income on funds in escrow account would be held for the sole benefit of investors, unless and only after the funds held in escrow were released to us in connection with our completion of a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fair value or net assets of a target business must represent at least 80% of the maximum offering proceeds.</w:t>
      </w:r>
    </w:p>
    <w:p>
      <w:pPr>
        <w:sectPr>
          <w:pgSz w:w="11900" w:h="16838" w:orient="portrait"/>
          <w:cols w:equalWidth="0" w:num="3">
            <w:col w:w="2100" w:space="480"/>
            <w:col w:w="3020" w:space="420"/>
            <w:col w:w="3040"/>
          </w:cols>
          <w:pgMar w:left="1400" w:top="265" w:right="1439" w:bottom="1440" w:gutter="0" w:footer="0" w:header="0"/>
          <w:type w:val="continuous"/>
        </w:sectPr>
      </w:pPr>
    </w:p>
    <w:bookmarkStart w:id="91" w:name="page92"/>
    <w:bookmarkEnd w:id="9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4"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b w:val="1"/>
          <w:bCs w:val="1"/>
          <w:color w:val="auto"/>
        </w:rPr>
        <w:t>Trading of securities issued</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52070</wp:posOffset>
            </wp:positionV>
            <wp:extent cx="19284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3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public shares are expected to begin trading on or promptly after the date of this prospectus. If the over-allotment option is exercised following the initial filing of such Current Report on Form 8-K, a second or amended Current Report on Form 8-K will be filed to provide updated financial information to reflect the exercise of the over-allotment option.</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52070</wp:posOffset>
            </wp:positionV>
            <wp:extent cx="19373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137"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No trading of the Class A ordinary shares would be permitted until the completion of a business combination. During this period, the securities would be held in the escrow or trust account.</w:t>
      </w:r>
    </w:p>
    <w:p>
      <w:pPr>
        <w:spacing w:after="0" w:line="1140" w:lineRule="exact"/>
        <w:rPr>
          <w:sz w:val="20"/>
          <w:szCs w:val="20"/>
          <w:color w:val="auto"/>
        </w:rPr>
      </w:pPr>
    </w:p>
    <w:p>
      <w:pPr>
        <w:sectPr>
          <w:pgSz w:w="11900" w:h="16838" w:orient="portrait"/>
          <w:cols w:equalWidth="0" w:num="3">
            <w:col w:w="1860" w:space="720"/>
            <w:col w:w="3020" w:space="420"/>
            <w:col w:w="3040"/>
          </w:cols>
          <w:pgMar w:left="1400" w:top="265" w:right="1439" w:bottom="1440" w:gutter="0" w:footer="0" w:header="0"/>
        </w:sectPr>
      </w:pPr>
    </w:p>
    <w:p>
      <w:pPr>
        <w:spacing w:after="0" w:line="117" w:lineRule="exact"/>
        <w:rPr>
          <w:sz w:val="20"/>
          <w:szCs w:val="20"/>
          <w:color w:val="auto"/>
        </w:rPr>
      </w:pPr>
    </w:p>
    <w:p>
      <w:pPr>
        <w:spacing w:after="0"/>
        <w:tabs>
          <w:tab w:leader="none" w:pos="2560" w:val="left"/>
        </w:tabs>
        <w:rPr>
          <w:sz w:val="20"/>
          <w:szCs w:val="20"/>
          <w:color w:val="auto"/>
        </w:rPr>
      </w:pPr>
      <w:r>
        <w:rPr>
          <w:rFonts w:ascii="Arial" w:cs="Arial" w:eastAsia="Arial" w:hAnsi="Arial"/>
          <w:sz w:val="17"/>
          <w:szCs w:val="17"/>
          <w:b w:val="1"/>
          <w:bCs w:val="1"/>
          <w:color w:val="auto"/>
        </w:rPr>
        <w:t>Election to remain an</w:t>
      </w:r>
      <w:r>
        <w:rPr>
          <w:sz w:val="20"/>
          <w:szCs w:val="20"/>
          <w:color w:val="auto"/>
        </w:rPr>
        <w:tab/>
      </w:r>
      <w:r>
        <w:rPr>
          <w:rFonts w:ascii="Arial" w:cs="Arial" w:eastAsia="Arial" w:hAnsi="Arial"/>
          <w:sz w:val="17"/>
          <w:szCs w:val="17"/>
          <w:color w:val="auto"/>
        </w:rPr>
        <w:t>We will provide our public shareholders</w:t>
      </w:r>
    </w:p>
    <w:p>
      <w:pPr>
        <w:spacing w:after="0" w:line="7" w:lineRule="exact"/>
        <w:rPr>
          <w:sz w:val="20"/>
          <w:szCs w:val="20"/>
          <w:color w:val="auto"/>
        </w:rPr>
      </w:pPr>
    </w:p>
    <w:p>
      <w:pPr>
        <w:spacing w:after="0"/>
        <w:tabs>
          <w:tab w:leader="none" w:pos="2560" w:val="left"/>
        </w:tabs>
        <w:rPr>
          <w:sz w:val="20"/>
          <w:szCs w:val="20"/>
          <w:color w:val="auto"/>
        </w:rPr>
      </w:pPr>
      <w:r>
        <w:rPr>
          <w:rFonts w:ascii="Arial" w:cs="Arial" w:eastAsia="Arial" w:hAnsi="Arial"/>
          <w:sz w:val="17"/>
          <w:szCs w:val="17"/>
          <w:b w:val="1"/>
          <w:bCs w:val="1"/>
          <w:color w:val="auto"/>
        </w:rPr>
        <w:t>investor</w:t>
      </w:r>
      <w:r>
        <w:rPr>
          <w:sz w:val="20"/>
          <w:szCs w:val="20"/>
          <w:color w:val="auto"/>
        </w:rPr>
        <w:tab/>
      </w:r>
      <w:r>
        <w:rPr>
          <w:rFonts w:ascii="Arial" w:cs="Arial" w:eastAsia="Arial" w:hAnsi="Arial"/>
          <w:sz w:val="17"/>
          <w:szCs w:val="17"/>
          <w:color w:val="auto"/>
        </w:rPr>
        <w:t>with the opportunity to redeem their</w:t>
      </w:r>
    </w:p>
    <w:p>
      <w:pPr>
        <w:ind w:left="2580"/>
        <w:spacing w:after="0" w:line="232" w:lineRule="auto"/>
        <w:rPr>
          <w:sz w:val="20"/>
          <w:szCs w:val="20"/>
          <w:color w:val="auto"/>
        </w:rPr>
      </w:pPr>
      <w:r>
        <w:rPr>
          <w:rFonts w:ascii="Arial" w:cs="Arial" w:eastAsia="Arial" w:hAnsi="Arial"/>
          <w:sz w:val="17"/>
          <w:szCs w:val="17"/>
          <w:color w:val="auto"/>
        </w:rPr>
        <w:t>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income taxes, if any, divided by the number of the then-outstanding public shares, upon the completion of our initial business combination, subject to the limitations described herein. We may not be required by applicable law or stock exchange rule to hold a shareholder vote. If we are not required by applicable law or stock exchange rule and do not otherwise decide to hold a shareholder vote, we will, pursuant to our amended and restated memorandum and articles of association, conduct the redemptions pursuant to the tender offer rules of the SEC and file tender offer documents with the SEC which will contain substantially the same financial and other information about the initial business combination and the redemption rights as is required under the SEC’s proxy rules. If, however, we hold a shareholder vote, we will, like many blank check companies, offer to redeem shares in conjunction with a proxy solicitation pursuant to the proxy rules and not pursuant to the tender offer rules. If we seek shareholder approval, we will complete our initial business combination only if a majority</w:t>
      </w:r>
    </w:p>
    <w:p>
      <w:pPr>
        <w:spacing w:after="0" w:line="226"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 shareholder.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2">
            <w:col w:w="5600" w:space="420"/>
            <w:col w:w="3040"/>
          </w:cols>
          <w:pgMar w:left="1400" w:top="265" w:right="14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tc>
        <w:tc>
          <w:tcPr>
            <w:tcW w:w="380" w:type="dxa"/>
            <w:vAlign w:val="bottom"/>
          </w:tcPr>
          <w:p>
            <w:pPr>
              <w:spacing w:after="0"/>
              <w:rPr>
                <w:sz w:val="16"/>
                <w:szCs w:val="16"/>
                <w:color w:val="auto"/>
              </w:rPr>
            </w:pPr>
          </w:p>
        </w:tc>
        <w:tc>
          <w:tcPr>
            <w:tcW w:w="3040" w:type="dxa"/>
            <w:vAlign w:val="bottom"/>
          </w:tcPr>
          <w:p>
            <w:pPr>
              <w:spacing w:after="0"/>
              <w:rPr>
                <w:sz w:val="16"/>
                <w:szCs w:val="16"/>
                <w:color w:val="auto"/>
              </w:rPr>
            </w:pPr>
          </w:p>
        </w:tc>
      </w:tr>
      <w:tr>
        <w:trPr>
          <w:trHeight w:val="405"/>
        </w:trPr>
        <w:tc>
          <w:tcPr>
            <w:tcW w:w="2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40" w:type="dxa"/>
            <w:vAlign w:val="bottom"/>
          </w:tcPr>
          <w:p>
            <w:pPr>
              <w:jc w:val="right"/>
              <w:ind w:right="508"/>
              <w:spacing w:after="0"/>
              <w:rPr>
                <w:sz w:val="20"/>
                <w:szCs w:val="20"/>
                <w:color w:val="auto"/>
              </w:rPr>
            </w:pPr>
            <w:r>
              <w:rPr>
                <w:rFonts w:ascii="Arial" w:cs="Arial" w:eastAsia="Arial" w:hAnsi="Arial"/>
                <w:sz w:val="14"/>
                <w:szCs w:val="14"/>
                <w:b w:val="1"/>
                <w:bCs w:val="1"/>
                <w:color w:val="auto"/>
              </w:rPr>
              <w:t>TERMS OF OUR OFFERING</w:t>
            </w:r>
          </w:p>
        </w:tc>
      </w:tr>
      <w:tr>
        <w:trPr>
          <w:trHeight w:val="53"/>
        </w:trPr>
        <w:tc>
          <w:tcPr>
            <w:tcW w:w="2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r>
      <w:tr>
        <w:trPr>
          <w:trHeight w:val="244"/>
        </w:trPr>
        <w:tc>
          <w:tcPr>
            <w:tcW w:w="2200" w:type="dxa"/>
            <w:vAlign w:val="bottom"/>
          </w:tcPr>
          <w:p>
            <w:pPr>
              <w:spacing w:after="0"/>
              <w:rPr>
                <w:sz w:val="21"/>
                <w:szCs w:val="21"/>
                <w:color w:val="auto"/>
              </w:rPr>
            </w:pPr>
          </w:p>
        </w:tc>
        <w:tc>
          <w:tcPr>
            <w:tcW w:w="3420" w:type="dxa"/>
            <w:vAlign w:val="bottom"/>
            <w:gridSpan w:val="2"/>
          </w:tcPr>
          <w:p>
            <w:pPr>
              <w:ind w:left="380"/>
              <w:spacing w:after="0"/>
              <w:rPr>
                <w:sz w:val="20"/>
                <w:szCs w:val="20"/>
                <w:color w:val="auto"/>
              </w:rPr>
            </w:pPr>
            <w:r>
              <w:rPr>
                <w:rFonts w:ascii="Arial" w:cs="Arial" w:eastAsia="Arial" w:hAnsi="Arial"/>
                <w:sz w:val="17"/>
                <w:szCs w:val="17"/>
                <w:color w:val="auto"/>
              </w:rPr>
              <w:t>of the ordinary shares, represented in</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person or by proxy and entitled to vote</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thereon, voted at a shareholder meeting</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are voted in favor of the business</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combination. Additionally, each public</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shareholder may elect to redeem their</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public shares irrespective of whether</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they vote for or against the proposed</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transaction or vote at all. Our amended</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and restated memorandum and articles</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of association will require that at least</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five clear days’ notice will be given of</w:t>
            </w:r>
          </w:p>
        </w:tc>
      </w:tr>
      <w:tr>
        <w:trPr>
          <w:trHeight w:val="205"/>
        </w:trPr>
        <w:tc>
          <w:tcPr>
            <w:tcW w:w="2200" w:type="dxa"/>
            <w:vAlign w:val="bottom"/>
          </w:tcPr>
          <w:p>
            <w:pPr>
              <w:spacing w:after="0"/>
              <w:rPr>
                <w:sz w:val="17"/>
                <w:szCs w:val="17"/>
                <w:color w:val="auto"/>
              </w:rPr>
            </w:pPr>
          </w:p>
        </w:tc>
        <w:tc>
          <w:tcPr>
            <w:tcW w:w="3420" w:type="dxa"/>
            <w:vAlign w:val="bottom"/>
            <w:gridSpan w:val="2"/>
          </w:tcPr>
          <w:p>
            <w:pPr>
              <w:ind w:left="380"/>
              <w:spacing w:after="0"/>
              <w:rPr>
                <w:sz w:val="20"/>
                <w:szCs w:val="20"/>
                <w:color w:val="auto"/>
              </w:rPr>
            </w:pPr>
            <w:r>
              <w:rPr>
                <w:rFonts w:ascii="Arial" w:cs="Arial" w:eastAsia="Arial" w:hAnsi="Arial"/>
                <w:sz w:val="17"/>
                <w:szCs w:val="17"/>
                <w:color w:val="auto"/>
              </w:rPr>
              <w:t>any such shareholder meeting.</w:t>
            </w:r>
          </w:p>
        </w:tc>
      </w:tr>
      <w:tr>
        <w:trPr>
          <w:trHeight w:val="504"/>
        </w:trPr>
        <w:tc>
          <w:tcPr>
            <w:tcW w:w="2200" w:type="dxa"/>
            <w:vAlign w:val="bottom"/>
          </w:tcPr>
          <w:p>
            <w:pPr>
              <w:spacing w:after="0"/>
              <w:rPr>
                <w:sz w:val="20"/>
                <w:szCs w:val="20"/>
                <w:color w:val="auto"/>
              </w:rPr>
            </w:pPr>
            <w:r>
              <w:rPr>
                <w:rFonts w:ascii="Arial" w:cs="Arial" w:eastAsia="Arial" w:hAnsi="Arial"/>
                <w:sz w:val="17"/>
                <w:szCs w:val="17"/>
                <w:b w:val="1"/>
                <w:bCs w:val="1"/>
                <w:color w:val="auto"/>
              </w:rPr>
              <w:t>Business combination</w:t>
            </w:r>
          </w:p>
        </w:tc>
        <w:tc>
          <w:tcPr>
            <w:tcW w:w="3420" w:type="dxa"/>
            <w:vAlign w:val="bottom"/>
            <w:gridSpan w:val="2"/>
          </w:tcPr>
          <w:p>
            <w:pPr>
              <w:ind w:left="380"/>
              <w:spacing w:after="0"/>
              <w:rPr>
                <w:sz w:val="20"/>
                <w:szCs w:val="20"/>
                <w:color w:val="auto"/>
              </w:rPr>
            </w:pPr>
            <w:r>
              <w:rPr>
                <w:rFonts w:ascii="Arial" w:cs="Arial" w:eastAsia="Arial" w:hAnsi="Arial"/>
                <w:sz w:val="17"/>
                <w:szCs w:val="17"/>
                <w:color w:val="auto"/>
              </w:rPr>
              <w:t>If we do not consummate an initial</w:t>
            </w:r>
          </w:p>
        </w:tc>
      </w:tr>
      <w:tr>
        <w:trPr>
          <w:trHeight w:val="209"/>
        </w:trPr>
        <w:tc>
          <w:tcPr>
            <w:tcW w:w="2200" w:type="dxa"/>
            <w:vAlign w:val="bottom"/>
          </w:tcPr>
          <w:p>
            <w:pPr>
              <w:ind w:left="180"/>
              <w:spacing w:after="0"/>
              <w:rPr>
                <w:sz w:val="20"/>
                <w:szCs w:val="20"/>
                <w:color w:val="auto"/>
              </w:rPr>
            </w:pPr>
            <w:r>
              <w:rPr>
                <w:rFonts w:ascii="Arial" w:cs="Arial" w:eastAsia="Arial" w:hAnsi="Arial"/>
                <w:sz w:val="17"/>
                <w:szCs w:val="17"/>
                <w:b w:val="1"/>
                <w:bCs w:val="1"/>
                <w:color w:val="auto"/>
              </w:rPr>
              <w:t>deadline</w:t>
            </w:r>
          </w:p>
        </w:tc>
        <w:tc>
          <w:tcPr>
            <w:tcW w:w="3420" w:type="dxa"/>
            <w:vAlign w:val="bottom"/>
            <w:gridSpan w:val="2"/>
          </w:tcPr>
          <w:p>
            <w:pPr>
              <w:ind w:left="380"/>
              <w:spacing w:after="0"/>
              <w:rPr>
                <w:sz w:val="20"/>
                <w:szCs w:val="20"/>
                <w:color w:val="auto"/>
              </w:rPr>
            </w:pPr>
            <w:r>
              <w:rPr>
                <w:rFonts w:ascii="Arial" w:cs="Arial" w:eastAsia="Arial" w:hAnsi="Arial"/>
                <w:sz w:val="17"/>
                <w:szCs w:val="17"/>
                <w:color w:val="auto"/>
              </w:rPr>
              <w:t>business combination within 24 months</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from the closing of this offering, we will</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(i) cease all operations except for the</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purpose of winding up; (ii) as promptly</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as reasonably possible but not more</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than ten business days thereafter,</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redeem 100% of the public shares, at a</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per-share price, payable in cash, equal</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to the aggregate amount then on</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deposit in the trust account, including</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interest earned on the funds held in the</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trust account and not previously</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released to us to pay our income taxes,</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if any (less up to $100,000 of interest to</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pay dissolution expenses), divided by</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the number of the then-outstanding</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public shares, which redemption will</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completely extinguish public</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shareholders’ rights as shareholders</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(including the right to receive further</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liquidation distributions, if any); and</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(iii) as promptly as reasonably possible</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following such redemption, subject to</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the approval of our remaining</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shareholders and our board of</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directors, liquidate and dissolve, subject</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in the case of clauses (ii) and (iii) to our</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obligations under Cayman Islands law</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to provide for claims of creditors and</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the requirements of other applicable</w:t>
            </w:r>
          </w:p>
        </w:tc>
      </w:tr>
      <w:tr>
        <w:trPr>
          <w:trHeight w:val="205"/>
        </w:trPr>
        <w:tc>
          <w:tcPr>
            <w:tcW w:w="2200" w:type="dxa"/>
            <w:vAlign w:val="bottom"/>
          </w:tcPr>
          <w:p>
            <w:pPr>
              <w:spacing w:after="0"/>
              <w:rPr>
                <w:sz w:val="17"/>
                <w:szCs w:val="17"/>
                <w:color w:val="auto"/>
              </w:rPr>
            </w:pPr>
          </w:p>
        </w:tc>
        <w:tc>
          <w:tcPr>
            <w:tcW w:w="3420" w:type="dxa"/>
            <w:vAlign w:val="bottom"/>
            <w:gridSpan w:val="2"/>
          </w:tcPr>
          <w:p>
            <w:pPr>
              <w:ind w:left="380"/>
              <w:spacing w:after="0"/>
              <w:rPr>
                <w:sz w:val="20"/>
                <w:szCs w:val="20"/>
                <w:color w:val="auto"/>
              </w:rPr>
            </w:pPr>
            <w:r>
              <w:rPr>
                <w:rFonts w:ascii="Arial" w:cs="Arial" w:eastAsia="Arial" w:hAnsi="Arial"/>
                <w:sz w:val="17"/>
                <w:szCs w:val="17"/>
                <w:color w:val="auto"/>
              </w:rPr>
              <w:t>law.</w:t>
            </w:r>
          </w:p>
        </w:tc>
      </w:tr>
      <w:tr>
        <w:trPr>
          <w:trHeight w:val="524"/>
        </w:trPr>
        <w:tc>
          <w:tcPr>
            <w:tcW w:w="2200" w:type="dxa"/>
            <w:vAlign w:val="bottom"/>
          </w:tcPr>
          <w:p>
            <w:pPr>
              <w:spacing w:after="0"/>
              <w:rPr>
                <w:sz w:val="20"/>
                <w:szCs w:val="20"/>
                <w:color w:val="auto"/>
              </w:rPr>
            </w:pPr>
            <w:r>
              <w:rPr>
                <w:rFonts w:ascii="Arial" w:cs="Arial" w:eastAsia="Arial" w:hAnsi="Arial"/>
                <w:sz w:val="17"/>
                <w:szCs w:val="17"/>
                <w:b w:val="1"/>
                <w:bCs w:val="1"/>
                <w:color w:val="auto"/>
              </w:rPr>
              <w:t>Release of funds</w:t>
            </w:r>
          </w:p>
        </w:tc>
        <w:tc>
          <w:tcPr>
            <w:tcW w:w="3420" w:type="dxa"/>
            <w:vAlign w:val="bottom"/>
            <w:gridSpan w:val="2"/>
          </w:tcPr>
          <w:p>
            <w:pPr>
              <w:ind w:left="380"/>
              <w:spacing w:after="0"/>
              <w:rPr>
                <w:sz w:val="20"/>
                <w:szCs w:val="20"/>
                <w:color w:val="auto"/>
              </w:rPr>
            </w:pPr>
            <w:r>
              <w:rPr>
                <w:rFonts w:ascii="Arial" w:cs="Arial" w:eastAsia="Arial" w:hAnsi="Arial"/>
                <w:sz w:val="17"/>
                <w:szCs w:val="17"/>
                <w:color w:val="auto"/>
              </w:rPr>
              <w:t>Except with respect to interest earned</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on the funds held in the trust account</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that may be released to us to pay our</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income taxes, if any, until the earliest of</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(i) the completion of our initial business</w:t>
            </w:r>
          </w:p>
        </w:tc>
      </w:tr>
      <w:tr>
        <w:trPr>
          <w:trHeight w:val="205"/>
        </w:trPr>
        <w:tc>
          <w:tcPr>
            <w:tcW w:w="2200" w:type="dxa"/>
            <w:vAlign w:val="bottom"/>
          </w:tcPr>
          <w:p>
            <w:pPr>
              <w:spacing w:after="0"/>
              <w:rPr>
                <w:sz w:val="17"/>
                <w:szCs w:val="17"/>
                <w:color w:val="auto"/>
              </w:rPr>
            </w:pPr>
          </w:p>
        </w:tc>
        <w:tc>
          <w:tcPr>
            <w:tcW w:w="3420" w:type="dxa"/>
            <w:vAlign w:val="bottom"/>
            <w:gridSpan w:val="2"/>
          </w:tcPr>
          <w:p>
            <w:pPr>
              <w:ind w:left="380"/>
              <w:spacing w:after="0"/>
              <w:rPr>
                <w:sz w:val="20"/>
                <w:szCs w:val="20"/>
                <w:color w:val="auto"/>
              </w:rPr>
            </w:pPr>
            <w:r>
              <w:rPr>
                <w:rFonts w:ascii="Arial" w:cs="Arial" w:eastAsia="Arial" w:hAnsi="Arial"/>
                <w:sz w:val="17"/>
                <w:szCs w:val="17"/>
                <w:color w:val="auto"/>
              </w:rPr>
              <w:t>combination, (ii) the redemption of our</w:t>
            </w:r>
          </w:p>
        </w:tc>
      </w:tr>
      <w:tr>
        <w:trPr>
          <w:trHeight w:val="403"/>
        </w:trPr>
        <w:tc>
          <w:tcPr>
            <w:tcW w:w="2200" w:type="dxa"/>
            <w:vAlign w:val="bottom"/>
          </w:tcPr>
          <w:p>
            <w:pPr>
              <w:spacing w:after="0"/>
              <w:rPr>
                <w:sz w:val="24"/>
                <w:szCs w:val="24"/>
                <w:color w:val="auto"/>
              </w:rPr>
            </w:pPr>
          </w:p>
        </w:tc>
        <w:tc>
          <w:tcPr>
            <w:tcW w:w="3420" w:type="dxa"/>
            <w:vAlign w:val="bottom"/>
            <w:gridSpan w:val="2"/>
          </w:tcPr>
          <w:p>
            <w:pPr>
              <w:jc w:val="right"/>
              <w:ind w:right="908"/>
              <w:spacing w:after="0"/>
              <w:rPr>
                <w:sz w:val="20"/>
                <w:szCs w:val="20"/>
                <w:color w:val="auto"/>
              </w:rPr>
            </w:pPr>
            <w:r>
              <w:rPr>
                <w:rFonts w:ascii="Arial" w:cs="Arial" w:eastAsia="Arial" w:hAnsi="Arial"/>
                <w:sz w:val="16"/>
                <w:szCs w:val="16"/>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115570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52070</wp:posOffset>
            </wp:positionV>
            <wp:extent cx="19373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If an acquisition has not been completed within 18 months after the effective date of the company’s registration statement, funds held in the trust or escrow account are returned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proceeds held in the escrow account are not released until the earlier of the completion of a business combination and the failure to effect a business combination within the allotted time.</w:t>
      </w:r>
    </w:p>
    <w:p>
      <w:pPr>
        <w:sectPr>
          <w:pgSz w:w="11900" w:h="16838" w:orient="portrait"/>
          <w:cols w:equalWidth="0" w:num="2">
            <w:col w:w="5620" w:space="400"/>
            <w:col w:w="3060"/>
          </w:cols>
          <w:pgMar w:left="1400" w:top="265" w:right="141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p>
      <w:pPr>
        <w:ind w:left="3160"/>
        <w:spacing w:after="0"/>
        <w:tabs>
          <w:tab w:leader="none" w:pos="61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52070</wp:posOffset>
            </wp:positionV>
            <wp:extent cx="41230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130"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public shares if we have not</w:t>
      </w:r>
    </w:p>
    <w:p>
      <w:pPr>
        <w:ind w:left="2580"/>
        <w:spacing w:after="0" w:line="232" w:lineRule="auto"/>
        <w:rPr>
          <w:sz w:val="20"/>
          <w:szCs w:val="20"/>
          <w:color w:val="auto"/>
        </w:rPr>
      </w:pPr>
      <w:r>
        <w:rPr>
          <w:rFonts w:ascii="Arial" w:cs="Arial" w:eastAsia="Arial" w:hAnsi="Arial"/>
          <w:sz w:val="17"/>
          <w:szCs w:val="17"/>
          <w:color w:val="auto"/>
        </w:rPr>
        <w:t>consummated an initial business</w:t>
      </w:r>
    </w:p>
    <w:p>
      <w:pPr>
        <w:ind w:left="2580"/>
        <w:spacing w:after="0" w:line="232" w:lineRule="auto"/>
        <w:rPr>
          <w:sz w:val="20"/>
          <w:szCs w:val="20"/>
          <w:color w:val="auto"/>
        </w:rPr>
      </w:pPr>
      <w:r>
        <w:rPr>
          <w:rFonts w:ascii="Arial" w:cs="Arial" w:eastAsia="Arial" w:hAnsi="Arial"/>
          <w:sz w:val="17"/>
          <w:szCs w:val="17"/>
          <w:color w:val="auto"/>
        </w:rPr>
        <w:t>combination within 24 months from the</w:t>
      </w:r>
    </w:p>
    <w:p>
      <w:pPr>
        <w:ind w:left="2580"/>
        <w:spacing w:after="0" w:line="232" w:lineRule="auto"/>
        <w:rPr>
          <w:sz w:val="20"/>
          <w:szCs w:val="20"/>
          <w:color w:val="auto"/>
        </w:rPr>
      </w:pPr>
      <w:r>
        <w:rPr>
          <w:rFonts w:ascii="Arial" w:cs="Arial" w:eastAsia="Arial" w:hAnsi="Arial"/>
          <w:sz w:val="17"/>
          <w:szCs w:val="17"/>
          <w:color w:val="auto"/>
        </w:rPr>
        <w:t>closing of this offering, subject to</w:t>
      </w:r>
    </w:p>
    <w:p>
      <w:pPr>
        <w:ind w:left="2580"/>
        <w:spacing w:after="0" w:line="232" w:lineRule="auto"/>
        <w:rPr>
          <w:sz w:val="20"/>
          <w:szCs w:val="20"/>
          <w:color w:val="auto"/>
        </w:rPr>
      </w:pPr>
      <w:r>
        <w:rPr>
          <w:rFonts w:ascii="Arial" w:cs="Arial" w:eastAsia="Arial" w:hAnsi="Arial"/>
          <w:sz w:val="17"/>
          <w:szCs w:val="17"/>
          <w:color w:val="auto"/>
        </w:rPr>
        <w:t>applicable law and (iii) the redemption</w:t>
      </w:r>
    </w:p>
    <w:p>
      <w:pPr>
        <w:ind w:left="2580"/>
        <w:spacing w:after="0" w:line="232" w:lineRule="auto"/>
        <w:rPr>
          <w:sz w:val="20"/>
          <w:szCs w:val="20"/>
          <w:color w:val="auto"/>
        </w:rPr>
      </w:pPr>
      <w:r>
        <w:rPr>
          <w:rFonts w:ascii="Arial" w:cs="Arial" w:eastAsia="Arial" w:hAnsi="Arial"/>
          <w:sz w:val="17"/>
          <w:szCs w:val="17"/>
          <w:color w:val="auto"/>
        </w:rPr>
        <w:t>of our public shares properly submitted</w:t>
      </w:r>
    </w:p>
    <w:p>
      <w:pPr>
        <w:ind w:left="2580"/>
        <w:spacing w:after="0" w:line="232" w:lineRule="auto"/>
        <w:rPr>
          <w:sz w:val="20"/>
          <w:szCs w:val="20"/>
          <w:color w:val="auto"/>
        </w:rPr>
      </w:pPr>
      <w:r>
        <w:rPr>
          <w:rFonts w:ascii="Arial" w:cs="Arial" w:eastAsia="Arial" w:hAnsi="Arial"/>
          <w:sz w:val="17"/>
          <w:szCs w:val="17"/>
          <w:color w:val="auto"/>
        </w:rPr>
        <w:t>in connection with a shareholder vote to</w:t>
      </w:r>
    </w:p>
    <w:p>
      <w:pPr>
        <w:ind w:left="2580"/>
        <w:spacing w:after="0" w:line="232" w:lineRule="auto"/>
        <w:rPr>
          <w:sz w:val="20"/>
          <w:szCs w:val="20"/>
          <w:color w:val="auto"/>
        </w:rPr>
      </w:pPr>
      <w:r>
        <w:rPr>
          <w:rFonts w:ascii="Arial" w:cs="Arial" w:eastAsia="Arial" w:hAnsi="Arial"/>
          <w:sz w:val="17"/>
          <w:szCs w:val="17"/>
          <w:color w:val="auto"/>
        </w:rPr>
        <w:t>approve an amendment to our</w:t>
      </w:r>
    </w:p>
    <w:p>
      <w:pPr>
        <w:ind w:left="2580"/>
        <w:spacing w:after="0" w:line="232" w:lineRule="auto"/>
        <w:rPr>
          <w:sz w:val="20"/>
          <w:szCs w:val="20"/>
          <w:color w:val="auto"/>
        </w:rPr>
      </w:pPr>
      <w:r>
        <w:rPr>
          <w:rFonts w:ascii="Arial" w:cs="Arial" w:eastAsia="Arial" w:hAnsi="Arial"/>
          <w:sz w:val="17"/>
          <w:szCs w:val="17"/>
          <w:color w:val="auto"/>
        </w:rPr>
        <w:t>amended and restated memorandum</w:t>
      </w:r>
    </w:p>
    <w:p>
      <w:pPr>
        <w:ind w:left="2580"/>
        <w:spacing w:after="0" w:line="232" w:lineRule="auto"/>
        <w:rPr>
          <w:sz w:val="20"/>
          <w:szCs w:val="20"/>
          <w:color w:val="auto"/>
        </w:rPr>
      </w:pPr>
      <w:r>
        <w:rPr>
          <w:rFonts w:ascii="Arial" w:cs="Arial" w:eastAsia="Arial" w:hAnsi="Arial"/>
          <w:sz w:val="17"/>
          <w:szCs w:val="17"/>
          <w:color w:val="auto"/>
        </w:rPr>
        <w:t>and articles of association (A) that</w:t>
      </w:r>
    </w:p>
    <w:p>
      <w:pPr>
        <w:ind w:left="2580"/>
        <w:spacing w:after="0" w:line="232" w:lineRule="auto"/>
        <w:rPr>
          <w:sz w:val="20"/>
          <w:szCs w:val="20"/>
          <w:color w:val="auto"/>
        </w:rPr>
      </w:pPr>
      <w:r>
        <w:rPr>
          <w:rFonts w:ascii="Arial" w:cs="Arial" w:eastAsia="Arial" w:hAnsi="Arial"/>
          <w:sz w:val="17"/>
          <w:szCs w:val="17"/>
          <w:color w:val="auto"/>
        </w:rPr>
        <w:t>would modify the substance or timing of</w:t>
      </w:r>
    </w:p>
    <w:p>
      <w:pPr>
        <w:ind w:left="2580"/>
        <w:spacing w:after="0" w:line="232" w:lineRule="auto"/>
        <w:rPr>
          <w:sz w:val="20"/>
          <w:szCs w:val="20"/>
          <w:color w:val="auto"/>
        </w:rPr>
      </w:pPr>
      <w:r>
        <w:rPr>
          <w:rFonts w:ascii="Arial" w:cs="Arial" w:eastAsia="Arial" w:hAnsi="Arial"/>
          <w:sz w:val="17"/>
          <w:szCs w:val="17"/>
          <w:color w:val="auto"/>
        </w:rPr>
        <w:t>our obligation to provide holders of our</w:t>
      </w:r>
    </w:p>
    <w:p>
      <w:pPr>
        <w:ind w:left="2580"/>
        <w:spacing w:after="0" w:line="232" w:lineRule="auto"/>
        <w:rPr>
          <w:sz w:val="20"/>
          <w:szCs w:val="20"/>
          <w:color w:val="auto"/>
        </w:rPr>
      </w:pPr>
      <w:r>
        <w:rPr>
          <w:rFonts w:ascii="Arial" w:cs="Arial" w:eastAsia="Arial" w:hAnsi="Arial"/>
          <w:sz w:val="17"/>
          <w:szCs w:val="17"/>
          <w:color w:val="auto"/>
        </w:rPr>
        <w:t>Class A ordinary shares the right to</w:t>
      </w:r>
    </w:p>
    <w:p>
      <w:pPr>
        <w:ind w:left="2580"/>
        <w:spacing w:after="0" w:line="232" w:lineRule="auto"/>
        <w:rPr>
          <w:sz w:val="20"/>
          <w:szCs w:val="20"/>
          <w:color w:val="auto"/>
        </w:rPr>
      </w:pPr>
      <w:r>
        <w:rPr>
          <w:rFonts w:ascii="Arial" w:cs="Arial" w:eastAsia="Arial" w:hAnsi="Arial"/>
          <w:sz w:val="17"/>
          <w:szCs w:val="17"/>
          <w:color w:val="auto"/>
        </w:rPr>
        <w:t>have their shares redeemed in</w:t>
      </w:r>
    </w:p>
    <w:p>
      <w:pPr>
        <w:ind w:left="2580"/>
        <w:spacing w:after="0" w:line="232" w:lineRule="auto"/>
        <w:rPr>
          <w:sz w:val="20"/>
          <w:szCs w:val="20"/>
          <w:color w:val="auto"/>
        </w:rPr>
      </w:pPr>
      <w:r>
        <w:rPr>
          <w:rFonts w:ascii="Arial" w:cs="Arial" w:eastAsia="Arial" w:hAnsi="Arial"/>
          <w:sz w:val="17"/>
          <w:szCs w:val="17"/>
          <w:color w:val="auto"/>
        </w:rPr>
        <w:t>connection with our initial business</w:t>
      </w:r>
    </w:p>
    <w:p>
      <w:pPr>
        <w:ind w:left="2580"/>
        <w:spacing w:after="0" w:line="232" w:lineRule="auto"/>
        <w:rPr>
          <w:sz w:val="20"/>
          <w:szCs w:val="20"/>
          <w:color w:val="auto"/>
        </w:rPr>
      </w:pPr>
      <w:r>
        <w:rPr>
          <w:rFonts w:ascii="Arial" w:cs="Arial" w:eastAsia="Arial" w:hAnsi="Arial"/>
          <w:sz w:val="17"/>
          <w:szCs w:val="17"/>
          <w:color w:val="auto"/>
        </w:rPr>
        <w:t>combination or to redeem 100% of our</w:t>
      </w:r>
    </w:p>
    <w:p>
      <w:pPr>
        <w:ind w:left="2580"/>
        <w:spacing w:after="0" w:line="232" w:lineRule="auto"/>
        <w:rPr>
          <w:sz w:val="20"/>
          <w:szCs w:val="20"/>
          <w:color w:val="auto"/>
        </w:rPr>
      </w:pPr>
      <w:r>
        <w:rPr>
          <w:rFonts w:ascii="Arial" w:cs="Arial" w:eastAsia="Arial" w:hAnsi="Arial"/>
          <w:sz w:val="17"/>
          <w:szCs w:val="17"/>
          <w:color w:val="auto"/>
        </w:rPr>
        <w:t>public shares if we do not complete our</w:t>
      </w:r>
    </w:p>
    <w:p>
      <w:pPr>
        <w:ind w:left="2580"/>
        <w:spacing w:after="0" w:line="232" w:lineRule="auto"/>
        <w:rPr>
          <w:sz w:val="20"/>
          <w:szCs w:val="20"/>
          <w:color w:val="auto"/>
        </w:rPr>
      </w:pPr>
      <w:r>
        <w:rPr>
          <w:rFonts w:ascii="Arial" w:cs="Arial" w:eastAsia="Arial" w:hAnsi="Arial"/>
          <w:sz w:val="17"/>
          <w:szCs w:val="17"/>
          <w:color w:val="auto"/>
        </w:rPr>
        <w:t>initial business combination within 24</w:t>
      </w:r>
    </w:p>
    <w:p>
      <w:pPr>
        <w:ind w:left="2580"/>
        <w:spacing w:after="0" w:line="232" w:lineRule="auto"/>
        <w:rPr>
          <w:sz w:val="20"/>
          <w:szCs w:val="20"/>
          <w:color w:val="auto"/>
        </w:rPr>
      </w:pPr>
      <w:r>
        <w:rPr>
          <w:rFonts w:ascii="Arial" w:cs="Arial" w:eastAsia="Arial" w:hAnsi="Arial"/>
          <w:sz w:val="17"/>
          <w:szCs w:val="17"/>
          <w:color w:val="auto"/>
        </w:rPr>
        <w:t>months from the closing of this offering</w:t>
      </w:r>
    </w:p>
    <w:p>
      <w:pPr>
        <w:ind w:left="2580"/>
        <w:spacing w:after="0" w:line="232" w:lineRule="auto"/>
        <w:rPr>
          <w:sz w:val="20"/>
          <w:szCs w:val="20"/>
          <w:color w:val="auto"/>
        </w:rPr>
      </w:pPr>
      <w:r>
        <w:rPr>
          <w:rFonts w:ascii="Arial" w:cs="Arial" w:eastAsia="Arial" w:hAnsi="Arial"/>
          <w:sz w:val="17"/>
          <w:szCs w:val="17"/>
          <w:color w:val="auto"/>
        </w:rPr>
        <w:t>or (B) with respect to any other</w:t>
      </w:r>
    </w:p>
    <w:p>
      <w:pPr>
        <w:ind w:left="2580"/>
        <w:spacing w:after="0" w:line="233" w:lineRule="auto"/>
        <w:rPr>
          <w:sz w:val="20"/>
          <w:szCs w:val="20"/>
          <w:color w:val="auto"/>
        </w:rPr>
      </w:pPr>
      <w:r>
        <w:rPr>
          <w:rFonts w:ascii="Arial" w:cs="Arial" w:eastAsia="Arial" w:hAnsi="Arial"/>
          <w:sz w:val="17"/>
          <w:szCs w:val="17"/>
          <w:color w:val="auto"/>
        </w:rPr>
        <w:t>provision relating to the rights of holders</w:t>
      </w:r>
    </w:p>
    <w:p>
      <w:pPr>
        <w:ind w:left="2580"/>
        <w:spacing w:after="0" w:line="232" w:lineRule="auto"/>
        <w:rPr>
          <w:sz w:val="20"/>
          <w:szCs w:val="20"/>
          <w:color w:val="auto"/>
        </w:rPr>
      </w:pPr>
      <w:r>
        <w:rPr>
          <w:rFonts w:ascii="Arial" w:cs="Arial" w:eastAsia="Arial" w:hAnsi="Arial"/>
          <w:sz w:val="17"/>
          <w:szCs w:val="17"/>
          <w:color w:val="auto"/>
        </w:rPr>
        <w:t>of our Class A ordinary shares. Based</w:t>
      </w:r>
    </w:p>
    <w:p>
      <w:pPr>
        <w:ind w:left="2580"/>
        <w:spacing w:after="0" w:line="232" w:lineRule="auto"/>
        <w:rPr>
          <w:sz w:val="20"/>
          <w:szCs w:val="20"/>
          <w:color w:val="auto"/>
        </w:rPr>
      </w:pPr>
      <w:r>
        <w:rPr>
          <w:rFonts w:ascii="Arial" w:cs="Arial" w:eastAsia="Arial" w:hAnsi="Arial"/>
          <w:sz w:val="17"/>
          <w:szCs w:val="17"/>
          <w:color w:val="auto"/>
        </w:rPr>
        <w:t>on current interest rates, we expect that</w:t>
      </w:r>
    </w:p>
    <w:p>
      <w:pPr>
        <w:ind w:left="2580"/>
        <w:spacing w:after="0" w:line="232" w:lineRule="auto"/>
        <w:rPr>
          <w:sz w:val="20"/>
          <w:szCs w:val="20"/>
          <w:color w:val="auto"/>
        </w:rPr>
      </w:pPr>
      <w:r>
        <w:rPr>
          <w:rFonts w:ascii="Arial" w:cs="Arial" w:eastAsia="Arial" w:hAnsi="Arial"/>
          <w:sz w:val="17"/>
          <w:szCs w:val="17"/>
          <w:color w:val="auto"/>
        </w:rPr>
        <w:t>interest income earned on the trust</w:t>
      </w:r>
    </w:p>
    <w:p>
      <w:pPr>
        <w:ind w:left="2580"/>
        <w:spacing w:after="0" w:line="232" w:lineRule="auto"/>
        <w:rPr>
          <w:sz w:val="20"/>
          <w:szCs w:val="20"/>
          <w:color w:val="auto"/>
        </w:rPr>
      </w:pPr>
      <w:r>
        <w:rPr>
          <w:rFonts w:ascii="Arial" w:cs="Arial" w:eastAsia="Arial" w:hAnsi="Arial"/>
          <w:sz w:val="17"/>
          <w:szCs w:val="17"/>
          <w:color w:val="auto"/>
        </w:rPr>
        <w:t>account (if any) will be sufficient to pay</w:t>
      </w:r>
    </w:p>
    <w:p>
      <w:pPr>
        <w:ind w:left="2580"/>
        <w:spacing w:after="0"/>
        <w:rPr>
          <w:sz w:val="20"/>
          <w:szCs w:val="20"/>
          <w:color w:val="auto"/>
        </w:rPr>
      </w:pPr>
      <w:r>
        <w:rPr>
          <w:rFonts w:ascii="Arial" w:cs="Arial" w:eastAsia="Arial" w:hAnsi="Arial"/>
          <w:sz w:val="17"/>
          <w:szCs w:val="17"/>
          <w:color w:val="auto"/>
        </w:rPr>
        <w:t>our income taxes.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8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properly exercise their redemption rights may reduce the resources available to us for our initial business combination, and the future dilution they potentially represent, may not be viewed favorably by certain target businesses. Either of these factors may place us at a competitive disadvantage in successfully negotiating an initial business combination.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188" w:lineRule="exact"/>
        <w:rPr>
          <w:sz w:val="20"/>
          <w:szCs w:val="20"/>
          <w:color w:val="auto"/>
        </w:rPr>
      </w:pPr>
    </w:p>
    <w:p>
      <w:pPr>
        <w:spacing w:after="0" w:line="196" w:lineRule="auto"/>
        <w:rPr>
          <w:sz w:val="20"/>
          <w:szCs w:val="20"/>
          <w:color w:val="auto"/>
        </w:rPr>
      </w:pPr>
      <w:r>
        <w:rPr>
          <w:rFonts w:ascii="Arial" w:cs="Arial" w:eastAsia="Arial" w:hAnsi="Arial"/>
          <w:sz w:val="17"/>
          <w:szCs w:val="17"/>
          <w:color w:val="auto"/>
        </w:rPr>
        <w:t>We currently maintain our executive offices at 51 Astor Place,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10003. The cost for our use of this space is included in the $10,000 per month fee we will pay to our sponsor for office space, administrative and support services. We consider our current office space adequate for our current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89"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Periodic Reporting and Financial Information</w:t>
      </w:r>
    </w:p>
    <w:p>
      <w:pPr>
        <w:spacing w:after="0" w:line="176"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We registered our Class A ordinary shares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63"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We will provide shareholders with audited financial statements of the prospective target business as part of the proxy solicitation or tender offer materials, as applicable, sent to shareholders. These financial statements may be required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24 months from the closing of this offering. We cannot assure you that any particular target business identified by us as a potential acquisition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acquisition candidates, we do not believe that this limitation will be material.</w:t>
      </w:r>
    </w:p>
    <w:p>
      <w:pPr>
        <w:spacing w:after="0" w:line="166"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will be required to evaluate our internal control procedures for the fiscal year ending December 31, 2021 as required by the Sarbanes-Oxley Act. Only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51"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We filed a Registration Statement on Form 8-A with the SEC to voluntarily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63"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expect to receive, after the effectiveness of the registration statements of which this prospectus forms a part, a tax exemption undertaking from the Cayman Islands government that, in accordance with Section 6 of the Tax Concessions Law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w:t>
      </w:r>
    </w:p>
    <w:p>
      <w:pPr>
        <w:ind w:right="80" w:firstLine="8"/>
        <w:spacing w:after="0" w:line="238" w:lineRule="auto"/>
        <w:tabs>
          <w:tab w:leader="none" w:pos="199"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parachute payments not previously approved. If some investors find our securities less attractive as a result, there may be a less active trading market for our securities and the prices of our securities may be more volatile.</w:t>
      </w:r>
    </w:p>
    <w:p>
      <w:pPr>
        <w:spacing w:after="0" w:line="158"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63"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w:t>
      </w:r>
    </w:p>
    <w:p>
      <w:pPr>
        <w:ind w:firstLine="8"/>
        <w:spacing w:after="0" w:line="238" w:lineRule="auto"/>
        <w:tabs>
          <w:tab w:leader="none" w:pos="247"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which we are deemed to be a large accelerated filer, which means the market value of our Class A ordinary shares that are held by non-affiliates exceeds $700 million as of the prior June 30th, and (2) the date on which we have issued more than $1.0 billion in non-convertible debt during the prior three-year period.</w:t>
      </w:r>
    </w:p>
    <w:p>
      <w:pPr>
        <w:spacing w:after="0" w:line="14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76"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There is no material litigation, arbitration or governmental proceeding currently pending against us or any members of our management team in their capacity as such.</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Officers, Directors and Director Nominees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Our officers, directors and director nominees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Age</w:t>
            </w:r>
          </w:p>
        </w:tc>
        <w:tc>
          <w:tcPr>
            <w:tcW w:w="4100" w:type="dxa"/>
            <w:vAlign w:val="bottom"/>
          </w:tcPr>
          <w:p>
            <w:pPr>
              <w:ind w:left="176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3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r>
      <w:tr>
        <w:trPr>
          <w:trHeight w:val="259"/>
        </w:trPr>
        <w:tc>
          <w:tcPr>
            <w:tcW w:w="4120" w:type="dxa"/>
            <w:vAlign w:val="bottom"/>
            <w:gridSpan w:val="2"/>
          </w:tcPr>
          <w:p>
            <w:pPr>
              <w:spacing w:after="0"/>
              <w:rPr>
                <w:sz w:val="20"/>
                <w:szCs w:val="20"/>
                <w:color w:val="auto"/>
              </w:rPr>
            </w:pPr>
            <w:r>
              <w:rPr>
                <w:rFonts w:ascii="Arial" w:cs="Arial" w:eastAsia="Arial" w:hAnsi="Arial"/>
                <w:sz w:val="17"/>
                <w:szCs w:val="17"/>
                <w:color w:val="auto"/>
              </w:rPr>
              <w:t>Joseph Edelman</w:t>
            </w:r>
          </w:p>
        </w:tc>
        <w:tc>
          <w:tcPr>
            <w:tcW w:w="660" w:type="dxa"/>
            <w:vAlign w:val="bottom"/>
          </w:tcPr>
          <w:p>
            <w:pPr>
              <w:jc w:val="center"/>
              <w:spacing w:after="0"/>
              <w:rPr>
                <w:sz w:val="20"/>
                <w:szCs w:val="20"/>
                <w:color w:val="auto"/>
              </w:rPr>
            </w:pPr>
            <w:r>
              <w:rPr>
                <w:rFonts w:ascii="Arial" w:cs="Arial" w:eastAsia="Arial" w:hAnsi="Arial"/>
                <w:sz w:val="17"/>
                <w:szCs w:val="17"/>
                <w:color w:val="auto"/>
                <w:w w:val="94"/>
              </w:rPr>
              <w:t>64</w:t>
            </w:r>
          </w:p>
        </w:tc>
        <w:tc>
          <w:tcPr>
            <w:tcW w:w="200" w:type="dxa"/>
            <w:vAlign w:val="bottom"/>
          </w:tcPr>
          <w:p>
            <w:pPr>
              <w:spacing w:after="0"/>
              <w:rPr>
                <w:sz w:val="22"/>
                <w:szCs w:val="22"/>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Chairman</w:t>
            </w:r>
          </w:p>
        </w:tc>
      </w:tr>
      <w:tr>
        <w:trPr>
          <w:trHeight w:val="297"/>
        </w:trPr>
        <w:tc>
          <w:tcPr>
            <w:tcW w:w="4120" w:type="dxa"/>
            <w:vAlign w:val="bottom"/>
            <w:gridSpan w:val="2"/>
          </w:tcPr>
          <w:p>
            <w:pPr>
              <w:spacing w:after="0"/>
              <w:rPr>
                <w:sz w:val="20"/>
                <w:szCs w:val="20"/>
                <w:color w:val="auto"/>
              </w:rPr>
            </w:pPr>
            <w:r>
              <w:rPr>
                <w:rFonts w:ascii="Arial" w:cs="Arial" w:eastAsia="Arial" w:hAnsi="Arial"/>
                <w:sz w:val="17"/>
                <w:szCs w:val="17"/>
                <w:color w:val="auto"/>
              </w:rPr>
              <w:t>Adam Stone</w:t>
            </w:r>
          </w:p>
        </w:tc>
        <w:tc>
          <w:tcPr>
            <w:tcW w:w="660" w:type="dxa"/>
            <w:vAlign w:val="bottom"/>
          </w:tcPr>
          <w:p>
            <w:pPr>
              <w:jc w:val="center"/>
              <w:spacing w:after="0"/>
              <w:rPr>
                <w:sz w:val="20"/>
                <w:szCs w:val="20"/>
                <w:color w:val="auto"/>
              </w:rPr>
            </w:pPr>
            <w:r>
              <w:rPr>
                <w:rFonts w:ascii="Arial" w:cs="Arial" w:eastAsia="Arial" w:hAnsi="Arial"/>
                <w:sz w:val="17"/>
                <w:szCs w:val="17"/>
                <w:color w:val="auto"/>
                <w:w w:val="94"/>
              </w:rPr>
              <w:t>40</w:t>
            </w:r>
          </w:p>
        </w:tc>
        <w:tc>
          <w:tcPr>
            <w:tcW w:w="2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Chief Executive Officer and Director</w:t>
            </w:r>
          </w:p>
        </w:tc>
      </w:tr>
      <w:tr>
        <w:trPr>
          <w:trHeight w:val="297"/>
        </w:trPr>
        <w:tc>
          <w:tcPr>
            <w:tcW w:w="4120" w:type="dxa"/>
            <w:vAlign w:val="bottom"/>
            <w:gridSpan w:val="2"/>
          </w:tcPr>
          <w:p>
            <w:pPr>
              <w:spacing w:after="0"/>
              <w:rPr>
                <w:sz w:val="20"/>
                <w:szCs w:val="20"/>
                <w:color w:val="auto"/>
              </w:rPr>
            </w:pPr>
            <w:r>
              <w:rPr>
                <w:rFonts w:ascii="Arial" w:cs="Arial" w:eastAsia="Arial" w:hAnsi="Arial"/>
                <w:sz w:val="17"/>
                <w:szCs w:val="17"/>
                <w:color w:val="auto"/>
              </w:rPr>
              <w:t>Michael Altman</w:t>
            </w:r>
          </w:p>
        </w:tc>
        <w:tc>
          <w:tcPr>
            <w:tcW w:w="660" w:type="dxa"/>
            <w:vAlign w:val="bottom"/>
          </w:tcPr>
          <w:p>
            <w:pPr>
              <w:jc w:val="center"/>
              <w:spacing w:after="0"/>
              <w:rPr>
                <w:sz w:val="20"/>
                <w:szCs w:val="20"/>
                <w:color w:val="auto"/>
              </w:rPr>
            </w:pPr>
            <w:r>
              <w:rPr>
                <w:rFonts w:ascii="Arial" w:cs="Arial" w:eastAsia="Arial" w:hAnsi="Arial"/>
                <w:sz w:val="17"/>
                <w:szCs w:val="17"/>
                <w:color w:val="auto"/>
                <w:w w:val="94"/>
              </w:rPr>
              <w:t>38</w:t>
            </w:r>
          </w:p>
        </w:tc>
        <w:tc>
          <w:tcPr>
            <w:tcW w:w="2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Chief Financial Officer and Director</w:t>
            </w:r>
          </w:p>
        </w:tc>
      </w:tr>
      <w:tr>
        <w:trPr>
          <w:trHeight w:val="297"/>
        </w:trPr>
        <w:tc>
          <w:tcPr>
            <w:tcW w:w="4120" w:type="dxa"/>
            <w:vAlign w:val="bottom"/>
            <w:gridSpan w:val="2"/>
          </w:tcPr>
          <w:p>
            <w:pPr>
              <w:spacing w:after="0"/>
              <w:rPr>
                <w:sz w:val="20"/>
                <w:szCs w:val="20"/>
                <w:color w:val="auto"/>
              </w:rPr>
            </w:pPr>
            <w:r>
              <w:rPr>
                <w:rFonts w:ascii="Arial" w:cs="Arial" w:eastAsia="Arial" w:hAnsi="Arial"/>
                <w:sz w:val="17"/>
                <w:szCs w:val="17"/>
                <w:color w:val="auto"/>
              </w:rPr>
              <w:t>Konstantin Poukalov</w:t>
            </w:r>
          </w:p>
        </w:tc>
        <w:tc>
          <w:tcPr>
            <w:tcW w:w="660" w:type="dxa"/>
            <w:vAlign w:val="bottom"/>
          </w:tcPr>
          <w:p>
            <w:pPr>
              <w:jc w:val="center"/>
              <w:spacing w:after="0"/>
              <w:rPr>
                <w:sz w:val="20"/>
                <w:szCs w:val="20"/>
                <w:color w:val="auto"/>
              </w:rPr>
            </w:pPr>
            <w:r>
              <w:rPr>
                <w:rFonts w:ascii="Arial" w:cs="Arial" w:eastAsia="Arial" w:hAnsi="Arial"/>
                <w:sz w:val="17"/>
                <w:szCs w:val="17"/>
                <w:color w:val="auto"/>
                <w:w w:val="94"/>
              </w:rPr>
              <w:t>36</w:t>
            </w:r>
          </w:p>
        </w:tc>
        <w:tc>
          <w:tcPr>
            <w:tcW w:w="2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Chief Business Officer</w:t>
            </w:r>
          </w:p>
        </w:tc>
      </w:tr>
      <w:tr>
        <w:trPr>
          <w:trHeight w:val="297"/>
        </w:trPr>
        <w:tc>
          <w:tcPr>
            <w:tcW w:w="4120" w:type="dxa"/>
            <w:vAlign w:val="bottom"/>
            <w:gridSpan w:val="2"/>
          </w:tcPr>
          <w:p>
            <w:pPr>
              <w:spacing w:after="0"/>
              <w:rPr>
                <w:sz w:val="20"/>
                <w:szCs w:val="20"/>
                <w:color w:val="auto"/>
              </w:rPr>
            </w:pPr>
            <w:r>
              <w:rPr>
                <w:rFonts w:ascii="Arial" w:cs="Arial" w:eastAsia="Arial" w:hAnsi="Arial"/>
                <w:sz w:val="17"/>
                <w:szCs w:val="17"/>
                <w:color w:val="auto"/>
              </w:rPr>
              <w:t>Todd Wider</w:t>
            </w:r>
          </w:p>
        </w:tc>
        <w:tc>
          <w:tcPr>
            <w:tcW w:w="660" w:type="dxa"/>
            <w:vAlign w:val="bottom"/>
          </w:tcPr>
          <w:p>
            <w:pPr>
              <w:jc w:val="center"/>
              <w:spacing w:after="0"/>
              <w:rPr>
                <w:sz w:val="20"/>
                <w:szCs w:val="20"/>
                <w:color w:val="auto"/>
              </w:rPr>
            </w:pPr>
            <w:r>
              <w:rPr>
                <w:rFonts w:ascii="Arial" w:cs="Arial" w:eastAsia="Arial" w:hAnsi="Arial"/>
                <w:sz w:val="17"/>
                <w:szCs w:val="17"/>
                <w:color w:val="auto"/>
                <w:w w:val="94"/>
              </w:rPr>
              <w:t>55</w:t>
            </w:r>
          </w:p>
        </w:tc>
        <w:tc>
          <w:tcPr>
            <w:tcW w:w="2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Director</w:t>
            </w:r>
          </w:p>
        </w:tc>
      </w:tr>
      <w:tr>
        <w:trPr>
          <w:trHeight w:val="297"/>
        </w:trPr>
        <w:tc>
          <w:tcPr>
            <w:tcW w:w="4120" w:type="dxa"/>
            <w:vAlign w:val="bottom"/>
            <w:gridSpan w:val="2"/>
          </w:tcPr>
          <w:p>
            <w:pPr>
              <w:spacing w:after="0"/>
              <w:rPr>
                <w:sz w:val="20"/>
                <w:szCs w:val="20"/>
                <w:color w:val="auto"/>
              </w:rPr>
            </w:pPr>
            <w:r>
              <w:rPr>
                <w:rFonts w:ascii="Arial" w:cs="Arial" w:eastAsia="Arial" w:hAnsi="Arial"/>
                <w:sz w:val="17"/>
                <w:szCs w:val="17"/>
                <w:color w:val="auto"/>
              </w:rPr>
              <w:t>Bradley L. Campbell</w:t>
            </w:r>
          </w:p>
        </w:tc>
        <w:tc>
          <w:tcPr>
            <w:tcW w:w="660" w:type="dxa"/>
            <w:vAlign w:val="bottom"/>
          </w:tcPr>
          <w:p>
            <w:pPr>
              <w:jc w:val="center"/>
              <w:spacing w:after="0"/>
              <w:rPr>
                <w:sz w:val="20"/>
                <w:szCs w:val="20"/>
                <w:color w:val="auto"/>
              </w:rPr>
            </w:pPr>
            <w:r>
              <w:rPr>
                <w:rFonts w:ascii="Arial" w:cs="Arial" w:eastAsia="Arial" w:hAnsi="Arial"/>
                <w:sz w:val="17"/>
                <w:szCs w:val="17"/>
                <w:color w:val="auto"/>
                <w:w w:val="94"/>
              </w:rPr>
              <w:t>45</w:t>
            </w:r>
          </w:p>
        </w:tc>
        <w:tc>
          <w:tcPr>
            <w:tcW w:w="2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Director</w:t>
            </w:r>
          </w:p>
        </w:tc>
      </w:tr>
      <w:tr>
        <w:trPr>
          <w:trHeight w:val="297"/>
        </w:trPr>
        <w:tc>
          <w:tcPr>
            <w:tcW w:w="4120" w:type="dxa"/>
            <w:vAlign w:val="bottom"/>
            <w:gridSpan w:val="2"/>
          </w:tcPr>
          <w:p>
            <w:pPr>
              <w:spacing w:after="0"/>
              <w:rPr>
                <w:sz w:val="20"/>
                <w:szCs w:val="20"/>
                <w:color w:val="auto"/>
              </w:rPr>
            </w:pPr>
            <w:r>
              <w:rPr>
                <w:rFonts w:ascii="Arial" w:cs="Arial" w:eastAsia="Arial" w:hAnsi="Arial"/>
                <w:sz w:val="17"/>
                <w:szCs w:val="17"/>
                <w:color w:val="auto"/>
              </w:rPr>
              <w:t>Saqib Islam</w:t>
            </w:r>
          </w:p>
        </w:tc>
        <w:tc>
          <w:tcPr>
            <w:tcW w:w="660" w:type="dxa"/>
            <w:vAlign w:val="bottom"/>
          </w:tcPr>
          <w:p>
            <w:pPr>
              <w:jc w:val="center"/>
              <w:spacing w:after="0"/>
              <w:rPr>
                <w:sz w:val="20"/>
                <w:szCs w:val="20"/>
                <w:color w:val="auto"/>
              </w:rPr>
            </w:pPr>
            <w:r>
              <w:rPr>
                <w:rFonts w:ascii="Arial" w:cs="Arial" w:eastAsia="Arial" w:hAnsi="Arial"/>
                <w:sz w:val="17"/>
                <w:szCs w:val="17"/>
                <w:color w:val="auto"/>
                <w:w w:val="94"/>
              </w:rPr>
              <w:t>51</w:t>
            </w:r>
          </w:p>
        </w:tc>
        <w:tc>
          <w:tcPr>
            <w:tcW w:w="2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Director</w:t>
            </w:r>
          </w:p>
        </w:tc>
      </w:tr>
    </w:tbl>
    <w:p>
      <w:pPr>
        <w:spacing w:after="0" w:line="14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b w:val="1"/>
          <w:bCs w:val="1"/>
          <w:i w:val="1"/>
          <w:iCs w:val="1"/>
          <w:color w:val="auto"/>
        </w:rPr>
        <w:t xml:space="preserve">Joseph Edelman </w:t>
      </w:r>
      <w:r>
        <w:rPr>
          <w:rFonts w:ascii="Arial" w:cs="Arial" w:eastAsia="Arial" w:hAnsi="Arial"/>
          <w:sz w:val="17"/>
          <w:szCs w:val="17"/>
          <w:color w:val="auto"/>
        </w:rPr>
        <w:t>serves as the Chairman of our board of directors. Mr. Edelman is Founder,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Portfolio Manager of Perceptive Advisors. He has also served as Chairman of the board of directors of ARYA Sciences Acquisition Corp II (Nasdaq: ARYB) since June 2020. Prior to founding Perceptive Advisors, Mr. Edelman was a Senior Analyst at Aries Fund, a Paramount Capital Asset Management biotechnology hedge fund, from 1994 through 1998. Prior to that position, Mr. Edelman was a Senior Biotechnology Analyst at Prudential Securities from 1990 to</w:t>
      </w:r>
    </w:p>
    <w:p>
      <w:pPr>
        <w:spacing w:after="0" w:line="4"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1994. Mr. Edelman started his career in the healthcare sector of the securities industry as a Biotechnology Analyst at Labe, Simpson from 1987 to 1990. Mr. Edelman earned an MBA from New York University and a BA, magna cum laude, in psychology from the University of California San Diego.</w:t>
      </w:r>
    </w:p>
    <w:p>
      <w:pPr>
        <w:spacing w:after="0" w:line="161"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We believe that Mr. Edelman’s broad operational and transactional experience make him well qualified to serve as the Chairman of our board of directors.</w:t>
      </w:r>
    </w:p>
    <w:p>
      <w:pPr>
        <w:spacing w:after="0" w:line="12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b w:val="1"/>
          <w:bCs w:val="1"/>
          <w:i w:val="1"/>
          <w:iCs w:val="1"/>
          <w:color w:val="auto"/>
        </w:rPr>
        <w:t xml:space="preserve">Adam Stone </w:t>
      </w:r>
      <w:r>
        <w:rPr>
          <w:rFonts w:ascii="Arial" w:cs="Arial" w:eastAsia="Arial" w:hAnsi="Arial"/>
          <w:sz w:val="17"/>
          <w:szCs w:val="17"/>
          <w:color w:val="auto"/>
        </w:rPr>
        <w:t>serves as our Chief Executive Officer and is a member of our board of directors. Mr. Stone joined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Perceptive Advisors in 2006 and has acted as Chief Investment Officer since 2012 and is a member of the internal investment committees of Perceptive Advisors’ credit opportunities and venture funds. Mr. Stone currently also serves on the boards of directors of ARYA Sciences Acquisition Corp II (Nasdaq: ARYB) as well as, Solid Biosciences (Nasdaq: SLDB), Renovia, and Xontogeny, which are portfolio companies of Perceptive Advisors. Following the consummation of the business combination of ARYA Sciences Acquisition Corp. with Immatics Biotechnologies GmbH in July 2020, Mr. Stone also serves on the supervisory board of Immatics N.V. (Nasdaq: IMTX). Prior to joining Perceptive Advisors, Mr. Stone was a Senior Analyst at Ursus Capital from 2001 to 2006 where he focused on biotechnology and specialty pharmaceuticals. During Mr. Stone’s tenure at Ursus Capital, Mr. Stone focused on biotech and specialty pharmaceuticals. Mr. Stone graduated with honors from Princeton University with a BA in molecular biology.</w:t>
      </w:r>
    </w:p>
    <w:p>
      <w:pPr>
        <w:spacing w:after="0" w:line="160"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We believe that Mr. Stone’s broad operational and transactional experience, and his position as Chief Executive Officer, make him well qualified to serve on our board of directors.</w:t>
      </w:r>
    </w:p>
    <w:p>
      <w:pPr>
        <w:spacing w:after="0" w:line="138"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b w:val="1"/>
          <w:bCs w:val="1"/>
          <w:i w:val="1"/>
          <w:iCs w:val="1"/>
          <w:color w:val="auto"/>
        </w:rPr>
        <w:t>Michael Altman</w:t>
      </w:r>
      <w:r>
        <w:rPr>
          <w:rFonts w:ascii="Arial" w:cs="Arial" w:eastAsia="Arial" w:hAnsi="Arial"/>
          <w:sz w:val="17"/>
          <w:szCs w:val="17"/>
          <w:color w:val="auto"/>
        </w:rPr>
        <w:t>, CFA, serves as our Chief Financial Officer and is a member of our board of directors. Mr. Altman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joined Perceptive Advisors in 2007, is a 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also serves on the board of ARYA Sciences Acquisition Corp II (Nasdaq: ARYB). Prior to joining Perceptive Advisors in, Mr. Altman was a trader and analyst at First New York Securities from 2005 to 2007. Mr. Altman graduated from the University of Vermont with a BS in Business Administration.</w:t>
      </w:r>
    </w:p>
    <w:p>
      <w:pPr>
        <w:spacing w:after="0" w:line="150" w:lineRule="exact"/>
        <w:rPr>
          <w:sz w:val="20"/>
          <w:szCs w:val="20"/>
          <w:color w:val="auto"/>
        </w:rPr>
      </w:pPr>
    </w:p>
    <w:p>
      <w:pPr>
        <w:jc w:val="both"/>
        <w:ind w:right="320"/>
        <w:spacing w:after="0" w:line="243" w:lineRule="auto"/>
        <w:rPr>
          <w:sz w:val="20"/>
          <w:szCs w:val="20"/>
          <w:color w:val="auto"/>
        </w:rPr>
      </w:pPr>
      <w:r>
        <w:rPr>
          <w:rFonts w:ascii="Arial" w:cs="Arial" w:eastAsia="Arial" w:hAnsi="Arial"/>
          <w:sz w:val="17"/>
          <w:szCs w:val="17"/>
          <w:color w:val="auto"/>
        </w:rPr>
        <w:t>We believe that Mr. Altman’s broad operational and transactional experience make him well qualified to serve on our board of directors.</w:t>
      </w:r>
    </w:p>
    <w:p>
      <w:pPr>
        <w:spacing w:after="0" w:line="138" w:lineRule="exact"/>
        <w:rPr>
          <w:sz w:val="20"/>
          <w:szCs w:val="20"/>
          <w:color w:val="auto"/>
        </w:rPr>
      </w:pPr>
    </w:p>
    <w:p>
      <w:pPr>
        <w:jc w:val="both"/>
        <w:ind w:right="320"/>
        <w:spacing w:after="0" w:line="249" w:lineRule="auto"/>
        <w:rPr>
          <w:sz w:val="20"/>
          <w:szCs w:val="20"/>
          <w:color w:val="auto"/>
        </w:rPr>
      </w:pPr>
      <w:r>
        <w:rPr>
          <w:rFonts w:ascii="Arial" w:cs="Arial" w:eastAsia="Arial" w:hAnsi="Arial"/>
          <w:sz w:val="17"/>
          <w:szCs w:val="17"/>
          <w:b w:val="1"/>
          <w:bCs w:val="1"/>
          <w:i w:val="1"/>
          <w:iCs w:val="1"/>
          <w:color w:val="auto"/>
        </w:rPr>
        <w:t>Konstantin Poukalov</w:t>
      </w:r>
      <w:r>
        <w:rPr>
          <w:rFonts w:ascii="Arial" w:cs="Arial" w:eastAsia="Arial" w:hAnsi="Arial"/>
          <w:sz w:val="17"/>
          <w:szCs w:val="17"/>
          <w:color w:val="auto"/>
        </w:rPr>
        <w:t>, our Chief Business Officer, joined Perceptive Advisors in 2019 and is a Managing Director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Perceptive Advisors focused on various strategies across the Perceptive platforms. Mr. Poukalov also serves as the Chief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0"/>
        <w:spacing w:after="0" w:line="234" w:lineRule="auto"/>
        <w:rPr>
          <w:sz w:val="20"/>
          <w:szCs w:val="20"/>
          <w:color w:val="auto"/>
        </w:rPr>
      </w:pPr>
      <w:r>
        <w:rPr>
          <w:rFonts w:ascii="Arial" w:cs="Arial" w:eastAsia="Arial" w:hAnsi="Arial"/>
          <w:sz w:val="17"/>
          <w:szCs w:val="17"/>
          <w:color w:val="auto"/>
        </w:rPr>
        <w:t>Business Officer of ARYA Sciences Acquisition Corp II (Nasdaq: ARYB) and on the boards of directors of Lyra Therapeutics (Nasdaq: LYRA), Landos Biopharma, Inc. and LianBio, which are portfolio companies of Perceptive Advisors. Prior to joining Perceptive, Mr. Poukalov served as Executive Vice President and Chief Financial Officer of Kadmon Holdings (NYSE: KDMN) from 2014 to 2018. From 2012 to 2014, Mr. Poukalov served as Kadmon's Vice President, Strategic Operations. Prior to joining Kadmon, Mr. Poukalov was a member of the healthcare investment banking group at Jefferies LLC from 2009 to 2012, focusing on companies across the life sciences and biotechnology sectors. Prior to Jefferies, Mr. Poukalov was a member of UBS Investment Bank, focusing on the healthcare industry, from 2006 to 2009. Mr. Poukalov graduated from Stony Brook University with a Bachelor of Engineering in Electrical Engineering.</w:t>
      </w:r>
    </w:p>
    <w:p>
      <w:pPr>
        <w:spacing w:after="0" w:line="141" w:lineRule="exact"/>
        <w:rPr>
          <w:sz w:val="20"/>
          <w:szCs w:val="20"/>
          <w:color w:val="auto"/>
        </w:rPr>
      </w:pPr>
    </w:p>
    <w:p>
      <w:pPr>
        <w:spacing w:after="0" w:line="235" w:lineRule="auto"/>
        <w:rPr>
          <w:sz w:val="20"/>
          <w:szCs w:val="20"/>
          <w:color w:val="auto"/>
        </w:rPr>
      </w:pPr>
      <w:r>
        <w:rPr>
          <w:rFonts w:ascii="Arial" w:cs="Arial" w:eastAsia="Arial" w:hAnsi="Arial"/>
          <w:sz w:val="17"/>
          <w:szCs w:val="17"/>
          <w:b w:val="1"/>
          <w:bCs w:val="1"/>
          <w:i w:val="1"/>
          <w:iCs w:val="1"/>
          <w:color w:val="auto"/>
        </w:rPr>
        <w:t xml:space="preserve">Dr. Todd Wider </w:t>
      </w:r>
      <w:r>
        <w:rPr>
          <w:rFonts w:ascii="Arial" w:cs="Arial" w:eastAsia="Arial" w:hAnsi="Arial"/>
          <w:sz w:val="17"/>
          <w:szCs w:val="17"/>
          <w:color w:val="auto"/>
        </w:rPr>
        <w:t>has agreed to serve on our board of directors. Dr. Wider is an active, honorary member of the medical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staff of Mount Sinai Hospital in New York, where he worked for over 20 years, and is a plastic and reconstructive surgeon who focused on cancer surgery. Dr. Wider has served on the board of directors of Abeona Therapeutics Inc. (Nasdaq: ABEO) since May 2015 and ARYA Sciences Acquisition Corp II (Nasdaq: ARYB) since June 2020. Dr. Wider also is the Executive Chairman of Emendo Biotherapeutics, which focuses on highly specific and differentiated gene editing. Dr. Wider previously consulted with a number of entities in the biotechnology space. Dr. Wider received an MD from Columbia College of Physicians and Surgeons, where he was Rudin Fellow, and an AB, with high honors and Phi Beta Kappa, from Princeton University. He did his residency in general surgery and plastic and reconstructive surgery at Columbia Presbyterian Medical Center, and postdoctoral fellowships in complex reconstructive surgery at Memorial Sloan Kettering Cancer Center, where he was Chief Microsurgery Fellow, and in craniofacial surgery at the University of Miami. Dr. Wider is also a principal in Wider Film Projects, a documentary film company focusing on producing films with sociopolitical resonance.</w:t>
      </w:r>
    </w:p>
    <w:p>
      <w:pPr>
        <w:spacing w:after="0" w:line="16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believe that Dr. Wider’s experience in the healthcare and life sciences industries make him well qualified to serve on our board of directors.</w:t>
      </w:r>
    </w:p>
    <w:p>
      <w:pPr>
        <w:spacing w:after="0" w:line="124" w:lineRule="exact"/>
        <w:rPr>
          <w:sz w:val="20"/>
          <w:szCs w:val="20"/>
          <w:color w:val="auto"/>
        </w:rPr>
      </w:pPr>
    </w:p>
    <w:p>
      <w:pPr>
        <w:ind w:right="120"/>
        <w:spacing w:after="0" w:line="223" w:lineRule="auto"/>
        <w:rPr>
          <w:sz w:val="20"/>
          <w:szCs w:val="20"/>
          <w:color w:val="auto"/>
        </w:rPr>
      </w:pPr>
      <w:r>
        <w:rPr>
          <w:rFonts w:ascii="Arial" w:cs="Arial" w:eastAsia="Arial" w:hAnsi="Arial"/>
          <w:sz w:val="16"/>
          <w:szCs w:val="16"/>
          <w:b w:val="1"/>
          <w:bCs w:val="1"/>
          <w:i w:val="1"/>
          <w:iCs w:val="1"/>
          <w:color w:val="auto"/>
        </w:rPr>
        <w:t xml:space="preserve">Bradley L. Campbell </w:t>
      </w:r>
      <w:r>
        <w:rPr>
          <w:rFonts w:ascii="Arial" w:cs="Arial" w:eastAsia="Arial" w:hAnsi="Arial"/>
          <w:sz w:val="16"/>
          <w:szCs w:val="16"/>
          <w:color w:val="auto"/>
        </w:rPr>
        <w:t>has agreed to serve on our board of directors. He has nearly 20 years of experience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orphan drug industry and has served on the board of directors of Amicus since June 2018 and as President and Chief Operating Officer of Amicus since January 2015. In this capacity, Mr. Campbell leads the global commercial organization responsible for the commercialization of Galafold</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for the treatment of Fabry Disease. He also oversees the Technical Operations, Market Access, Program Management and Clinical Operations functions. Previously,</w:t>
      </w:r>
    </w:p>
    <w:p>
      <w:pPr>
        <w:spacing w:after="0" w:line="3"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Mr. Campbell served as Chief Operating Officer of Amicus from December 2013 to January 2015 and, prior thereto, as Chief Business Officer of Amicus from February 2012 to December 2013. From January 2010 to February 2012, Mr. Campbell served as Senior Vice President, Business Operations; from May 2007 to January 2010, as Vice President, Business Planning; and from April 2006 until May 2007, as Senior Director, Business Development of Amicus. Mr. Campbell also served as Senior Product Manager of Myozyme© for Pompe Disease and later as Business Director of Cardiovascular Gene Therapy at Genzyme Corporation from 2002 to 2006. Prior to joining Genzyme, Mr. Campbell worked in sales &amp; marketing for Bristol-Myers-Squibb and as a business strategy consultant for Marakon Associates. Currently, Mr. Campbell serves as a Director for the Alliance for Regenerative Medicine, and he previously served as a director of Progenics Pharmaceuticals, Inc. (Nasdaq: PGNX) from June 2016 to June 2020. Mr. Campbell holds a B.A. from Duke University and an MBA from Harvard Business School.</w:t>
      </w:r>
    </w:p>
    <w:p>
      <w:pPr>
        <w:spacing w:after="0" w:line="168"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We believe that Mr. Campbell’s experience in the healthcare and life sciences industries make him well qualified to serve on our board of directors.</w:t>
      </w:r>
    </w:p>
    <w:p>
      <w:pPr>
        <w:spacing w:after="0" w:line="13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b w:val="1"/>
          <w:bCs w:val="1"/>
          <w:i w:val="1"/>
          <w:iCs w:val="1"/>
          <w:color w:val="auto"/>
        </w:rPr>
        <w:t xml:space="preserve">Saqib Islam </w:t>
      </w:r>
      <w:r>
        <w:rPr>
          <w:rFonts w:ascii="Arial" w:cs="Arial" w:eastAsia="Arial" w:hAnsi="Arial"/>
          <w:sz w:val="17"/>
          <w:szCs w:val="17"/>
          <w:color w:val="auto"/>
        </w:rPr>
        <w:t>has agreed to serve on our board of directors. Mr. Islam has served as the Chief Executive Officer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SpringWorks since August 2018. Previously, Mr. Islam served as the Chief Financial Officer and Chief Business Officer of SpringWorks since its formation in August 2017. Prior to joining SpringWorks, Mr. Islam served as Chief Business Officer at Moderna Therapeutics, Inc. from February 2016 to August 2017. Prior to Moderna, Mr. Islam was Executive Vice President, Chief Strategy and Portfolio Officer at Alexion Pharmaceuticals, Inc. from February 2013 to February 2016, where he was responsible for executing the company’s corporate growth strategies and contributed to its assessment and management of global operations. Prior to joining Alexion, Mr. Islam worked for more than 25 years in international business management with a focus on business development, strategic decision-making and planning and capital markets, previously holding Managing Director positions at Morgan Stanley and Credit Suisse. Mr. Islam has also</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served on the board of directors of Passage Bio, Inc. since March 2019. Mr. Islam holds a JD from Columbia Law School, where he was a Harlan Fiske Scholar, and a Bachelor’s degree from McGill University where he was a Faculty and University Scholar.</w:t>
      </w:r>
    </w:p>
    <w:p>
      <w:pPr>
        <w:spacing w:after="0" w:line="16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We believe that Mr. Islam’s experience in the healthcare and life sciences industries make him well qualified to serve on our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and Terms of Office of Officers and Directors</w:t>
      </w:r>
    </w:p>
    <w:p>
      <w:pPr>
        <w:spacing w:after="0" w:line="18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Our board of directors is divided into three classes, with only one class of directors being elected in each year, and with each class (except for those directors appointed prior to our first annual meeting of shareholders) serving a three-year term. The term of office of the first class of directors, consisting of Bradley L. Campbell, will expire at our first annual meeting of shareholders. The term of office of the second class of directors, consisting of Saqib Islam and Todd Wider, will expire at our second annual meeting of shareholders. The term of office of the third class of directors, consisting of Joseph Edelman, Adam Stone and Michael Altman, will expire at our third annual meeting of shareholders.</w:t>
      </w:r>
    </w:p>
    <w:p>
      <w:pPr>
        <w:spacing w:after="0" w:line="16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47"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16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will provide that our officers may consist of one or more chairman of the board, chief executive officer, chief financial officer, chief business officer, president, vice presidents, secretary, treasurer and such other offices as may be determined by the board of directors.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189"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with the company which in the opinion of the company’s board of directors, could interfere with the director’s exercise of independent judgment in carrying out the responsibilities of a director. We have “independent directors” as defined in Nasdaq’s listing standards and applicable SEC rules. Our board of directors has determined that Joseph Edelman, Todd Wider, Bradley L. Campbell and Saqib Islam are “independent directors” as defined in the Nasdaq listing standards and applicable SEC rules. Our independent directors will have regularly scheduled meetings at which only independent directors are present.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 and Director Compensation</w:t>
      </w:r>
    </w:p>
    <w:p>
      <w:pPr>
        <w:spacing w:after="0" w:line="18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July 2020, our sponsor transferred 30,000 founder shares to each of Messrs. Campbell, Islam and Wider. None of our executive officers or directors have received any cash compensation for services rendered to us. Commencing on the date that our securities are first listed on the Nasdaq through the earlier of consummation of our initial business combination and our liquidation, we will reimburse our sponsor for office space, secretarial and administrative services provided to us in the amount of $10,000 per month. In addition,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executive officers or directors, or our or their affiliates. Any such payments prior to an initial business combination will be made using funds held outside the trust account. Other than quarterly audit committee review of such reimbursements, we do not expect to have any additional controls in place governing our reimbursement payments to our directors and executive officers for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6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68"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18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board of directors has three standing committees: an audit committee, a nominating committee and a compensation committee. Subject to phase-in rules and a limited exception, the rules of Nasdaq and Rule 10A-3 of the Exchange Act require that the audit committee of a listed company be comprised solely of independent directors. Subject to phase-in rules and a limited exception, the rules of Nasdaq require that the compensation committee of a listed company be comprised solely of independent directors. Each committee operates under a charter that has been approved by our board and has the composition and responsibilities described below. The charter of each committee is available on our website.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established an audit committee of the board of directors. Bradley L. Campbell, Saqib Islam and Todd Wider serve as members of our audit committee. Our board of directors has determined that each of Bradley L. Campbell, Saqib Islam and Todd Wider is independent. Todd Wider serves as the Chairman of the audit committee. Each member of the audit committee meets the financial literacy requirements of Nasdaq and our board of directors has determined that Todd Wider qualifies as an “audit committee financial expert” as defined in applicable SEC rules and has accounting or related financial management expertise.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is responsible for:</w:t>
      </w:r>
    </w:p>
    <w:p>
      <w:pPr>
        <w:spacing w:after="0" w:line="102" w:lineRule="exact"/>
        <w:rPr>
          <w:sz w:val="20"/>
          <w:szCs w:val="20"/>
          <w:color w:val="auto"/>
        </w:rPr>
      </w:pPr>
    </w:p>
    <w:p>
      <w:pPr>
        <w:ind w:left="580" w:right="460"/>
        <w:spacing w:after="0" w:line="243" w:lineRule="auto"/>
        <w:rPr>
          <w:sz w:val="20"/>
          <w:szCs w:val="20"/>
          <w:color w:val="auto"/>
        </w:rPr>
      </w:pPr>
      <w:r>
        <w:rPr>
          <w:rFonts w:ascii="Arial" w:cs="Arial" w:eastAsia="Arial" w:hAnsi="Arial"/>
          <w:sz w:val="17"/>
          <w:szCs w:val="17"/>
          <w:color w:val="auto"/>
        </w:rPr>
        <w:t>meeting with our independent registered public accounting firm regarding, among other issues, audits, and adequacy of our accounting and control systems;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monitoring the independence of the independent registered public accounting firm;</w:t>
      </w:r>
    </w:p>
    <w:p>
      <w:pPr>
        <w:spacing w:after="0" w:line="102" w:lineRule="exact"/>
        <w:rPr>
          <w:sz w:val="20"/>
          <w:szCs w:val="20"/>
          <w:color w:val="auto"/>
        </w:rPr>
      </w:pPr>
    </w:p>
    <w:p>
      <w:pPr>
        <w:ind w:left="580" w:right="40"/>
        <w:spacing w:after="0" w:line="243" w:lineRule="auto"/>
        <w:rPr>
          <w:sz w:val="20"/>
          <w:szCs w:val="20"/>
          <w:color w:val="auto"/>
        </w:rPr>
      </w:pPr>
      <w:r>
        <w:rPr>
          <w:rFonts w:ascii="Arial" w:cs="Arial" w:eastAsia="Arial" w:hAnsi="Arial"/>
          <w:sz w:val="17"/>
          <w:szCs w:val="17"/>
          <w:color w:val="auto"/>
        </w:rPr>
        <w:t>verifying the rotation of the lead (or coordinating) audit partner having primary responsibility for the audit and the audit partner responsible for reviewing the audit as required by law;</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inquiring and discussing with management our compliance with applicable laws and regulations;</w:t>
      </w:r>
    </w:p>
    <w:p>
      <w:pPr>
        <w:spacing w:after="0" w:line="102" w:lineRule="exact"/>
        <w:rPr>
          <w:sz w:val="20"/>
          <w:szCs w:val="20"/>
          <w:color w:val="auto"/>
        </w:rPr>
      </w:pPr>
    </w:p>
    <w:p>
      <w:pPr>
        <w:ind w:left="580" w:right="20"/>
        <w:spacing w:after="0" w:line="243" w:lineRule="auto"/>
        <w:rPr>
          <w:sz w:val="20"/>
          <w:szCs w:val="20"/>
          <w:color w:val="auto"/>
        </w:rPr>
      </w:pPr>
      <w:r>
        <w:rPr>
          <w:rFonts w:ascii="Arial" w:cs="Arial" w:eastAsia="Arial" w:hAnsi="Arial"/>
          <w:sz w:val="17"/>
          <w:szCs w:val="17"/>
          <w:color w:val="auto"/>
        </w:rPr>
        <w:t>pre-approving all audit services and permitted non-audit services to be performed by our independent registered public accounting firm, including the fees and terms of the services to be performed;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appointing or replacing the independent registered public accounting firm;</w:t>
      </w:r>
    </w:p>
    <w:p>
      <w:pPr>
        <w:spacing w:after="0" w:line="102" w:lineRule="exact"/>
        <w:rPr>
          <w:sz w:val="20"/>
          <w:szCs w:val="20"/>
          <w:color w:val="auto"/>
        </w:rPr>
      </w:pPr>
    </w:p>
    <w:p>
      <w:pPr>
        <w:jc w:val="both"/>
        <w:ind w:left="580" w:right="260"/>
        <w:spacing w:after="0" w:line="238" w:lineRule="auto"/>
        <w:rPr>
          <w:sz w:val="20"/>
          <w:szCs w:val="20"/>
          <w:color w:val="auto"/>
        </w:rPr>
      </w:pPr>
      <w:r>
        <w:rPr>
          <w:rFonts w:ascii="Arial" w:cs="Arial" w:eastAsia="Arial" w:hAnsi="Arial"/>
          <w:sz w:val="17"/>
          <w:szCs w:val="17"/>
          <w:color w:val="auto"/>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p>
      <w:pPr>
        <w:spacing w:after="0" w:line="93" w:lineRule="exact"/>
        <w:rPr>
          <w:sz w:val="20"/>
          <w:szCs w:val="20"/>
          <w:color w:val="auto"/>
        </w:rPr>
      </w:pPr>
    </w:p>
    <w:p>
      <w:pPr>
        <w:ind w:left="580"/>
        <w:spacing w:after="0" w:line="238" w:lineRule="auto"/>
        <w:rPr>
          <w:sz w:val="20"/>
          <w:szCs w:val="20"/>
          <w:color w:val="auto"/>
        </w:rPr>
      </w:pPr>
      <w:r>
        <w:rPr>
          <w:rFonts w:ascii="Arial" w:cs="Arial" w:eastAsia="Arial" w:hAnsi="Arial"/>
          <w:sz w:val="17"/>
          <w:szCs w:val="17"/>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93" w:lineRule="exact"/>
        <w:rPr>
          <w:sz w:val="20"/>
          <w:szCs w:val="20"/>
          <w:color w:val="auto"/>
        </w:rPr>
      </w:pPr>
    </w:p>
    <w:p>
      <w:pPr>
        <w:jc w:val="both"/>
        <w:ind w:left="580" w:right="40"/>
        <w:spacing w:after="0" w:line="238" w:lineRule="auto"/>
        <w:rPr>
          <w:sz w:val="20"/>
          <w:szCs w:val="20"/>
          <w:color w:val="auto"/>
        </w:rPr>
      </w:pPr>
      <w:r>
        <w:rPr>
          <w:rFonts w:ascii="Arial" w:cs="Arial" w:eastAsia="Arial" w:hAnsi="Arial"/>
          <w:sz w:val="17"/>
          <w:szCs w:val="17"/>
          <w:color w:val="auto"/>
        </w:rPr>
        <w:t>monitoring compliance on a quarterly basis with the terms of this offering and, if any noncompliance is identified, immediately taking all action necessary to rectify such noncompliance or otherwise causing compliance with the terms of this offering; and</w:t>
      </w:r>
    </w:p>
    <w:p>
      <w:pPr>
        <w:spacing w:after="0" w:line="93" w:lineRule="exact"/>
        <w:rPr>
          <w:sz w:val="20"/>
          <w:szCs w:val="20"/>
          <w:color w:val="auto"/>
        </w:rPr>
      </w:pPr>
    </w:p>
    <w:p>
      <w:pPr>
        <w:ind w:left="580" w:right="360"/>
        <w:spacing w:after="0" w:line="236" w:lineRule="auto"/>
        <w:rPr>
          <w:sz w:val="20"/>
          <w:szCs w:val="20"/>
          <w:color w:val="auto"/>
        </w:rPr>
      </w:pPr>
      <w:r>
        <w:rPr>
          <w:rFonts w:ascii="Arial" w:cs="Arial" w:eastAsia="Arial" w:hAnsi="Arial"/>
          <w:sz w:val="17"/>
          <w:szCs w:val="17"/>
          <w:color w:val="auto"/>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Committee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We established a nominating committee of our board of directors. The members of our nominating committee are</w:t>
      </w:r>
    </w:p>
    <w:p>
      <w:pPr>
        <w:spacing w:after="0" w:line="232" w:lineRule="auto"/>
        <w:rPr>
          <w:sz w:val="20"/>
          <w:szCs w:val="20"/>
          <w:color w:val="auto"/>
        </w:rPr>
      </w:pPr>
      <w:r>
        <w:rPr>
          <w:rFonts w:ascii="Arial" w:cs="Arial" w:eastAsia="Arial" w:hAnsi="Arial"/>
          <w:sz w:val="17"/>
          <w:szCs w:val="17"/>
          <w:color w:val="auto"/>
        </w:rPr>
        <w:t>Bradley L. Campbell, Saqib Islam and Todd Wider, and Saqib Islam serves as chairman of the nominating committee.</w:t>
      </w:r>
    </w:p>
    <w:p>
      <w:pPr>
        <w:spacing w:after="0"/>
        <w:rPr>
          <w:sz w:val="20"/>
          <w:szCs w:val="20"/>
          <w:color w:val="auto"/>
        </w:rPr>
      </w:pPr>
      <w:r>
        <w:rPr>
          <w:rFonts w:ascii="Arial" w:cs="Arial" w:eastAsia="Arial" w:hAnsi="Arial"/>
          <w:sz w:val="17"/>
          <w:szCs w:val="17"/>
          <w:color w:val="auto"/>
        </w:rPr>
        <w:t>Our board of directors has determined that each of Bradley L. Campbell, Saqib Islam and Todd Wider is independent.</w:t>
      </w:r>
    </w:p>
    <w:p>
      <w:pPr>
        <w:spacing w:after="0" w:line="156"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nominating committee is responsible for overseeing the selection of persons to be nominated to serve on our board of directors. The nominating committee considers persons identified by its members, management, shareholders, investment bankers and others.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Guidelines for Selecting Director Nominees</w:t>
      </w:r>
    </w:p>
    <w:p>
      <w:pPr>
        <w:spacing w:after="0" w:line="174"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guidelines for selecting nominees, which are specified in a charter adopted by us, generally provide that persons to be nominated:</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should have demonstrated notable or significant achievements in business, education or public service;</w:t>
      </w:r>
    </w:p>
    <w:p>
      <w:pPr>
        <w:spacing w:after="0" w:line="102" w:lineRule="exact"/>
        <w:rPr>
          <w:sz w:val="20"/>
          <w:szCs w:val="20"/>
          <w:color w:val="auto"/>
        </w:rPr>
      </w:pPr>
    </w:p>
    <w:p>
      <w:pPr>
        <w:ind w:left="580" w:right="360"/>
        <w:spacing w:after="0" w:line="243" w:lineRule="auto"/>
        <w:rPr>
          <w:sz w:val="20"/>
          <w:szCs w:val="20"/>
          <w:color w:val="auto"/>
        </w:rPr>
      </w:pPr>
      <w:r>
        <w:rPr>
          <w:rFonts w:ascii="Arial" w:cs="Arial" w:eastAsia="Arial" w:hAnsi="Arial"/>
          <w:sz w:val="17"/>
          <w:szCs w:val="17"/>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90" w:lineRule="exact"/>
        <w:rPr>
          <w:sz w:val="20"/>
          <w:szCs w:val="20"/>
          <w:color w:val="auto"/>
        </w:rPr>
      </w:pPr>
    </w:p>
    <w:p>
      <w:pPr>
        <w:ind w:left="580" w:right="160"/>
        <w:spacing w:after="0" w:line="243" w:lineRule="auto"/>
        <w:rPr>
          <w:sz w:val="20"/>
          <w:szCs w:val="20"/>
          <w:color w:val="auto"/>
        </w:rPr>
      </w:pPr>
      <w:r>
        <w:rPr>
          <w:rFonts w:ascii="Arial" w:cs="Arial" w:eastAsia="Arial" w:hAnsi="Arial"/>
          <w:sz w:val="17"/>
          <w:szCs w:val="17"/>
          <w:color w:val="auto"/>
        </w:rPr>
        <w:t>should have the highest ethical standards, a strong sense of professionalism and intense dedication to serving the interests of the shareholders.</w:t>
      </w:r>
    </w:p>
    <w:p>
      <w:pPr>
        <w:spacing w:after="0" w:line="15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4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We established a compensation committee of our board of directors. The members of our compensation committee are Bradley L. Campbell, Saqib Islam and Todd Wider, and Bradley L. Campbell serves as chairman of the compensation committee.</w:t>
      </w:r>
    </w:p>
    <w:p>
      <w:pPr>
        <w:spacing w:after="0" w:line="161" w:lineRule="exact"/>
        <w:rPr>
          <w:sz w:val="20"/>
          <w:szCs w:val="20"/>
          <w:color w:val="auto"/>
        </w:rPr>
      </w:pPr>
    </w:p>
    <w:p>
      <w:pPr>
        <w:jc w:val="both"/>
        <w:ind w:right="220"/>
        <w:spacing w:after="0" w:line="238" w:lineRule="auto"/>
        <w:rPr>
          <w:sz w:val="20"/>
          <w:szCs w:val="20"/>
          <w:color w:val="auto"/>
        </w:rPr>
      </w:pPr>
      <w:r>
        <w:rPr>
          <w:rFonts w:ascii="Arial" w:cs="Arial" w:eastAsia="Arial" w:hAnsi="Arial"/>
          <w:sz w:val="17"/>
          <w:szCs w:val="17"/>
          <w:color w:val="auto"/>
        </w:rPr>
        <w:t>Our board of directors has determined that each of Bradley L. Campbell, Saqib Islam and Todd Wider is independent. We adopted a compensation committee charter, which details the principal functions of the compensation committee, including:</w:t>
      </w:r>
    </w:p>
    <w:p>
      <w:pPr>
        <w:spacing w:after="0" w:line="93" w:lineRule="exact"/>
        <w:rPr>
          <w:sz w:val="20"/>
          <w:szCs w:val="20"/>
          <w:color w:val="auto"/>
        </w:rPr>
      </w:pPr>
    </w:p>
    <w:p>
      <w:pPr>
        <w:ind w:left="580" w:right="140"/>
        <w:spacing w:after="0" w:line="236" w:lineRule="auto"/>
        <w:rPr>
          <w:sz w:val="20"/>
          <w:szCs w:val="20"/>
          <w:color w:val="auto"/>
        </w:rPr>
      </w:pPr>
      <w:r>
        <w:rPr>
          <w:rFonts w:ascii="Arial" w:cs="Arial" w:eastAsia="Arial" w:hAnsi="Arial"/>
          <w:sz w:val="17"/>
          <w:szCs w:val="17"/>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580" w:right="1620"/>
        <w:spacing w:after="0" w:line="364" w:lineRule="auto"/>
        <w:rPr>
          <w:sz w:val="20"/>
          <w:szCs w:val="20"/>
          <w:color w:val="auto"/>
        </w:rPr>
      </w:pPr>
      <w:r>
        <w:rPr>
          <w:rFonts w:ascii="Arial" w:cs="Arial" w:eastAsia="Arial" w:hAnsi="Arial"/>
          <w:sz w:val="17"/>
          <w:szCs w:val="17"/>
          <w:color w:val="auto"/>
        </w:rPr>
        <w:t>reviewing and approving the compensation of all of our other Section 16 executive officers; reviewing our executive compensation policies and plans;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implementing and administering our incentive compensation equity-based remuneration plans;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assisting management in complying with our proxy statement and annual report disclosure requirements;</w:t>
      </w:r>
    </w:p>
    <w:p>
      <w:pPr>
        <w:spacing w:after="0" w:line="102" w:lineRule="exact"/>
        <w:rPr>
          <w:sz w:val="20"/>
          <w:szCs w:val="20"/>
          <w:color w:val="auto"/>
        </w:rPr>
      </w:pPr>
    </w:p>
    <w:p>
      <w:pPr>
        <w:ind w:left="580" w:right="880"/>
        <w:spacing w:after="0" w:line="243" w:lineRule="auto"/>
        <w:rPr>
          <w:sz w:val="20"/>
          <w:szCs w:val="20"/>
          <w:color w:val="auto"/>
        </w:rPr>
      </w:pPr>
      <w:r>
        <w:rPr>
          <w:rFonts w:ascii="Arial" w:cs="Arial" w:eastAsia="Arial" w:hAnsi="Arial"/>
          <w:sz w:val="17"/>
          <w:szCs w:val="17"/>
          <w:color w:val="auto"/>
        </w:rPr>
        <w:t>approving all special perquisites, special cash payments and other special compensation and benefit arrangements for our executive officers and employees;</w:t>
      </w:r>
    </w:p>
    <w:p>
      <w:pPr>
        <w:spacing w:after="0" w:line="90" w:lineRule="exact"/>
        <w:rPr>
          <w:sz w:val="20"/>
          <w:szCs w:val="20"/>
          <w:color w:val="auto"/>
        </w:rPr>
      </w:pPr>
    </w:p>
    <w:p>
      <w:pPr>
        <w:ind w:left="580" w:right="1000"/>
        <w:spacing w:after="0" w:line="375" w:lineRule="auto"/>
        <w:rPr>
          <w:sz w:val="20"/>
          <w:szCs w:val="20"/>
          <w:color w:val="auto"/>
        </w:rPr>
      </w:pPr>
      <w:r>
        <w:rPr>
          <w:rFonts w:ascii="Arial" w:cs="Arial" w:eastAsia="Arial" w:hAnsi="Arial"/>
          <w:sz w:val="17"/>
          <w:szCs w:val="17"/>
          <w:color w:val="auto"/>
        </w:rPr>
        <w:t>producing a report on executive compensation to be included in our annual proxy statement; and reviewing, evaluating and recommending changes, if appropriate, to the remuneration for directors.</w:t>
      </w:r>
    </w:p>
    <w:p>
      <w:pPr>
        <w:spacing w:after="0" w:line="51"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The charter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 Interlocks and Insider Participation</w:t>
      </w:r>
    </w:p>
    <w:p>
      <w:pPr>
        <w:spacing w:after="0" w:line="4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None of our executive officers currently serves, and in the past year has not served, as a member of the compensation committee of any entity that has one or more executive officers serving on our board of directors.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176"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We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of Interest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Under Cayman Islands law, directors and officers owe the following fiduciary duties:</w:t>
      </w:r>
    </w:p>
    <w:p>
      <w:pPr>
        <w:spacing w:after="0" w:line="102" w:lineRule="exact"/>
        <w:rPr>
          <w:sz w:val="20"/>
          <w:szCs w:val="20"/>
          <w:color w:val="auto"/>
        </w:rPr>
      </w:pPr>
    </w:p>
    <w:p>
      <w:pPr>
        <w:ind w:left="580" w:right="280"/>
        <w:spacing w:after="0" w:line="243" w:lineRule="auto"/>
        <w:rPr>
          <w:sz w:val="20"/>
          <w:szCs w:val="20"/>
          <w:color w:val="auto"/>
        </w:rPr>
      </w:pPr>
      <w:r>
        <w:rPr>
          <w:rFonts w:ascii="Arial" w:cs="Arial" w:eastAsia="Arial" w:hAnsi="Arial"/>
          <w:sz w:val="17"/>
          <w:szCs w:val="17"/>
          <w:color w:val="auto"/>
        </w:rPr>
        <w:t>duty to act in good faith in what the director or officer believes to be in the best interests of the company as a whole;</w:t>
      </w:r>
    </w:p>
    <w:p>
      <w:pPr>
        <w:spacing w:after="0" w:line="90" w:lineRule="exact"/>
        <w:rPr>
          <w:sz w:val="20"/>
          <w:szCs w:val="20"/>
          <w:color w:val="auto"/>
        </w:rPr>
      </w:pPr>
    </w:p>
    <w:p>
      <w:pPr>
        <w:ind w:left="580" w:right="680"/>
        <w:spacing w:after="0" w:line="243" w:lineRule="auto"/>
        <w:rPr>
          <w:sz w:val="20"/>
          <w:szCs w:val="20"/>
          <w:color w:val="auto"/>
        </w:rPr>
      </w:pPr>
      <w:r>
        <w:rPr>
          <w:rFonts w:ascii="Arial" w:cs="Arial" w:eastAsia="Arial" w:hAnsi="Arial"/>
          <w:sz w:val="17"/>
          <w:szCs w:val="17"/>
          <w:color w:val="auto"/>
        </w:rPr>
        <w:t>duty to exercise powers for the purposes for which those powers were conferred and not for a collateral purpose;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directors should not improperly fetter the exercise of future discretion;</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duty to exercise powers fairly as between different sections of shareholders;</w:t>
      </w:r>
    </w:p>
    <w:p>
      <w:pPr>
        <w:spacing w:after="0" w:line="102" w:lineRule="exact"/>
        <w:rPr>
          <w:sz w:val="20"/>
          <w:szCs w:val="20"/>
          <w:color w:val="auto"/>
        </w:rPr>
      </w:pPr>
    </w:p>
    <w:p>
      <w:pPr>
        <w:ind w:left="580" w:right="160"/>
        <w:spacing w:after="0" w:line="243" w:lineRule="auto"/>
        <w:rPr>
          <w:sz w:val="20"/>
          <w:szCs w:val="20"/>
          <w:color w:val="auto"/>
        </w:rPr>
      </w:pPr>
      <w:r>
        <w:rPr>
          <w:rFonts w:ascii="Arial" w:cs="Arial" w:eastAsia="Arial" w:hAnsi="Arial"/>
          <w:sz w:val="17"/>
          <w:szCs w:val="17"/>
          <w:color w:val="auto"/>
        </w:rPr>
        <w:t>duty not to put themselves in a position in which there is a conflict between their duty to the company and their personal interests; and</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duty to exercise independent judgment.</w:t>
      </w:r>
    </w:p>
    <w:p>
      <w:pPr>
        <w:spacing w:after="0" w:line="15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6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there is full disclosure by the directors. This can be done by way of permission granted in the amended and restated memorandum and articles of association or alternatively by shareholder approval at shareholder meetings.</w:t>
      </w:r>
    </w:p>
    <w:p>
      <w:pPr>
        <w:spacing w:after="0" w:line="163"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including entities that are affiliates of our sponsor, pursuant to which such</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61"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Below is a table summarizing the entities to which our executive officers and directors currently have fiduciary duties, contractual obligations or other material management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7607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2040" w:type="dxa"/>
            <w:vAlign w:val="bottom"/>
          </w:tcPr>
          <w:p>
            <w:pPr>
              <w:ind w:left="760"/>
              <w:spacing w:after="0"/>
              <w:rPr>
                <w:sz w:val="20"/>
                <w:szCs w:val="20"/>
                <w:color w:val="auto"/>
              </w:rPr>
            </w:pPr>
            <w:r>
              <w:rPr>
                <w:rFonts w:ascii="Arial" w:cs="Arial" w:eastAsia="Arial" w:hAnsi="Arial"/>
                <w:sz w:val="14"/>
                <w:szCs w:val="14"/>
                <w:b w:val="1"/>
                <w:bCs w:val="1"/>
                <w:color w:val="auto"/>
              </w:rPr>
              <w:t>ENTITY</w:t>
            </w:r>
          </w:p>
        </w:tc>
        <w:tc>
          <w:tcPr>
            <w:tcW w:w="400" w:type="dxa"/>
            <w:vAlign w:val="bottom"/>
          </w:tcPr>
          <w:p>
            <w:pPr>
              <w:spacing w:after="0"/>
              <w:rPr>
                <w:sz w:val="16"/>
                <w:szCs w:val="16"/>
                <w:color w:val="auto"/>
              </w:rPr>
            </w:pPr>
          </w:p>
        </w:tc>
        <w:tc>
          <w:tcPr>
            <w:tcW w:w="2440" w:type="dxa"/>
            <w:vAlign w:val="bottom"/>
            <w:gridSpan w:val="2"/>
          </w:tcPr>
          <w:p>
            <w:pPr>
              <w:ind w:left="320"/>
              <w:spacing w:after="0"/>
              <w:rPr>
                <w:sz w:val="20"/>
                <w:szCs w:val="20"/>
                <w:color w:val="auto"/>
              </w:rPr>
            </w:pPr>
            <w:r>
              <w:rPr>
                <w:rFonts w:ascii="Arial" w:cs="Arial" w:eastAsia="Arial" w:hAnsi="Arial"/>
                <w:sz w:val="14"/>
                <w:szCs w:val="14"/>
                <w:b w:val="1"/>
                <w:bCs w:val="1"/>
                <w:color w:val="auto"/>
              </w:rPr>
              <w:t>ENTITY’S BUSINESS</w:t>
            </w:r>
          </w:p>
        </w:tc>
        <w:tc>
          <w:tcPr>
            <w:tcW w:w="2060" w:type="dxa"/>
            <w:vAlign w:val="bottom"/>
          </w:tcPr>
          <w:p>
            <w:pPr>
              <w:ind w:left="600"/>
              <w:spacing w:after="0"/>
              <w:rPr>
                <w:sz w:val="20"/>
                <w:szCs w:val="20"/>
                <w:color w:val="auto"/>
              </w:rPr>
            </w:pPr>
            <w:r>
              <w:rPr>
                <w:rFonts w:ascii="Arial" w:cs="Arial" w:eastAsia="Arial" w:hAnsi="Arial"/>
                <w:sz w:val="14"/>
                <w:szCs w:val="14"/>
                <w:b w:val="1"/>
                <w:bCs w:val="1"/>
                <w:color w:val="auto"/>
              </w:rPr>
              <w:t>AFFILIATION</w:t>
            </w:r>
          </w:p>
        </w:tc>
      </w:tr>
      <w:tr>
        <w:trPr>
          <w:trHeight w:val="53"/>
        </w:trPr>
        <w:tc>
          <w:tcPr>
            <w:tcW w:w="174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r>
      <w:tr>
        <w:trPr>
          <w:trHeight w:val="244"/>
        </w:trPr>
        <w:tc>
          <w:tcPr>
            <w:tcW w:w="2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Edelman</w:t>
            </w:r>
          </w:p>
        </w:tc>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Perceptive Advisors, LLC</w:t>
            </w:r>
          </w:p>
        </w:tc>
        <w:tc>
          <w:tcPr>
            <w:tcW w:w="284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Hedge Fund</w:t>
            </w:r>
          </w:p>
        </w:tc>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Chief Executive Officer</w:t>
            </w:r>
          </w:p>
        </w:tc>
      </w:tr>
      <w:tr>
        <w:trPr>
          <w:trHeight w:val="189"/>
        </w:trPr>
        <w:tc>
          <w:tcPr>
            <w:tcW w:w="1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ARYA Sciences</w:t>
            </w:r>
          </w:p>
        </w:tc>
        <w:tc>
          <w:tcPr>
            <w:tcW w:w="2840" w:type="dxa"/>
            <w:vAlign w:val="bottom"/>
            <w:gridSpan w:val="3"/>
            <w:shd w:val="clear" w:color="auto" w:fill="CCEEFF"/>
          </w:tcPr>
          <w:p>
            <w:pPr>
              <w:ind w:left="400"/>
              <w:spacing w:after="0" w:line="189" w:lineRule="exact"/>
              <w:rPr>
                <w:sz w:val="20"/>
                <w:szCs w:val="20"/>
                <w:color w:val="auto"/>
              </w:rPr>
            </w:pPr>
            <w:r>
              <w:rPr>
                <w:rFonts w:ascii="Arial" w:cs="Arial" w:eastAsia="Arial" w:hAnsi="Arial"/>
                <w:sz w:val="17"/>
                <w:szCs w:val="17"/>
                <w:color w:val="auto"/>
              </w:rPr>
              <w:t>Special Purpose</w:t>
            </w:r>
          </w:p>
        </w:tc>
        <w:tc>
          <w:tcPr>
            <w:tcW w:w="2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and Portfolio Manager</w:t>
            </w:r>
          </w:p>
        </w:tc>
      </w:tr>
      <w:tr>
        <w:trPr>
          <w:trHeight w:val="216"/>
        </w:trPr>
        <w:tc>
          <w:tcPr>
            <w:tcW w:w="17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Acquisition Corp II</w:t>
            </w:r>
          </w:p>
        </w:tc>
        <w:tc>
          <w:tcPr>
            <w:tcW w:w="284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7"/>
                <w:szCs w:val="17"/>
                <w:color w:val="auto"/>
              </w:rPr>
              <w:t>Acquisition Company</w:t>
            </w: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Chairman</w:t>
            </w:r>
          </w:p>
        </w:tc>
      </w:tr>
      <w:tr>
        <w:trPr>
          <w:trHeight w:val="223"/>
        </w:trPr>
        <w:tc>
          <w:tcPr>
            <w:tcW w:w="2140" w:type="dxa"/>
            <w:vAlign w:val="bottom"/>
            <w:gridSpan w:val="2"/>
          </w:tcPr>
          <w:p>
            <w:pPr>
              <w:spacing w:after="0"/>
              <w:rPr>
                <w:sz w:val="20"/>
                <w:szCs w:val="20"/>
                <w:color w:val="auto"/>
              </w:rPr>
            </w:pPr>
            <w:r>
              <w:rPr>
                <w:rFonts w:ascii="Arial" w:cs="Arial" w:eastAsia="Arial" w:hAnsi="Arial"/>
                <w:sz w:val="17"/>
                <w:szCs w:val="17"/>
                <w:color w:val="auto"/>
              </w:rPr>
              <w:t>Adam Stone</w:t>
            </w:r>
          </w:p>
        </w:tc>
        <w:tc>
          <w:tcPr>
            <w:tcW w:w="2040" w:type="dxa"/>
            <w:vAlign w:val="bottom"/>
          </w:tcPr>
          <w:p>
            <w:pPr>
              <w:spacing w:after="0"/>
              <w:rPr>
                <w:sz w:val="20"/>
                <w:szCs w:val="20"/>
                <w:color w:val="auto"/>
              </w:rPr>
            </w:pPr>
            <w:r>
              <w:rPr>
                <w:rFonts w:ascii="Arial" w:cs="Arial" w:eastAsia="Arial" w:hAnsi="Arial"/>
                <w:sz w:val="17"/>
                <w:szCs w:val="17"/>
                <w:color w:val="auto"/>
              </w:rPr>
              <w:t>Perceptive Advisors, LLC</w:t>
            </w:r>
          </w:p>
        </w:tc>
        <w:tc>
          <w:tcPr>
            <w:tcW w:w="2840" w:type="dxa"/>
            <w:vAlign w:val="bottom"/>
            <w:gridSpan w:val="3"/>
          </w:tcPr>
          <w:p>
            <w:pPr>
              <w:ind w:left="400"/>
              <w:spacing w:after="0"/>
              <w:rPr>
                <w:sz w:val="20"/>
                <w:szCs w:val="20"/>
                <w:color w:val="auto"/>
              </w:rPr>
            </w:pPr>
            <w:r>
              <w:rPr>
                <w:rFonts w:ascii="Arial" w:cs="Arial" w:eastAsia="Arial" w:hAnsi="Arial"/>
                <w:sz w:val="17"/>
                <w:szCs w:val="17"/>
                <w:color w:val="auto"/>
              </w:rPr>
              <w:t>Hedge Fund</w:t>
            </w:r>
          </w:p>
        </w:tc>
        <w:tc>
          <w:tcPr>
            <w:tcW w:w="2060" w:type="dxa"/>
            <w:vAlign w:val="bottom"/>
          </w:tcPr>
          <w:p>
            <w:pPr>
              <w:spacing w:after="0"/>
              <w:rPr>
                <w:sz w:val="20"/>
                <w:szCs w:val="20"/>
                <w:color w:val="auto"/>
              </w:rPr>
            </w:pPr>
            <w:r>
              <w:rPr>
                <w:rFonts w:ascii="Arial" w:cs="Arial" w:eastAsia="Arial" w:hAnsi="Arial"/>
                <w:sz w:val="17"/>
                <w:szCs w:val="17"/>
                <w:color w:val="auto"/>
              </w:rPr>
              <w:t>Chief Investment Officer</w:t>
            </w:r>
          </w:p>
        </w:tc>
      </w:tr>
      <w:tr>
        <w:trPr>
          <w:trHeight w:val="189"/>
        </w:trPr>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Solid Biosciences</w:t>
            </w:r>
          </w:p>
        </w:tc>
        <w:tc>
          <w:tcPr>
            <w:tcW w:w="2840" w:type="dxa"/>
            <w:vAlign w:val="bottom"/>
            <w:gridSpan w:val="3"/>
          </w:tcPr>
          <w:p>
            <w:pPr>
              <w:ind w:left="400"/>
              <w:spacing w:after="0" w:line="189" w:lineRule="exact"/>
              <w:rPr>
                <w:sz w:val="20"/>
                <w:szCs w:val="20"/>
                <w:color w:val="auto"/>
              </w:rPr>
            </w:pPr>
            <w:r>
              <w:rPr>
                <w:rFonts w:ascii="Arial" w:cs="Arial" w:eastAsia="Arial" w:hAnsi="Arial"/>
                <w:sz w:val="17"/>
                <w:szCs w:val="17"/>
                <w:color w:val="auto"/>
              </w:rPr>
              <w:t>Pharmaceuticals</w:t>
            </w:r>
          </w:p>
        </w:tc>
        <w:tc>
          <w:tcPr>
            <w:tcW w:w="2060" w:type="dxa"/>
            <w:vAlign w:val="bottom"/>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Renovia</w:t>
            </w:r>
          </w:p>
        </w:tc>
        <w:tc>
          <w:tcPr>
            <w:tcW w:w="2840" w:type="dxa"/>
            <w:vAlign w:val="bottom"/>
            <w:gridSpan w:val="3"/>
          </w:tcPr>
          <w:p>
            <w:pPr>
              <w:ind w:left="400"/>
              <w:spacing w:after="0" w:line="189" w:lineRule="exact"/>
              <w:rPr>
                <w:sz w:val="20"/>
                <w:szCs w:val="20"/>
                <w:color w:val="auto"/>
              </w:rPr>
            </w:pPr>
            <w:r>
              <w:rPr>
                <w:rFonts w:ascii="Arial" w:cs="Arial" w:eastAsia="Arial" w:hAnsi="Arial"/>
                <w:sz w:val="17"/>
                <w:szCs w:val="17"/>
                <w:color w:val="auto"/>
              </w:rPr>
              <w:t>Healthcare</w:t>
            </w:r>
          </w:p>
        </w:tc>
        <w:tc>
          <w:tcPr>
            <w:tcW w:w="2060" w:type="dxa"/>
            <w:vAlign w:val="bottom"/>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Xontogeny</w:t>
            </w:r>
          </w:p>
        </w:tc>
        <w:tc>
          <w:tcPr>
            <w:tcW w:w="2840" w:type="dxa"/>
            <w:vAlign w:val="bottom"/>
            <w:gridSpan w:val="3"/>
          </w:tcPr>
          <w:p>
            <w:pPr>
              <w:ind w:left="400"/>
              <w:spacing w:after="0" w:line="189" w:lineRule="exact"/>
              <w:rPr>
                <w:sz w:val="20"/>
                <w:szCs w:val="20"/>
                <w:color w:val="auto"/>
              </w:rPr>
            </w:pPr>
            <w:r>
              <w:rPr>
                <w:rFonts w:ascii="Arial" w:cs="Arial" w:eastAsia="Arial" w:hAnsi="Arial"/>
                <w:sz w:val="17"/>
                <w:szCs w:val="17"/>
                <w:color w:val="auto"/>
              </w:rPr>
              <w:t>Biotechnology</w:t>
            </w:r>
          </w:p>
        </w:tc>
        <w:tc>
          <w:tcPr>
            <w:tcW w:w="2060" w:type="dxa"/>
            <w:vAlign w:val="bottom"/>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Immatics N.V.</w:t>
            </w:r>
          </w:p>
        </w:tc>
        <w:tc>
          <w:tcPr>
            <w:tcW w:w="2840" w:type="dxa"/>
            <w:vAlign w:val="bottom"/>
            <w:gridSpan w:val="3"/>
          </w:tcPr>
          <w:p>
            <w:pPr>
              <w:ind w:left="400"/>
              <w:spacing w:after="0" w:line="189" w:lineRule="exact"/>
              <w:rPr>
                <w:sz w:val="20"/>
                <w:szCs w:val="20"/>
                <w:color w:val="auto"/>
              </w:rPr>
            </w:pPr>
            <w:r>
              <w:rPr>
                <w:rFonts w:ascii="Arial" w:cs="Arial" w:eastAsia="Arial" w:hAnsi="Arial"/>
                <w:sz w:val="17"/>
                <w:szCs w:val="17"/>
                <w:color w:val="auto"/>
              </w:rPr>
              <w:t>Biotechnology</w:t>
            </w:r>
          </w:p>
        </w:tc>
        <w:tc>
          <w:tcPr>
            <w:tcW w:w="2060" w:type="dxa"/>
            <w:vAlign w:val="bottom"/>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ARYA Sciences</w:t>
            </w:r>
          </w:p>
        </w:tc>
        <w:tc>
          <w:tcPr>
            <w:tcW w:w="2840" w:type="dxa"/>
            <w:vAlign w:val="bottom"/>
            <w:gridSpan w:val="3"/>
          </w:tcPr>
          <w:p>
            <w:pPr>
              <w:ind w:left="400"/>
              <w:spacing w:after="0" w:line="189" w:lineRule="exact"/>
              <w:rPr>
                <w:sz w:val="20"/>
                <w:szCs w:val="20"/>
                <w:color w:val="auto"/>
              </w:rPr>
            </w:pPr>
            <w:r>
              <w:rPr>
                <w:rFonts w:ascii="Arial" w:cs="Arial" w:eastAsia="Arial" w:hAnsi="Arial"/>
                <w:sz w:val="17"/>
                <w:szCs w:val="17"/>
                <w:color w:val="auto"/>
              </w:rPr>
              <w:t>Special Purpose</w:t>
            </w:r>
          </w:p>
        </w:tc>
        <w:tc>
          <w:tcPr>
            <w:tcW w:w="2060" w:type="dxa"/>
            <w:vAlign w:val="bottom"/>
          </w:tcPr>
          <w:p>
            <w:pPr>
              <w:spacing w:after="0" w:line="189" w:lineRule="exact"/>
              <w:rPr>
                <w:sz w:val="20"/>
                <w:szCs w:val="20"/>
                <w:color w:val="auto"/>
              </w:rPr>
            </w:pPr>
            <w:r>
              <w:rPr>
                <w:rFonts w:ascii="Arial" w:cs="Arial" w:eastAsia="Arial" w:hAnsi="Arial"/>
                <w:sz w:val="17"/>
                <w:szCs w:val="17"/>
                <w:color w:val="auto"/>
              </w:rPr>
              <w:t>Chief Executive Officer</w:t>
            </w:r>
          </w:p>
        </w:tc>
      </w:tr>
      <w:tr>
        <w:trPr>
          <w:trHeight w:val="205"/>
        </w:trPr>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7"/>
                <w:szCs w:val="17"/>
                <w:color w:val="auto"/>
              </w:rPr>
              <w:t>Acquisition Corp II</w:t>
            </w:r>
          </w:p>
        </w:tc>
        <w:tc>
          <w:tcPr>
            <w:tcW w:w="2840" w:type="dxa"/>
            <w:vAlign w:val="bottom"/>
            <w:gridSpan w:val="3"/>
          </w:tcPr>
          <w:p>
            <w:pPr>
              <w:ind w:left="400"/>
              <w:spacing w:after="0"/>
              <w:rPr>
                <w:sz w:val="20"/>
                <w:szCs w:val="20"/>
                <w:color w:val="auto"/>
              </w:rPr>
            </w:pPr>
            <w:r>
              <w:rPr>
                <w:rFonts w:ascii="Arial" w:cs="Arial" w:eastAsia="Arial" w:hAnsi="Arial"/>
                <w:sz w:val="17"/>
                <w:szCs w:val="17"/>
                <w:color w:val="auto"/>
              </w:rPr>
              <w:t>Acquisition Company</w:t>
            </w:r>
          </w:p>
        </w:tc>
        <w:tc>
          <w:tcPr>
            <w:tcW w:w="2060" w:type="dxa"/>
            <w:vAlign w:val="bottom"/>
          </w:tcPr>
          <w:p>
            <w:pPr>
              <w:spacing w:after="0"/>
              <w:rPr>
                <w:sz w:val="20"/>
                <w:szCs w:val="20"/>
                <w:color w:val="auto"/>
              </w:rPr>
            </w:pPr>
            <w:r>
              <w:rPr>
                <w:rFonts w:ascii="Arial" w:cs="Arial" w:eastAsia="Arial" w:hAnsi="Arial"/>
                <w:sz w:val="17"/>
                <w:szCs w:val="17"/>
                <w:color w:val="auto"/>
              </w:rPr>
              <w:t>and Director</w:t>
            </w:r>
          </w:p>
        </w:tc>
      </w:tr>
      <w:tr>
        <w:trPr>
          <w:trHeight w:val="31"/>
        </w:trPr>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3"/>
        </w:trPr>
        <w:tc>
          <w:tcPr>
            <w:tcW w:w="2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Michael Altman</w:t>
            </w:r>
          </w:p>
        </w:tc>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Perceptive Advisors, LLC</w:t>
            </w:r>
          </w:p>
        </w:tc>
        <w:tc>
          <w:tcPr>
            <w:tcW w:w="284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Hedge Fund</w:t>
            </w:r>
          </w:p>
        </w:tc>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Managing Director</w:t>
            </w:r>
          </w:p>
        </w:tc>
      </w:tr>
      <w:tr>
        <w:trPr>
          <w:trHeight w:val="189"/>
        </w:trPr>
        <w:tc>
          <w:tcPr>
            <w:tcW w:w="1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Vitruvius Therapeutics</w:t>
            </w:r>
          </w:p>
        </w:tc>
        <w:tc>
          <w:tcPr>
            <w:tcW w:w="2840" w:type="dxa"/>
            <w:vAlign w:val="bottom"/>
            <w:gridSpan w:val="3"/>
            <w:shd w:val="clear" w:color="auto" w:fill="CCEEFF"/>
          </w:tcPr>
          <w:p>
            <w:pPr>
              <w:ind w:left="400"/>
              <w:spacing w:after="0" w:line="189" w:lineRule="exact"/>
              <w:rPr>
                <w:sz w:val="20"/>
                <w:szCs w:val="20"/>
                <w:color w:val="auto"/>
              </w:rPr>
            </w:pPr>
            <w:r>
              <w:rPr>
                <w:rFonts w:ascii="Arial" w:cs="Arial" w:eastAsia="Arial" w:hAnsi="Arial"/>
                <w:sz w:val="17"/>
                <w:szCs w:val="17"/>
                <w:color w:val="auto"/>
              </w:rPr>
              <w:t>Pharmaceuticals</w:t>
            </w:r>
          </w:p>
        </w:tc>
        <w:tc>
          <w:tcPr>
            <w:tcW w:w="2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1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Lyra Therapeutics</w:t>
            </w:r>
          </w:p>
        </w:tc>
        <w:tc>
          <w:tcPr>
            <w:tcW w:w="2840" w:type="dxa"/>
            <w:vAlign w:val="bottom"/>
            <w:gridSpan w:val="3"/>
            <w:shd w:val="clear" w:color="auto" w:fill="CCEEFF"/>
          </w:tcPr>
          <w:p>
            <w:pPr>
              <w:ind w:left="400"/>
              <w:spacing w:after="0" w:line="189" w:lineRule="exact"/>
              <w:rPr>
                <w:sz w:val="20"/>
                <w:szCs w:val="20"/>
                <w:color w:val="auto"/>
              </w:rPr>
            </w:pPr>
            <w:r>
              <w:rPr>
                <w:rFonts w:ascii="Arial" w:cs="Arial" w:eastAsia="Arial" w:hAnsi="Arial"/>
                <w:sz w:val="17"/>
                <w:szCs w:val="17"/>
                <w:color w:val="auto"/>
              </w:rPr>
              <w:t>Healthcare</w:t>
            </w:r>
          </w:p>
        </w:tc>
        <w:tc>
          <w:tcPr>
            <w:tcW w:w="2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1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ARYA Sciences</w:t>
            </w:r>
          </w:p>
        </w:tc>
        <w:tc>
          <w:tcPr>
            <w:tcW w:w="2840" w:type="dxa"/>
            <w:vAlign w:val="bottom"/>
            <w:gridSpan w:val="3"/>
            <w:shd w:val="clear" w:color="auto" w:fill="CCEEFF"/>
          </w:tcPr>
          <w:p>
            <w:pPr>
              <w:ind w:left="400"/>
              <w:spacing w:after="0" w:line="189" w:lineRule="exact"/>
              <w:rPr>
                <w:sz w:val="20"/>
                <w:szCs w:val="20"/>
                <w:color w:val="auto"/>
              </w:rPr>
            </w:pPr>
            <w:r>
              <w:rPr>
                <w:rFonts w:ascii="Arial" w:cs="Arial" w:eastAsia="Arial" w:hAnsi="Arial"/>
                <w:sz w:val="17"/>
                <w:szCs w:val="17"/>
                <w:color w:val="auto"/>
              </w:rPr>
              <w:t>Special Purpose</w:t>
            </w:r>
          </w:p>
        </w:tc>
        <w:tc>
          <w:tcPr>
            <w:tcW w:w="2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Chief Financial Officer and</w:t>
            </w:r>
          </w:p>
        </w:tc>
      </w:tr>
      <w:tr>
        <w:trPr>
          <w:trHeight w:val="216"/>
        </w:trPr>
        <w:tc>
          <w:tcPr>
            <w:tcW w:w="17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Acquisition Corp II</w:t>
            </w:r>
          </w:p>
        </w:tc>
        <w:tc>
          <w:tcPr>
            <w:tcW w:w="284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7"/>
                <w:szCs w:val="17"/>
                <w:color w:val="auto"/>
              </w:rPr>
              <w:t>Acquisition Company</w:t>
            </w: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23"/>
        </w:trPr>
        <w:tc>
          <w:tcPr>
            <w:tcW w:w="2140" w:type="dxa"/>
            <w:vAlign w:val="bottom"/>
            <w:gridSpan w:val="2"/>
          </w:tcPr>
          <w:p>
            <w:pPr>
              <w:spacing w:after="0"/>
              <w:rPr>
                <w:sz w:val="20"/>
                <w:szCs w:val="20"/>
                <w:color w:val="auto"/>
              </w:rPr>
            </w:pPr>
            <w:r>
              <w:rPr>
                <w:rFonts w:ascii="Arial" w:cs="Arial" w:eastAsia="Arial" w:hAnsi="Arial"/>
                <w:sz w:val="17"/>
                <w:szCs w:val="17"/>
                <w:color w:val="auto"/>
              </w:rPr>
              <w:t>Konstantin Poukalov</w:t>
            </w:r>
          </w:p>
        </w:tc>
        <w:tc>
          <w:tcPr>
            <w:tcW w:w="2040" w:type="dxa"/>
            <w:vAlign w:val="bottom"/>
          </w:tcPr>
          <w:p>
            <w:pPr>
              <w:spacing w:after="0"/>
              <w:rPr>
                <w:sz w:val="20"/>
                <w:szCs w:val="20"/>
                <w:color w:val="auto"/>
              </w:rPr>
            </w:pPr>
            <w:r>
              <w:rPr>
                <w:rFonts w:ascii="Arial" w:cs="Arial" w:eastAsia="Arial" w:hAnsi="Arial"/>
                <w:sz w:val="17"/>
                <w:szCs w:val="17"/>
                <w:color w:val="auto"/>
              </w:rPr>
              <w:t>Perceptive Advisors, LLC</w:t>
            </w:r>
          </w:p>
        </w:tc>
        <w:tc>
          <w:tcPr>
            <w:tcW w:w="2840" w:type="dxa"/>
            <w:vAlign w:val="bottom"/>
            <w:gridSpan w:val="3"/>
          </w:tcPr>
          <w:p>
            <w:pPr>
              <w:ind w:left="400"/>
              <w:spacing w:after="0"/>
              <w:rPr>
                <w:sz w:val="20"/>
                <w:szCs w:val="20"/>
                <w:color w:val="auto"/>
              </w:rPr>
            </w:pPr>
            <w:r>
              <w:rPr>
                <w:rFonts w:ascii="Arial" w:cs="Arial" w:eastAsia="Arial" w:hAnsi="Arial"/>
                <w:sz w:val="17"/>
                <w:szCs w:val="17"/>
                <w:color w:val="auto"/>
              </w:rPr>
              <w:t>Hedge Fund</w:t>
            </w:r>
          </w:p>
        </w:tc>
        <w:tc>
          <w:tcPr>
            <w:tcW w:w="2060" w:type="dxa"/>
            <w:vAlign w:val="bottom"/>
          </w:tcPr>
          <w:p>
            <w:pPr>
              <w:spacing w:after="0"/>
              <w:rPr>
                <w:sz w:val="20"/>
                <w:szCs w:val="20"/>
                <w:color w:val="auto"/>
              </w:rPr>
            </w:pPr>
            <w:r>
              <w:rPr>
                <w:rFonts w:ascii="Arial" w:cs="Arial" w:eastAsia="Arial" w:hAnsi="Arial"/>
                <w:sz w:val="17"/>
                <w:szCs w:val="17"/>
                <w:color w:val="auto"/>
              </w:rPr>
              <w:t>Managing Director</w:t>
            </w:r>
          </w:p>
        </w:tc>
      </w:tr>
      <w:tr>
        <w:trPr>
          <w:trHeight w:val="189"/>
        </w:trPr>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Lyra Therapeutics</w:t>
            </w:r>
          </w:p>
        </w:tc>
        <w:tc>
          <w:tcPr>
            <w:tcW w:w="2840" w:type="dxa"/>
            <w:vAlign w:val="bottom"/>
            <w:gridSpan w:val="3"/>
          </w:tcPr>
          <w:p>
            <w:pPr>
              <w:ind w:left="400"/>
              <w:spacing w:after="0" w:line="189" w:lineRule="exact"/>
              <w:rPr>
                <w:sz w:val="20"/>
                <w:szCs w:val="20"/>
                <w:color w:val="auto"/>
              </w:rPr>
            </w:pPr>
            <w:r>
              <w:rPr>
                <w:rFonts w:ascii="Arial" w:cs="Arial" w:eastAsia="Arial" w:hAnsi="Arial"/>
                <w:sz w:val="17"/>
                <w:szCs w:val="17"/>
                <w:color w:val="auto"/>
              </w:rPr>
              <w:t>Healthcare</w:t>
            </w:r>
          </w:p>
        </w:tc>
        <w:tc>
          <w:tcPr>
            <w:tcW w:w="2060" w:type="dxa"/>
            <w:vAlign w:val="bottom"/>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Landos Biopharma, Inc.</w:t>
            </w:r>
          </w:p>
        </w:tc>
        <w:tc>
          <w:tcPr>
            <w:tcW w:w="2840" w:type="dxa"/>
            <w:vAlign w:val="bottom"/>
            <w:gridSpan w:val="3"/>
          </w:tcPr>
          <w:p>
            <w:pPr>
              <w:ind w:left="400"/>
              <w:spacing w:after="0" w:line="189" w:lineRule="exact"/>
              <w:rPr>
                <w:sz w:val="20"/>
                <w:szCs w:val="20"/>
                <w:color w:val="auto"/>
              </w:rPr>
            </w:pPr>
            <w:r>
              <w:rPr>
                <w:rFonts w:ascii="Arial" w:cs="Arial" w:eastAsia="Arial" w:hAnsi="Arial"/>
                <w:sz w:val="17"/>
                <w:szCs w:val="17"/>
                <w:color w:val="auto"/>
              </w:rPr>
              <w:t>Healthcare</w:t>
            </w:r>
          </w:p>
        </w:tc>
        <w:tc>
          <w:tcPr>
            <w:tcW w:w="2060" w:type="dxa"/>
            <w:vAlign w:val="bottom"/>
          </w:tcPr>
          <w:p>
            <w:pPr>
              <w:spacing w:after="0" w:line="189" w:lineRule="exact"/>
              <w:rPr>
                <w:sz w:val="20"/>
                <w:szCs w:val="20"/>
                <w:color w:val="auto"/>
              </w:rPr>
            </w:pPr>
            <w:r>
              <w:rPr>
                <w:rFonts w:ascii="Arial" w:cs="Arial" w:eastAsia="Arial" w:hAnsi="Arial"/>
                <w:sz w:val="17"/>
                <w:szCs w:val="17"/>
                <w:color w:val="auto"/>
              </w:rPr>
              <w:t>Director</w:t>
            </w:r>
          </w:p>
        </w:tc>
      </w:tr>
      <w:tr>
        <w:trPr>
          <w:trHeight w:val="205"/>
        </w:trPr>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7"/>
                <w:szCs w:val="17"/>
                <w:color w:val="auto"/>
              </w:rPr>
              <w:t>LianBio</w:t>
            </w:r>
          </w:p>
        </w:tc>
        <w:tc>
          <w:tcPr>
            <w:tcW w:w="2840" w:type="dxa"/>
            <w:vAlign w:val="bottom"/>
            <w:gridSpan w:val="3"/>
          </w:tcPr>
          <w:p>
            <w:pPr>
              <w:ind w:left="400"/>
              <w:spacing w:after="0"/>
              <w:rPr>
                <w:sz w:val="20"/>
                <w:szCs w:val="20"/>
                <w:color w:val="auto"/>
              </w:rPr>
            </w:pPr>
            <w:r>
              <w:rPr>
                <w:rFonts w:ascii="Arial" w:cs="Arial" w:eastAsia="Arial" w:hAnsi="Arial"/>
                <w:sz w:val="17"/>
                <w:szCs w:val="17"/>
                <w:color w:val="auto"/>
              </w:rPr>
              <w:t>Healthcare</w:t>
            </w:r>
          </w:p>
        </w:tc>
        <w:tc>
          <w:tcPr>
            <w:tcW w:w="2060" w:type="dxa"/>
            <w:vAlign w:val="bottom"/>
          </w:tcPr>
          <w:p>
            <w:pPr>
              <w:spacing w:after="0"/>
              <w:rPr>
                <w:sz w:val="20"/>
                <w:szCs w:val="20"/>
                <w:color w:val="auto"/>
              </w:rPr>
            </w:pPr>
            <w:r>
              <w:rPr>
                <w:rFonts w:ascii="Arial" w:cs="Arial" w:eastAsia="Arial" w:hAnsi="Arial"/>
                <w:sz w:val="17"/>
                <w:szCs w:val="17"/>
                <w:color w:val="auto"/>
              </w:rPr>
              <w:t>Director</w:t>
            </w:r>
          </w:p>
        </w:tc>
      </w:tr>
      <w:tr>
        <w:trPr>
          <w:trHeight w:val="31"/>
        </w:trPr>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2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Todd Wider</w:t>
            </w: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Abeona Therapeutics, Inc.</w:t>
            </w:r>
          </w:p>
        </w:tc>
        <w:tc>
          <w:tcPr>
            <w:tcW w:w="284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7"/>
                <w:szCs w:val="17"/>
                <w:color w:val="auto"/>
              </w:rPr>
              <w:t>Pharmaceuticals</w:t>
            </w: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39"/>
        </w:trPr>
        <w:tc>
          <w:tcPr>
            <w:tcW w:w="1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Arial" w:cs="Arial" w:eastAsia="Arial" w:hAnsi="Arial"/>
                <w:sz w:val="17"/>
                <w:szCs w:val="17"/>
                <w:color w:val="auto"/>
              </w:rPr>
              <w:t>Emendo Biotherapeutics</w:t>
            </w:r>
          </w:p>
        </w:tc>
        <w:tc>
          <w:tcPr>
            <w:tcW w:w="2840" w:type="dxa"/>
            <w:vAlign w:val="bottom"/>
            <w:gridSpan w:val="3"/>
          </w:tcPr>
          <w:p>
            <w:pPr>
              <w:ind w:left="400"/>
              <w:spacing w:after="0"/>
              <w:rPr>
                <w:sz w:val="20"/>
                <w:szCs w:val="20"/>
                <w:color w:val="auto"/>
              </w:rPr>
            </w:pPr>
            <w:r>
              <w:rPr>
                <w:rFonts w:ascii="Arial" w:cs="Arial" w:eastAsia="Arial" w:hAnsi="Arial"/>
                <w:sz w:val="17"/>
                <w:szCs w:val="17"/>
                <w:color w:val="auto"/>
              </w:rPr>
              <w:t>Biopharmaceuticals</w:t>
            </w:r>
          </w:p>
        </w:tc>
        <w:tc>
          <w:tcPr>
            <w:tcW w:w="2060" w:type="dxa"/>
            <w:vAlign w:val="bottom"/>
          </w:tcPr>
          <w:p>
            <w:pPr>
              <w:spacing w:after="0"/>
              <w:rPr>
                <w:sz w:val="20"/>
                <w:szCs w:val="20"/>
                <w:color w:val="auto"/>
              </w:rPr>
            </w:pPr>
            <w:r>
              <w:rPr>
                <w:rFonts w:ascii="Arial" w:cs="Arial" w:eastAsia="Arial" w:hAnsi="Arial"/>
                <w:sz w:val="17"/>
                <w:szCs w:val="17"/>
                <w:color w:val="auto"/>
              </w:rPr>
              <w:t>Director</w:t>
            </w:r>
          </w:p>
        </w:tc>
      </w:tr>
      <w:tr>
        <w:trPr>
          <w:trHeight w:val="31"/>
        </w:trPr>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3"/>
        </w:trPr>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ARYA Sciences</w:t>
            </w:r>
          </w:p>
        </w:tc>
        <w:tc>
          <w:tcPr>
            <w:tcW w:w="284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Special Purpose</w:t>
            </w:r>
          </w:p>
        </w:tc>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16"/>
        </w:trPr>
        <w:tc>
          <w:tcPr>
            <w:tcW w:w="17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Acquisition Corp II</w:t>
            </w:r>
          </w:p>
        </w:tc>
        <w:tc>
          <w:tcPr>
            <w:tcW w:w="284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7"/>
                <w:szCs w:val="17"/>
                <w:color w:val="auto"/>
              </w:rPr>
              <w:t>Acquisition Company</w:t>
            </w:r>
          </w:p>
        </w:tc>
        <w:tc>
          <w:tcPr>
            <w:tcW w:w="2060" w:type="dxa"/>
            <w:vAlign w:val="bottom"/>
            <w:tcBorders>
              <w:bottom w:val="single" w:sz="8" w:color="CCEEFF"/>
            </w:tcBorders>
            <w:shd w:val="clear" w:color="auto" w:fill="CCEEFF"/>
          </w:tcPr>
          <w:p>
            <w:pPr>
              <w:spacing w:after="0"/>
              <w:rPr>
                <w:sz w:val="18"/>
                <w:szCs w:val="18"/>
                <w:color w:val="auto"/>
              </w:rPr>
            </w:pPr>
          </w:p>
        </w:tc>
      </w:tr>
      <w:tr>
        <w:trPr>
          <w:trHeight w:val="239"/>
        </w:trPr>
        <w:tc>
          <w:tcPr>
            <w:tcW w:w="2140" w:type="dxa"/>
            <w:vAlign w:val="bottom"/>
            <w:gridSpan w:val="2"/>
          </w:tcPr>
          <w:p>
            <w:pPr>
              <w:spacing w:after="0"/>
              <w:rPr>
                <w:sz w:val="20"/>
                <w:szCs w:val="20"/>
                <w:color w:val="auto"/>
              </w:rPr>
            </w:pPr>
            <w:r>
              <w:rPr>
                <w:rFonts w:ascii="Arial" w:cs="Arial" w:eastAsia="Arial" w:hAnsi="Arial"/>
                <w:sz w:val="17"/>
                <w:szCs w:val="17"/>
                <w:color w:val="auto"/>
              </w:rPr>
              <w:t>Bradley L. Campbell</w:t>
            </w:r>
          </w:p>
        </w:tc>
        <w:tc>
          <w:tcPr>
            <w:tcW w:w="2040" w:type="dxa"/>
            <w:vAlign w:val="bottom"/>
          </w:tcPr>
          <w:p>
            <w:pPr>
              <w:spacing w:after="0"/>
              <w:rPr>
                <w:sz w:val="20"/>
                <w:szCs w:val="20"/>
                <w:color w:val="auto"/>
              </w:rPr>
            </w:pPr>
            <w:r>
              <w:rPr>
                <w:rFonts w:ascii="Arial" w:cs="Arial" w:eastAsia="Arial" w:hAnsi="Arial"/>
                <w:sz w:val="17"/>
                <w:szCs w:val="17"/>
                <w:color w:val="auto"/>
              </w:rPr>
              <w:t>Amicus Therapeutics, Inc.</w:t>
            </w:r>
          </w:p>
        </w:tc>
        <w:tc>
          <w:tcPr>
            <w:tcW w:w="2840" w:type="dxa"/>
            <w:vAlign w:val="bottom"/>
            <w:gridSpan w:val="3"/>
          </w:tcPr>
          <w:p>
            <w:pPr>
              <w:ind w:left="400"/>
              <w:spacing w:after="0"/>
              <w:rPr>
                <w:sz w:val="20"/>
                <w:szCs w:val="20"/>
                <w:color w:val="auto"/>
              </w:rPr>
            </w:pPr>
            <w:r>
              <w:rPr>
                <w:rFonts w:ascii="Arial" w:cs="Arial" w:eastAsia="Arial" w:hAnsi="Arial"/>
                <w:sz w:val="17"/>
                <w:szCs w:val="17"/>
                <w:color w:val="auto"/>
              </w:rPr>
              <w:t>Biotechnology</w:t>
            </w:r>
          </w:p>
        </w:tc>
        <w:tc>
          <w:tcPr>
            <w:tcW w:w="2060" w:type="dxa"/>
            <w:vAlign w:val="bottom"/>
          </w:tcPr>
          <w:p>
            <w:pPr>
              <w:spacing w:after="0"/>
              <w:rPr>
                <w:sz w:val="20"/>
                <w:szCs w:val="20"/>
                <w:color w:val="auto"/>
              </w:rPr>
            </w:pPr>
            <w:r>
              <w:rPr>
                <w:rFonts w:ascii="Arial" w:cs="Arial" w:eastAsia="Arial" w:hAnsi="Arial"/>
                <w:sz w:val="17"/>
                <w:szCs w:val="17"/>
                <w:color w:val="auto"/>
              </w:rPr>
              <w:t>Director</w:t>
            </w:r>
          </w:p>
        </w:tc>
      </w:tr>
      <w:tr>
        <w:trPr>
          <w:trHeight w:val="31"/>
        </w:trPr>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3"/>
        </w:trPr>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Alliance for Regenerative</w:t>
            </w:r>
          </w:p>
        </w:tc>
        <w:tc>
          <w:tcPr>
            <w:tcW w:w="284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Gene and Cell Therapy</w:t>
            </w:r>
          </w:p>
        </w:tc>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16"/>
        </w:trPr>
        <w:tc>
          <w:tcPr>
            <w:tcW w:w="17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Medicine (ARM)</w:t>
            </w:r>
          </w:p>
        </w:tc>
        <w:tc>
          <w:tcPr>
            <w:tcW w:w="284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7"/>
                <w:szCs w:val="17"/>
                <w:color w:val="auto"/>
              </w:rPr>
              <w:t>Trade Association</w:t>
            </w:r>
          </w:p>
        </w:tc>
        <w:tc>
          <w:tcPr>
            <w:tcW w:w="2060" w:type="dxa"/>
            <w:vAlign w:val="bottom"/>
            <w:tcBorders>
              <w:bottom w:val="single" w:sz="8" w:color="CCEEFF"/>
            </w:tcBorders>
            <w:shd w:val="clear" w:color="auto" w:fill="CCEEFF"/>
          </w:tcPr>
          <w:p>
            <w:pPr>
              <w:spacing w:after="0"/>
              <w:rPr>
                <w:sz w:val="18"/>
                <w:szCs w:val="18"/>
                <w:color w:val="auto"/>
              </w:rPr>
            </w:pPr>
          </w:p>
        </w:tc>
      </w:tr>
      <w:tr>
        <w:trPr>
          <w:trHeight w:val="223"/>
        </w:trPr>
        <w:tc>
          <w:tcPr>
            <w:tcW w:w="2140" w:type="dxa"/>
            <w:vAlign w:val="bottom"/>
            <w:gridSpan w:val="2"/>
          </w:tcPr>
          <w:p>
            <w:pPr>
              <w:spacing w:after="0"/>
              <w:rPr>
                <w:sz w:val="20"/>
                <w:szCs w:val="20"/>
                <w:color w:val="auto"/>
              </w:rPr>
            </w:pPr>
            <w:r>
              <w:rPr>
                <w:rFonts w:ascii="Arial" w:cs="Arial" w:eastAsia="Arial" w:hAnsi="Arial"/>
                <w:sz w:val="17"/>
                <w:szCs w:val="17"/>
                <w:color w:val="auto"/>
              </w:rPr>
              <w:t>Saqib Islam</w:t>
            </w:r>
          </w:p>
        </w:tc>
        <w:tc>
          <w:tcPr>
            <w:tcW w:w="2040" w:type="dxa"/>
            <w:vAlign w:val="bottom"/>
          </w:tcPr>
          <w:p>
            <w:pPr>
              <w:spacing w:after="0"/>
              <w:rPr>
                <w:sz w:val="20"/>
                <w:szCs w:val="20"/>
                <w:color w:val="auto"/>
              </w:rPr>
            </w:pPr>
            <w:r>
              <w:rPr>
                <w:rFonts w:ascii="Arial" w:cs="Arial" w:eastAsia="Arial" w:hAnsi="Arial"/>
                <w:sz w:val="17"/>
                <w:szCs w:val="17"/>
                <w:color w:val="auto"/>
              </w:rPr>
              <w:t>SpringWorks</w:t>
            </w:r>
          </w:p>
        </w:tc>
        <w:tc>
          <w:tcPr>
            <w:tcW w:w="2840" w:type="dxa"/>
            <w:vAlign w:val="bottom"/>
            <w:gridSpan w:val="3"/>
          </w:tcPr>
          <w:p>
            <w:pPr>
              <w:ind w:left="400"/>
              <w:spacing w:after="0"/>
              <w:rPr>
                <w:sz w:val="20"/>
                <w:szCs w:val="20"/>
                <w:color w:val="auto"/>
              </w:rPr>
            </w:pPr>
            <w:r>
              <w:rPr>
                <w:rFonts w:ascii="Arial" w:cs="Arial" w:eastAsia="Arial" w:hAnsi="Arial"/>
                <w:sz w:val="17"/>
                <w:szCs w:val="17"/>
                <w:color w:val="auto"/>
              </w:rPr>
              <w:t>Biopharmaceuticals</w:t>
            </w:r>
          </w:p>
        </w:tc>
        <w:tc>
          <w:tcPr>
            <w:tcW w:w="206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205"/>
        </w:trPr>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7"/>
                <w:szCs w:val="17"/>
                <w:color w:val="auto"/>
              </w:rPr>
              <w:t>Therapeutics, Inc.</w:t>
            </w:r>
          </w:p>
        </w:tc>
        <w:tc>
          <w:tcPr>
            <w:tcW w:w="4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7"/>
                <w:szCs w:val="17"/>
                <w:color w:val="auto"/>
              </w:rPr>
              <w:t>and Director</w:t>
            </w:r>
          </w:p>
        </w:tc>
      </w:tr>
      <w:tr>
        <w:trPr>
          <w:trHeight w:val="31"/>
        </w:trPr>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Passage Bio, Inc.</w:t>
            </w:r>
          </w:p>
        </w:tc>
        <w:tc>
          <w:tcPr>
            <w:tcW w:w="284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7"/>
                <w:szCs w:val="17"/>
                <w:color w:val="auto"/>
              </w:rPr>
              <w:t>Biopharmanceuticals</w:t>
            </w: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23"/>
        </w:trPr>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7"/>
                <w:szCs w:val="17"/>
                <w:color w:val="auto"/>
              </w:rPr>
              <w:t>Silverback Therapeutics</w:t>
            </w:r>
          </w:p>
        </w:tc>
        <w:tc>
          <w:tcPr>
            <w:tcW w:w="2840" w:type="dxa"/>
            <w:vAlign w:val="bottom"/>
            <w:gridSpan w:val="3"/>
          </w:tcPr>
          <w:p>
            <w:pPr>
              <w:ind w:left="400"/>
              <w:spacing w:after="0"/>
              <w:rPr>
                <w:sz w:val="20"/>
                <w:szCs w:val="20"/>
                <w:color w:val="auto"/>
              </w:rPr>
            </w:pPr>
            <w:r>
              <w:rPr>
                <w:rFonts w:ascii="Arial" w:cs="Arial" w:eastAsia="Arial" w:hAnsi="Arial"/>
                <w:sz w:val="17"/>
                <w:szCs w:val="17"/>
                <w:color w:val="auto"/>
              </w:rPr>
              <w:t>Biopharmaceuticals</w:t>
            </w:r>
          </w:p>
        </w:tc>
        <w:tc>
          <w:tcPr>
            <w:tcW w:w="2060" w:type="dxa"/>
            <w:vAlign w:val="bottom"/>
          </w:tcPr>
          <w:p>
            <w:pPr>
              <w:spacing w:after="0"/>
              <w:rPr>
                <w:sz w:val="20"/>
                <w:szCs w:val="20"/>
                <w:color w:val="auto"/>
              </w:rPr>
            </w:pPr>
            <w:r>
              <w:rPr>
                <w:rFonts w:ascii="Arial" w:cs="Arial" w:eastAsia="Arial" w:hAnsi="Arial"/>
                <w:sz w:val="17"/>
                <w:szCs w:val="17"/>
                <w:color w:val="auto"/>
              </w:rPr>
              <w:t>Director</w:t>
            </w:r>
          </w:p>
        </w:tc>
      </w:tr>
      <w:tr>
        <w:trPr>
          <w:trHeight w:val="195"/>
        </w:trPr>
        <w:tc>
          <w:tcPr>
            <w:tcW w:w="1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Inc.</w:t>
            </w: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-4345305</wp:posOffset>
            </wp:positionV>
            <wp:extent cx="2571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-4345305</wp:posOffset>
            </wp:positionV>
            <wp:extent cx="2571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-4345305</wp:posOffset>
            </wp:positionV>
            <wp:extent cx="2571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Potential investors should also be aware of the following other potential conflicts of interest:</w:t>
      </w:r>
    </w:p>
    <w:p>
      <w:pPr>
        <w:spacing w:after="0" w:line="102" w:lineRule="exact"/>
        <w:rPr>
          <w:sz w:val="20"/>
          <w:szCs w:val="20"/>
          <w:color w:val="auto"/>
        </w:rPr>
      </w:pPr>
    </w:p>
    <w:p>
      <w:pPr>
        <w:ind w:left="580" w:right="20"/>
        <w:spacing w:after="0" w:line="235" w:lineRule="auto"/>
        <w:rPr>
          <w:sz w:val="20"/>
          <w:szCs w:val="20"/>
          <w:color w:val="auto"/>
        </w:rPr>
      </w:pPr>
      <w:r>
        <w:rPr>
          <w:rFonts w:ascii="Arial" w:cs="Arial" w:eastAsia="Arial" w:hAnsi="Arial"/>
          <w:sz w:val="17"/>
          <w:szCs w:val="17"/>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94" w:lineRule="exact"/>
        <w:rPr>
          <w:sz w:val="20"/>
          <w:szCs w:val="20"/>
          <w:color w:val="auto"/>
        </w:rPr>
      </w:pPr>
    </w:p>
    <w:p>
      <w:pPr>
        <w:ind w:left="580"/>
        <w:spacing w:after="0" w:line="238" w:lineRule="auto"/>
        <w:rPr>
          <w:sz w:val="20"/>
          <w:szCs w:val="20"/>
          <w:color w:val="auto"/>
        </w:rPr>
      </w:pPr>
      <w:r>
        <w:rPr>
          <w:rFonts w:ascii="Arial" w:cs="Arial" w:eastAsia="Arial" w:hAnsi="Arial"/>
          <w:sz w:val="17"/>
          <w:szCs w:val="17"/>
          <w:color w:val="auto"/>
        </w:rPr>
        <w:t>Our sponsor subscribed for founder shares prior to the date of this prospectus and will purchase private placement shares in a transaction that will close simultaneously with the closing of this offering. In July 2020, our sponsor transferred 30,000 founder shares to each of Bradley L. Campbell, Saqib Islam and Todd Wider. Our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600"/>
        <w:spacing w:after="0" w:line="232" w:lineRule="auto"/>
        <w:rPr>
          <w:sz w:val="20"/>
          <w:szCs w:val="20"/>
          <w:color w:val="auto"/>
        </w:rPr>
      </w:pPr>
      <w:r>
        <w:rPr>
          <w:rFonts w:ascii="Arial" w:cs="Arial" w:eastAsia="Arial" w:hAnsi="Arial"/>
          <w:sz w:val="17"/>
          <w:szCs w:val="17"/>
          <w:color w:val="auto"/>
        </w:rPr>
        <w:t>sponsor and our management team have entered into an agreement with us, pursuant to which they have agreed to waive their 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Additionally, our sponsor has agreed to waive its rights to liquidating distributions from the trust account with respect to its founder shares if we fail to complete our initial business combination within the required time period. If we do not complete our initial business combination within the required time period, the private placement shares will be worthless. Except as described herein, our sponsor and our management team have agreed not to transfer, assign or sell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With certain limited exceptions, the private placement shares will not be transferable until 30 days following the completion of our initial business combination. Because each of our executive officers and director nominees will own ordinary shares directly or indirectly, they may have a conflict of interest in determining whether a particular target business is an appropriate business with which to effectuate our initial business combination.</w:t>
      </w:r>
    </w:p>
    <w:p>
      <w:pPr>
        <w:spacing w:after="0" w:line="109" w:lineRule="exact"/>
        <w:rPr>
          <w:sz w:val="20"/>
          <w:szCs w:val="20"/>
          <w:color w:val="auto"/>
        </w:rPr>
      </w:pPr>
    </w:p>
    <w:p>
      <w:pPr>
        <w:ind w:left="580" w:right="180"/>
        <w:spacing w:after="0" w:line="238" w:lineRule="auto"/>
        <w:rPr>
          <w:sz w:val="20"/>
          <w:szCs w:val="20"/>
          <w:color w:val="auto"/>
        </w:rPr>
      </w:pPr>
      <w:r>
        <w:rPr>
          <w:rFonts w:ascii="Arial" w:cs="Arial" w:eastAsia="Arial" w:hAnsi="Arial"/>
          <w:sz w:val="17"/>
          <w:szCs w:val="17"/>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61"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We are not prohibited from pursuing an initial business combination or subsequent transaction with a company that is affiliated with Perceptive Advisors or our sponsor, founders, officers or directors. In the event we seek to complete our initial business combination with a company that is affiliated with Perceptive Advisors, our sponsor or any of our founders, officers or directors, we, or a committee of independent directors, will obtain an opinion from an independent investment banking firm which is a member of FINRA or an independent valuation or accounting firm that such initial business combination or transaction is fair to our company from a financial point of view. We are not required to obtain such an opinion in any other context. Furthermore, in no event will our sponsor or any of our existing officers or directors, or any of their respective affiliates, be paid by us any finder’s fee, consulting fee or other compensation prior to, or for any services they render in order to effectuate, the completion of our initial business combination. Further, commencing on the date our securities are first listed on the Nasdaq, we will also reimburse our sponsor for office space, secretarial and administrative services provided to us in the amount of $10,000 per month.</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We cannot assure you that any of the above mentioned conflicts will be resolved in our favor.</w:t>
      </w:r>
    </w:p>
    <w:p>
      <w:pPr>
        <w:spacing w:after="0" w:line="16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public shares purchased during or after this offering in favor of our initial business combination.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on Liability and Indemnification of Officers and Directors</w:t>
      </w:r>
    </w:p>
    <w:p>
      <w:pPr>
        <w:spacing w:after="0" w:line="18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provide for indemnification of our officers and directors to the maximum extent permitted by law, including for any liability incurred in their capacities as such, except through their own actual fraud, willful default or willful neglect. We will enter into agreements with our directors and officers to provide contractual indemnification in addition to the indemnification provided for in our amended and restated memorandum and articles of association.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6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6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50" w:lineRule="exact"/>
        <w:rPr>
          <w:sz w:val="20"/>
          <w:szCs w:val="20"/>
          <w:color w:val="auto"/>
        </w:rPr>
      </w:pPr>
    </w:p>
    <w:p>
      <w:pPr>
        <w:ind w:right="500"/>
        <w:spacing w:after="0" w:line="243" w:lineRule="auto"/>
        <w:rPr>
          <w:sz w:val="20"/>
          <w:szCs w:val="20"/>
          <w:color w:val="auto"/>
        </w:rPr>
      </w:pPr>
      <w:r>
        <w:rPr>
          <w:rFonts w:ascii="Arial" w:cs="Arial" w:eastAsia="Arial" w:hAnsi="Arial"/>
          <w:sz w:val="17"/>
          <w:szCs w:val="17"/>
          <w:color w:val="auto"/>
        </w:rPr>
        <w:t>We believe that these provisions, the insurance and the indemnity agreements are necessary to attract and retain talented and experienced officers and directors.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188"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The following table sets forth information regarding the beneficial ownership of our ordinary shares as of the date of this prospectus, and as adjusted to reflect the sale of our Class A ordinary shares offered by this prospectus, and assuming no purchase of public shares in this offering, by:</w:t>
      </w:r>
    </w:p>
    <w:p>
      <w:pPr>
        <w:spacing w:after="0" w:line="93" w:lineRule="exact"/>
        <w:rPr>
          <w:sz w:val="20"/>
          <w:szCs w:val="20"/>
          <w:color w:val="auto"/>
        </w:rPr>
      </w:pPr>
    </w:p>
    <w:p>
      <w:pPr>
        <w:ind w:left="580" w:right="300"/>
        <w:spacing w:after="0" w:line="243" w:lineRule="auto"/>
        <w:rPr>
          <w:sz w:val="20"/>
          <w:szCs w:val="20"/>
          <w:color w:val="auto"/>
        </w:rPr>
      </w:pPr>
      <w:r>
        <w:rPr>
          <w:rFonts w:ascii="Arial" w:cs="Arial" w:eastAsia="Arial" w:hAnsi="Arial"/>
          <w:sz w:val="17"/>
          <w:szCs w:val="17"/>
          <w:color w:val="auto"/>
        </w:rPr>
        <w:t>each person known by us to be the beneficial owner of more than 5% of our issued and outstanding ordinary shares;</w:t>
      </w:r>
    </w:p>
    <w:p>
      <w:pPr>
        <w:spacing w:after="0" w:line="90" w:lineRule="exact"/>
        <w:rPr>
          <w:sz w:val="20"/>
          <w:szCs w:val="20"/>
          <w:color w:val="auto"/>
        </w:rPr>
      </w:pPr>
    </w:p>
    <w:p>
      <w:pPr>
        <w:ind w:left="580" w:right="500"/>
        <w:spacing w:after="0" w:line="375" w:lineRule="auto"/>
        <w:rPr>
          <w:sz w:val="20"/>
          <w:szCs w:val="20"/>
          <w:color w:val="auto"/>
        </w:rPr>
      </w:pPr>
      <w:r>
        <w:rPr>
          <w:rFonts w:ascii="Arial" w:cs="Arial" w:eastAsia="Arial" w:hAnsi="Arial"/>
          <w:sz w:val="17"/>
          <w:szCs w:val="17"/>
          <w:color w:val="auto"/>
        </w:rPr>
        <w:t>each of our executive officers, directors and director nominees that beneficially owns ordinary shares; and all our executive officers and directors as a group.</w:t>
      </w:r>
    </w:p>
    <w:p>
      <w:pPr>
        <w:spacing w:after="0" w:line="51"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of our ordinary shares beneficially owned by them.</w:t>
      </w:r>
    </w:p>
    <w:p>
      <w:pPr>
        <w:spacing w:after="0" w:line="144"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On April 2, 2020, we issued to our sponsor 3,593,750 founder shares (of which, 468,750 are subject to forfeiture if the underwriters do not exercise their over-allotment option) in exchange for a capital contribution of $25,000, or approximately $0.007 per share. In July 2020, our sponsor transferred 30,000 founder shares to each of Messrs. Campbell, Islam and Wider. On August 6, 2020, we effected a share capitalization in our initial shareholders holding 3,737,500 Class B ordinary shares (of which, 387,500 are subject to forfeiture if the underwriters do not exercise their over-allotment option). In addition, our sponsor has committed, pursuant to a written agreement, to purchase an aggregate of 460,000 private placement shares for a purchase price of $10.00 per share in a private placement that will occur simultaneously with the closing of this offering (assuming the underwriters do not exercise their over-allotment option). Prior to the initial investment in the company of $25,000 by the sponsor, the company had no assets, tangible or intangible. The per share price of the founder shares was determined by dividing the amount contributed to the company by the number of founder shares issued. The number of shares beneficially owned and post-offering percentages in the following table assume that the underwriters do not exercise their over-allotment option and that there are 16,710,000 ordinary shares, consisting of (i) 13,000,000 Class A ordinary shares, (ii) 3,250,000 Class B ordinary shares, and (iii) 460,000 private placement shares, issued and outstanding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57607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276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APPROXIMATE PERCENTAGE OF</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760" w:type="dxa"/>
            <w:vAlign w:val="bottom"/>
            <w:gridSpan w:val="3"/>
          </w:tcPr>
          <w:p>
            <w:pPr>
              <w:jc w:val="right"/>
              <w:ind w:right="56"/>
              <w:spacing w:after="0" w:line="149" w:lineRule="exact"/>
              <w:rPr>
                <w:sz w:val="20"/>
                <w:szCs w:val="20"/>
                <w:color w:val="auto"/>
              </w:rPr>
            </w:pPr>
            <w:r>
              <w:rPr>
                <w:rFonts w:ascii="Arial" w:cs="Arial" w:eastAsia="Arial" w:hAnsi="Arial"/>
                <w:sz w:val="14"/>
                <w:szCs w:val="14"/>
                <w:b w:val="1"/>
                <w:bCs w:val="1"/>
                <w:color w:val="auto"/>
              </w:rPr>
              <w:t>OUTSTANDING ORDINARY SHARES</w:t>
            </w:r>
          </w:p>
        </w:tc>
        <w:tc>
          <w:tcPr>
            <w:tcW w:w="0" w:type="dxa"/>
            <w:vAlign w:val="bottom"/>
          </w:tcPr>
          <w:p>
            <w:pPr>
              <w:spacing w:after="0"/>
              <w:rPr>
                <w:sz w:val="1"/>
                <w:szCs w:val="1"/>
                <w:color w:val="auto"/>
              </w:rPr>
            </w:pPr>
          </w:p>
        </w:tc>
      </w:tr>
      <w:tr>
        <w:trPr>
          <w:trHeight w:val="94"/>
        </w:trPr>
        <w:tc>
          <w:tcPr>
            <w:tcW w:w="4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SHARES</w:t>
            </w:r>
          </w:p>
        </w:tc>
        <w:tc>
          <w:tcPr>
            <w:tcW w:w="1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4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3"/>
                <w:szCs w:val="23"/>
                <w:b w:val="1"/>
                <w:bCs w:val="1"/>
                <w:color w:val="auto"/>
                <w:vertAlign w:val="superscript"/>
              </w:rPr>
              <w:t>(1)</w:t>
            </w:r>
          </w:p>
        </w:tc>
        <w:tc>
          <w:tcPr>
            <w:tcW w:w="140" w:type="dxa"/>
            <w:vAlign w:val="bottom"/>
            <w:vMerge w:val="restart"/>
          </w:tcPr>
          <w:p>
            <w:pPr>
              <w:spacing w:after="0"/>
              <w:rPr>
                <w:sz w:val="12"/>
                <w:szCs w:val="12"/>
                <w:color w:val="auto"/>
              </w:rPr>
            </w:pPr>
          </w:p>
        </w:tc>
        <w:tc>
          <w:tcPr>
            <w:tcW w:w="14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rPr>
              <w:t>BENEFICIALLY</w:t>
            </w:r>
          </w:p>
        </w:tc>
        <w:tc>
          <w:tcPr>
            <w:tcW w:w="144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BEFORE</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76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vMerge w:val="continue"/>
          </w:tcPr>
          <w:p>
            <w:pPr>
              <w:spacing w:after="0"/>
              <w:rPr>
                <w:sz w:val="22"/>
                <w:szCs w:val="22"/>
                <w:color w:val="auto"/>
              </w:rPr>
            </w:pPr>
          </w:p>
        </w:tc>
        <w:tc>
          <w:tcPr>
            <w:tcW w:w="132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4"/>
                <w:szCs w:val="14"/>
                <w:b w:val="1"/>
                <w:bCs w:val="1"/>
                <w:color w:val="auto"/>
                <w:w w:val="96"/>
              </w:rPr>
              <w:t>OWNED</w:t>
            </w:r>
            <w:r>
              <w:rPr>
                <w:rFonts w:ascii="Arial" w:cs="Arial" w:eastAsia="Arial" w:hAnsi="Arial"/>
                <w:sz w:val="23"/>
                <w:szCs w:val="23"/>
                <w:b w:val="1"/>
                <w:bCs w:val="1"/>
                <w:color w:val="auto"/>
                <w:w w:val="96"/>
                <w:vertAlign w:val="superscript"/>
              </w:rPr>
              <w:t>(2)</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OFFERING</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290"/>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ARYA Sciences Holdings III (our sponsor)</w:t>
            </w:r>
          </w:p>
        </w:tc>
        <w:tc>
          <w:tcPr>
            <w:tcW w:w="1320" w:type="dxa"/>
            <w:vAlign w:val="bottom"/>
            <w:shd w:val="clear" w:color="auto" w:fill="CCEEFF"/>
          </w:tcPr>
          <w:p>
            <w:pPr>
              <w:ind w:left="240"/>
              <w:spacing w:after="0" w:line="290" w:lineRule="exact"/>
              <w:rPr>
                <w:sz w:val="20"/>
                <w:szCs w:val="20"/>
                <w:color w:val="auto"/>
              </w:rPr>
            </w:pPr>
            <w:r>
              <w:rPr>
                <w:rFonts w:ascii="Arial" w:cs="Arial" w:eastAsia="Arial" w:hAnsi="Arial"/>
                <w:sz w:val="17"/>
                <w:szCs w:val="17"/>
                <w:color w:val="auto"/>
              </w:rPr>
              <w:t>3,620,000</w:t>
            </w:r>
            <w:r>
              <w:rPr>
                <w:rFonts w:ascii="Arial" w:cs="Arial" w:eastAsia="Arial" w:hAnsi="Arial"/>
                <w:sz w:val="28"/>
                <w:szCs w:val="28"/>
                <w:color w:val="auto"/>
                <w:vertAlign w:val="superscript"/>
              </w:rPr>
              <w:t>(3)</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center"/>
              <w:ind w:left="59"/>
              <w:spacing w:after="0"/>
              <w:rPr>
                <w:sz w:val="20"/>
                <w:szCs w:val="20"/>
                <w:color w:val="auto"/>
              </w:rPr>
            </w:pPr>
            <w:r>
              <w:rPr>
                <w:rFonts w:ascii="Arial" w:cs="Arial" w:eastAsia="Arial" w:hAnsi="Arial"/>
                <w:sz w:val="17"/>
                <w:szCs w:val="17"/>
                <w:color w:val="auto"/>
              </w:rPr>
              <w:t>97.6%</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ind w:left="480"/>
              <w:spacing w:after="0" w:line="290" w:lineRule="exact"/>
              <w:rPr>
                <w:sz w:val="20"/>
                <w:szCs w:val="20"/>
                <w:color w:val="auto"/>
              </w:rPr>
            </w:pPr>
            <w:r>
              <w:rPr>
                <w:rFonts w:ascii="Arial" w:cs="Arial" w:eastAsia="Arial" w:hAnsi="Arial"/>
                <w:sz w:val="17"/>
                <w:szCs w:val="17"/>
                <w:color w:val="auto"/>
              </w:rPr>
              <w:t>21.7%</w:t>
            </w:r>
            <w:r>
              <w:rPr>
                <w:rFonts w:ascii="Arial" w:cs="Arial" w:eastAsia="Arial" w:hAnsi="Arial"/>
                <w:sz w:val="28"/>
                <w:szCs w:val="28"/>
                <w:color w:val="auto"/>
                <w:vertAlign w:val="superscript"/>
              </w:rPr>
              <w:t>(4)</w:t>
            </w:r>
          </w:p>
        </w:tc>
        <w:tc>
          <w:tcPr>
            <w:tcW w:w="0" w:type="dxa"/>
            <w:vAlign w:val="bottom"/>
          </w:tcPr>
          <w:p>
            <w:pPr>
              <w:spacing w:after="0"/>
              <w:rPr>
                <w:sz w:val="1"/>
                <w:szCs w:val="1"/>
                <w:color w:val="auto"/>
              </w:rPr>
            </w:pPr>
          </w:p>
        </w:tc>
      </w:tr>
      <w:tr>
        <w:trPr>
          <w:trHeight w:val="239"/>
        </w:trPr>
        <w:tc>
          <w:tcPr>
            <w:tcW w:w="4900" w:type="dxa"/>
            <w:vAlign w:val="bottom"/>
            <w:gridSpan w:val="2"/>
          </w:tcPr>
          <w:p>
            <w:pPr>
              <w:spacing w:after="0"/>
              <w:rPr>
                <w:sz w:val="20"/>
                <w:szCs w:val="20"/>
                <w:color w:val="auto"/>
              </w:rPr>
            </w:pPr>
            <w:r>
              <w:rPr>
                <w:rFonts w:ascii="Arial" w:cs="Arial" w:eastAsia="Arial" w:hAnsi="Arial"/>
                <w:sz w:val="17"/>
                <w:szCs w:val="17"/>
                <w:color w:val="auto"/>
              </w:rPr>
              <w:t>Joseph Edelman</w:t>
            </w:r>
          </w:p>
        </w:tc>
        <w:tc>
          <w:tcPr>
            <w:tcW w:w="1420" w:type="dxa"/>
            <w:vAlign w:val="bottom"/>
            <w:gridSpan w:val="2"/>
          </w:tcPr>
          <w:p>
            <w:pPr>
              <w:ind w:left="78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144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Arial" w:cs="Arial" w:eastAsia="Arial" w:hAnsi="Arial"/>
                <w:sz w:val="14"/>
                <w:szCs w:val="14"/>
                <w:color w:val="auto"/>
                <w:w w:val="99"/>
              </w:rPr>
              <w:t>(5)</w:t>
            </w:r>
          </w:p>
        </w:tc>
        <w:tc>
          <w:tcPr>
            <w:tcW w:w="1320" w:type="dxa"/>
            <w:vAlign w:val="bottom"/>
          </w:tcPr>
          <w:p>
            <w:pPr>
              <w:jc w:val="right"/>
              <w:ind w:right="336"/>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Adam Stone</w:t>
            </w:r>
          </w:p>
        </w:tc>
        <w:tc>
          <w:tcPr>
            <w:tcW w:w="1320" w:type="dxa"/>
            <w:vAlign w:val="bottom"/>
            <w:shd w:val="clear" w:color="auto" w:fill="CCEEFF"/>
          </w:tcPr>
          <w:p>
            <w:pPr>
              <w:ind w:left="240"/>
              <w:spacing w:after="0" w:line="270" w:lineRule="exact"/>
              <w:rPr>
                <w:sz w:val="20"/>
                <w:szCs w:val="20"/>
                <w:color w:val="auto"/>
              </w:rPr>
            </w:pPr>
            <w:r>
              <w:rPr>
                <w:rFonts w:ascii="Arial" w:cs="Arial" w:eastAsia="Arial" w:hAnsi="Arial"/>
                <w:sz w:val="17"/>
                <w:szCs w:val="17"/>
                <w:color w:val="auto"/>
              </w:rPr>
              <w:t>3,620,000</w:t>
            </w:r>
            <w:r>
              <w:rPr>
                <w:rFonts w:ascii="Arial" w:cs="Arial" w:eastAsia="Arial" w:hAnsi="Arial"/>
                <w:sz w:val="28"/>
                <w:szCs w:val="28"/>
                <w:color w:val="auto"/>
                <w:vertAlign w:val="superscript"/>
              </w:rPr>
              <w:t>(3)</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center"/>
              <w:ind w:left="59"/>
              <w:spacing w:after="0"/>
              <w:rPr>
                <w:sz w:val="20"/>
                <w:szCs w:val="20"/>
                <w:color w:val="auto"/>
              </w:rPr>
            </w:pPr>
            <w:r>
              <w:rPr>
                <w:rFonts w:ascii="Arial" w:cs="Arial" w:eastAsia="Arial" w:hAnsi="Arial"/>
                <w:sz w:val="17"/>
                <w:szCs w:val="17"/>
                <w:color w:val="auto"/>
              </w:rPr>
              <w:t>97.6%</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ind w:left="480"/>
              <w:spacing w:after="0" w:line="270" w:lineRule="exact"/>
              <w:rPr>
                <w:sz w:val="20"/>
                <w:szCs w:val="20"/>
                <w:color w:val="auto"/>
              </w:rPr>
            </w:pPr>
            <w:r>
              <w:rPr>
                <w:rFonts w:ascii="Arial" w:cs="Arial" w:eastAsia="Arial" w:hAnsi="Arial"/>
                <w:sz w:val="17"/>
                <w:szCs w:val="17"/>
                <w:color w:val="auto"/>
              </w:rPr>
              <w:t>21.7%</w:t>
            </w:r>
            <w:r>
              <w:rPr>
                <w:rFonts w:ascii="Arial" w:cs="Arial" w:eastAsia="Arial" w:hAnsi="Arial"/>
                <w:sz w:val="28"/>
                <w:szCs w:val="28"/>
                <w:color w:val="auto"/>
                <w:vertAlign w:val="superscript"/>
              </w:rPr>
              <w:t>(4)</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7"/>
                <w:szCs w:val="17"/>
                <w:color w:val="auto"/>
              </w:rPr>
              <w:t>Michael Altman</w:t>
            </w:r>
          </w:p>
        </w:tc>
        <w:tc>
          <w:tcPr>
            <w:tcW w:w="1320" w:type="dxa"/>
            <w:vAlign w:val="bottom"/>
          </w:tcPr>
          <w:p>
            <w:pPr>
              <w:ind w:left="240"/>
              <w:spacing w:after="0" w:line="270" w:lineRule="exact"/>
              <w:rPr>
                <w:sz w:val="20"/>
                <w:szCs w:val="20"/>
                <w:color w:val="auto"/>
              </w:rPr>
            </w:pPr>
            <w:r>
              <w:rPr>
                <w:rFonts w:ascii="Arial" w:cs="Arial" w:eastAsia="Arial" w:hAnsi="Arial"/>
                <w:sz w:val="17"/>
                <w:szCs w:val="17"/>
                <w:color w:val="auto"/>
              </w:rPr>
              <w:t>3,620,000</w:t>
            </w:r>
            <w:r>
              <w:rPr>
                <w:rFonts w:ascii="Arial" w:cs="Arial" w:eastAsia="Arial" w:hAnsi="Arial"/>
                <w:sz w:val="28"/>
                <w:szCs w:val="28"/>
                <w:color w:val="auto"/>
                <w:vertAlign w:val="superscript"/>
              </w:rPr>
              <w:t>(3)</w:t>
            </w:r>
          </w:p>
        </w:tc>
        <w:tc>
          <w:tcPr>
            <w:tcW w:w="100" w:type="dxa"/>
            <w:vAlign w:val="bottom"/>
          </w:tcPr>
          <w:p>
            <w:pPr>
              <w:spacing w:after="0"/>
              <w:rPr>
                <w:sz w:val="23"/>
                <w:szCs w:val="23"/>
                <w:color w:val="auto"/>
              </w:rPr>
            </w:pPr>
          </w:p>
        </w:tc>
        <w:tc>
          <w:tcPr>
            <w:tcW w:w="1320" w:type="dxa"/>
            <w:vAlign w:val="bottom"/>
          </w:tcPr>
          <w:p>
            <w:pPr>
              <w:jc w:val="center"/>
              <w:ind w:left="59"/>
              <w:spacing w:after="0"/>
              <w:rPr>
                <w:sz w:val="20"/>
                <w:szCs w:val="20"/>
                <w:color w:val="auto"/>
              </w:rPr>
            </w:pPr>
            <w:r>
              <w:rPr>
                <w:rFonts w:ascii="Arial" w:cs="Arial" w:eastAsia="Arial" w:hAnsi="Arial"/>
                <w:sz w:val="17"/>
                <w:szCs w:val="17"/>
                <w:color w:val="auto"/>
              </w:rPr>
              <w:t>97.6%</w:t>
            </w:r>
          </w:p>
        </w:tc>
        <w:tc>
          <w:tcPr>
            <w:tcW w:w="120" w:type="dxa"/>
            <w:vAlign w:val="bottom"/>
          </w:tcPr>
          <w:p>
            <w:pPr>
              <w:spacing w:after="0"/>
              <w:rPr>
                <w:sz w:val="23"/>
                <w:szCs w:val="23"/>
                <w:color w:val="auto"/>
              </w:rPr>
            </w:pPr>
          </w:p>
        </w:tc>
        <w:tc>
          <w:tcPr>
            <w:tcW w:w="1320" w:type="dxa"/>
            <w:vAlign w:val="bottom"/>
          </w:tcPr>
          <w:p>
            <w:pPr>
              <w:ind w:left="480"/>
              <w:spacing w:after="0" w:line="270" w:lineRule="exact"/>
              <w:rPr>
                <w:sz w:val="20"/>
                <w:szCs w:val="20"/>
                <w:color w:val="auto"/>
              </w:rPr>
            </w:pPr>
            <w:r>
              <w:rPr>
                <w:rFonts w:ascii="Arial" w:cs="Arial" w:eastAsia="Arial" w:hAnsi="Arial"/>
                <w:sz w:val="17"/>
                <w:szCs w:val="17"/>
                <w:color w:val="auto"/>
              </w:rPr>
              <w:t>21.7%</w:t>
            </w:r>
            <w:r>
              <w:rPr>
                <w:rFonts w:ascii="Arial" w:cs="Arial" w:eastAsia="Arial" w:hAnsi="Arial"/>
                <w:sz w:val="28"/>
                <w:szCs w:val="28"/>
                <w:color w:val="auto"/>
                <w:vertAlign w:val="superscript"/>
              </w:rPr>
              <w:t>(4)</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Konstantin Poukalov</w:t>
            </w:r>
          </w:p>
        </w:tc>
        <w:tc>
          <w:tcPr>
            <w:tcW w:w="14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14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7"/>
                <w:szCs w:val="17"/>
                <w:color w:val="auto"/>
                <w:w w:val="99"/>
              </w:rPr>
              <w:t>—</w:t>
            </w:r>
            <w:r>
              <w:rPr>
                <w:rFonts w:ascii="Arial" w:cs="Arial" w:eastAsia="Arial" w:hAnsi="Arial"/>
                <w:sz w:val="14"/>
                <w:szCs w:val="14"/>
                <w:color w:val="auto"/>
                <w:w w:val="99"/>
              </w:rPr>
              <w:t>(5)</w:t>
            </w:r>
          </w:p>
        </w:tc>
        <w:tc>
          <w:tcPr>
            <w:tcW w:w="132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39"/>
        </w:trPr>
        <w:tc>
          <w:tcPr>
            <w:tcW w:w="4900" w:type="dxa"/>
            <w:vAlign w:val="bottom"/>
            <w:gridSpan w:val="2"/>
          </w:tcPr>
          <w:p>
            <w:pPr>
              <w:spacing w:after="0"/>
              <w:rPr>
                <w:sz w:val="20"/>
                <w:szCs w:val="20"/>
                <w:color w:val="auto"/>
              </w:rPr>
            </w:pPr>
            <w:r>
              <w:rPr>
                <w:rFonts w:ascii="Arial" w:cs="Arial" w:eastAsia="Arial" w:hAnsi="Arial"/>
                <w:sz w:val="17"/>
                <w:szCs w:val="17"/>
                <w:color w:val="auto"/>
              </w:rPr>
              <w:t>Todd Wider</w:t>
            </w:r>
          </w:p>
        </w:tc>
        <w:tc>
          <w:tcPr>
            <w:tcW w:w="1320" w:type="dxa"/>
            <w:vAlign w:val="bottom"/>
          </w:tcPr>
          <w:p>
            <w:pPr>
              <w:ind w:left="500"/>
              <w:spacing w:after="0"/>
              <w:rPr>
                <w:sz w:val="20"/>
                <w:szCs w:val="20"/>
                <w:color w:val="auto"/>
              </w:rPr>
            </w:pPr>
            <w:r>
              <w:rPr>
                <w:rFonts w:ascii="Arial" w:cs="Arial" w:eastAsia="Arial" w:hAnsi="Arial"/>
                <w:sz w:val="17"/>
                <w:szCs w:val="17"/>
                <w:color w:val="auto"/>
              </w:rPr>
              <w:t>30,000</w:t>
            </w:r>
          </w:p>
        </w:tc>
        <w:tc>
          <w:tcPr>
            <w:tcW w:w="100" w:type="dxa"/>
            <w:vAlign w:val="bottom"/>
          </w:tcPr>
          <w:p>
            <w:pPr>
              <w:spacing w:after="0"/>
              <w:rPr>
                <w:sz w:val="20"/>
                <w:szCs w:val="20"/>
                <w:color w:val="auto"/>
              </w:rPr>
            </w:pPr>
          </w:p>
        </w:tc>
        <w:tc>
          <w:tcPr>
            <w:tcW w:w="1320" w:type="dxa"/>
            <w:vAlign w:val="bottom"/>
          </w:tcPr>
          <w:p>
            <w:pPr>
              <w:jc w:val="right"/>
              <w:ind w:right="319"/>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320" w:type="dxa"/>
            <w:vAlign w:val="bottom"/>
          </w:tcPr>
          <w:p>
            <w:pPr>
              <w:jc w:val="right"/>
              <w:ind w:right="3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Bradley L. Campbell</w:t>
            </w:r>
          </w:p>
        </w:tc>
        <w:tc>
          <w:tcPr>
            <w:tcW w:w="1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4900" w:type="dxa"/>
            <w:vAlign w:val="bottom"/>
            <w:gridSpan w:val="2"/>
          </w:tcPr>
          <w:p>
            <w:pPr>
              <w:spacing w:after="0"/>
              <w:rPr>
                <w:sz w:val="20"/>
                <w:szCs w:val="20"/>
                <w:color w:val="auto"/>
              </w:rPr>
            </w:pPr>
            <w:r>
              <w:rPr>
                <w:rFonts w:ascii="Arial" w:cs="Arial" w:eastAsia="Arial" w:hAnsi="Arial"/>
                <w:sz w:val="17"/>
                <w:szCs w:val="17"/>
                <w:color w:val="auto"/>
              </w:rPr>
              <w:t>Saqib Islam</w:t>
            </w:r>
          </w:p>
        </w:tc>
        <w:tc>
          <w:tcPr>
            <w:tcW w:w="1320" w:type="dxa"/>
            <w:vAlign w:val="bottom"/>
          </w:tcPr>
          <w:p>
            <w:pPr>
              <w:ind w:left="500"/>
              <w:spacing w:after="0"/>
              <w:rPr>
                <w:sz w:val="20"/>
                <w:szCs w:val="20"/>
                <w:color w:val="auto"/>
              </w:rPr>
            </w:pPr>
            <w:r>
              <w:rPr>
                <w:rFonts w:ascii="Arial" w:cs="Arial" w:eastAsia="Arial" w:hAnsi="Arial"/>
                <w:sz w:val="17"/>
                <w:szCs w:val="17"/>
                <w:color w:val="auto"/>
              </w:rPr>
              <w:t>30,000</w:t>
            </w:r>
          </w:p>
        </w:tc>
        <w:tc>
          <w:tcPr>
            <w:tcW w:w="100" w:type="dxa"/>
            <w:vAlign w:val="bottom"/>
          </w:tcPr>
          <w:p>
            <w:pPr>
              <w:spacing w:after="0"/>
              <w:rPr>
                <w:sz w:val="20"/>
                <w:szCs w:val="20"/>
                <w:color w:val="auto"/>
              </w:rPr>
            </w:pPr>
          </w:p>
        </w:tc>
        <w:tc>
          <w:tcPr>
            <w:tcW w:w="1320" w:type="dxa"/>
            <w:vAlign w:val="bottom"/>
          </w:tcPr>
          <w:p>
            <w:pPr>
              <w:jc w:val="right"/>
              <w:ind w:right="319"/>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320" w:type="dxa"/>
            <w:vAlign w:val="bottom"/>
          </w:tcPr>
          <w:p>
            <w:pPr>
              <w:jc w:val="right"/>
              <w:ind w:right="3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officers, directors and director nominees as a group (seven</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90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7"/>
                <w:szCs w:val="17"/>
                <w:color w:val="auto"/>
              </w:rPr>
              <w:t>individuals)</w:t>
            </w:r>
          </w:p>
        </w:tc>
        <w:tc>
          <w:tcPr>
            <w:tcW w:w="13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3,710,000</w:t>
            </w:r>
          </w:p>
        </w:tc>
        <w:tc>
          <w:tcPr>
            <w:tcW w:w="1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7"/>
                <w:szCs w:val="17"/>
                <w:color w:val="auto"/>
              </w:rPr>
              <w:t>100%</w:t>
            </w:r>
          </w:p>
        </w:tc>
        <w:tc>
          <w:tcPr>
            <w:tcW w:w="1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-1670685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-1670685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-1670685</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Less than one percent.</w:t>
      </w:r>
    </w:p>
    <w:p>
      <w:pPr>
        <w:spacing w:after="0" w:line="40"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Unless otherwise noted, the business address of the following entities or individuals is 51 Astor Place, 10th Floor, New York, New York 10003.</w:t>
      </w:r>
    </w:p>
    <w:p>
      <w:pPr>
        <w:spacing w:after="0" w:line="39" w:lineRule="exact"/>
        <w:rPr>
          <w:rFonts w:ascii="Arial" w:cs="Arial" w:eastAsia="Arial" w:hAnsi="Arial"/>
          <w:sz w:val="13"/>
          <w:szCs w:val="13"/>
          <w:color w:val="auto"/>
        </w:rPr>
      </w:pPr>
    </w:p>
    <w:p>
      <w:pPr>
        <w:ind w:left="360" w:right="320" w:hanging="352"/>
        <w:spacing w:after="0" w:line="225" w:lineRule="auto"/>
        <w:tabs>
          <w:tab w:leader="none" w:pos="3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Interests shown consist solely of founder shares, classified as Class B ordinary shares, and private placement shares. The Class B ordinary shares will automatically convert into Class A ordinary shares at the time of our initial business combination as described in the section entitled “Description of Securities.”</w:t>
      </w:r>
    </w:p>
    <w:p>
      <w:pPr>
        <w:spacing w:after="0" w:line="38" w:lineRule="exact"/>
        <w:rPr>
          <w:rFonts w:ascii="Arial" w:cs="Arial" w:eastAsia="Arial" w:hAnsi="Arial"/>
          <w:sz w:val="13"/>
          <w:szCs w:val="13"/>
          <w:color w:val="auto"/>
        </w:rPr>
      </w:pPr>
    </w:p>
    <w:p>
      <w:pPr>
        <w:ind w:left="360" w:right="100" w:hanging="352"/>
        <w:spacing w:after="0" w:line="225" w:lineRule="auto"/>
        <w:tabs>
          <w:tab w:leader="none" w:pos="3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shares reported above are held in the name of our sponsor. Our sponsor is governed by a board of directors consisting of two directors, Messrs. Stone and Altman. As such, Messrs. Stone and Altman have voting and investment discretion with respect to the Class B ordinary shares held of record by our sponsor and may be deemed to have shared beneficial ownership of the Class B ordinary shares held directly by our sponsor.</w:t>
      </w:r>
    </w:p>
    <w:p>
      <w:pPr>
        <w:spacing w:after="0" w:line="38" w:lineRule="exact"/>
        <w:rPr>
          <w:rFonts w:ascii="Arial" w:cs="Arial" w:eastAsia="Arial" w:hAnsi="Arial"/>
          <w:sz w:val="13"/>
          <w:szCs w:val="13"/>
          <w:color w:val="auto"/>
        </w:rPr>
      </w:pPr>
    </w:p>
    <w:p>
      <w:pPr>
        <w:ind w:left="360" w:hanging="352"/>
        <w:spacing w:after="0"/>
        <w:tabs>
          <w:tab w:leader="none" w:pos="3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460,000 private placement shares.</w:t>
      </w:r>
    </w:p>
    <w:p>
      <w:pPr>
        <w:spacing w:after="0" w:line="39" w:lineRule="exact"/>
        <w:rPr>
          <w:rFonts w:ascii="Arial" w:cs="Arial" w:eastAsia="Arial" w:hAnsi="Arial"/>
          <w:sz w:val="13"/>
          <w:szCs w:val="13"/>
          <w:color w:val="auto"/>
        </w:rPr>
      </w:pPr>
    </w:p>
    <w:p>
      <w:pPr>
        <w:ind w:left="360" w:hanging="352"/>
        <w:spacing w:after="0"/>
        <w:tabs>
          <w:tab w:leader="none" w:pos="3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Does not include any shares indirectly owned by this individual as a result of his ownership interest in our sponsor.</w:t>
      </w:r>
    </w:p>
    <w:p>
      <w:pPr>
        <w:spacing w:after="0" w:line="16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Immediately after this offering, our initial shareholders will beneficially own 20% of the then issued and outstanding ordinary shares (excluding the private placement shares) and will have the right to elect all of our directors prior to the completion of our initial business combination. Holders of our public shares will not have the right to elect any directors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9"/>
        <w:spacing w:after="0" w:line="236" w:lineRule="auto"/>
        <w:rPr>
          <w:sz w:val="20"/>
          <w:szCs w:val="20"/>
          <w:color w:val="auto"/>
        </w:rPr>
      </w:pPr>
      <w:r>
        <w:rPr>
          <w:rFonts w:ascii="Arial" w:cs="Arial" w:eastAsia="Arial" w:hAnsi="Arial"/>
          <w:sz w:val="17"/>
          <w:szCs w:val="17"/>
          <w:color w:val="auto"/>
        </w:rPr>
        <w:t>to our board of directors prior to the completion of our initial business combination. Because of this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w:t>
      </w:r>
    </w:p>
    <w:p>
      <w:pPr>
        <w:spacing w:after="0" w:line="163" w:lineRule="exact"/>
        <w:rPr>
          <w:sz w:val="20"/>
          <w:szCs w:val="20"/>
          <w:color w:val="auto"/>
        </w:rPr>
      </w:pPr>
    </w:p>
    <w:p>
      <w:pPr>
        <w:ind w:right="119"/>
        <w:spacing w:after="0" w:line="232" w:lineRule="auto"/>
        <w:rPr>
          <w:sz w:val="20"/>
          <w:szCs w:val="20"/>
          <w:color w:val="auto"/>
        </w:rPr>
      </w:pPr>
      <w:r>
        <w:rPr>
          <w:rFonts w:ascii="Arial" w:cs="Arial" w:eastAsia="Arial" w:hAnsi="Arial"/>
          <w:sz w:val="17"/>
          <w:szCs w:val="17"/>
          <w:color w:val="auto"/>
        </w:rPr>
        <w:t>Our sponsor and our management team have entered into an agreement with us, pursuant to which they have agreed to waive their 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w:t>
      </w:r>
    </w:p>
    <w:p>
      <w:pPr>
        <w:ind w:right="39" w:firstLine="8"/>
        <w:spacing w:after="0" w:line="232" w:lineRule="auto"/>
        <w:tabs>
          <w:tab w:leader="none" w:pos="27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w:t>
      </w:r>
    </w:p>
    <w:p>
      <w:pPr>
        <w:jc w:val="both"/>
        <w:ind w:right="499" w:firstLine="8"/>
        <w:spacing w:after="0" w:line="238" w:lineRule="auto"/>
        <w:tabs>
          <w:tab w:leader="none" w:pos="27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with respect to any other provision relating to the rights of holders of our Class A ordinary shares. Further, our sponsor and each member of our management team have agreed to vote their founder shares, private placement shares and public shares purchased during or after this offering in favor of our initial business combination.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Our sponsor is deemed to be our “promoter” as such term is defined under the federal securities laws.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Transfers of Founder Shares and Private Placement Shares</w:t>
      </w:r>
    </w:p>
    <w:p>
      <w:pPr>
        <w:spacing w:after="0" w:line="189" w:lineRule="exact"/>
        <w:rPr>
          <w:sz w:val="20"/>
          <w:szCs w:val="20"/>
          <w:color w:val="auto"/>
        </w:rPr>
      </w:pPr>
    </w:p>
    <w:p>
      <w:pPr>
        <w:ind w:right="39"/>
        <w:spacing w:after="0" w:line="232" w:lineRule="auto"/>
        <w:rPr>
          <w:sz w:val="20"/>
          <w:szCs w:val="20"/>
          <w:color w:val="auto"/>
        </w:rPr>
      </w:pPr>
      <w:r>
        <w:rPr>
          <w:rFonts w:ascii="Arial" w:cs="Arial" w:eastAsia="Arial" w:hAnsi="Arial"/>
          <w:sz w:val="17"/>
          <w:szCs w:val="17"/>
          <w:color w:val="auto"/>
        </w:rPr>
        <w:t>The founder shares and private placement shares are each subject to transfer restrictions pursuant to lock-up provisions in the agreements entered into by our sponsor and management team. Our sponsor and our management team have agreed not to transfer, assign or sell (i)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and (ii) any of their private placement shares until 30 days after the completion of our initial business combination. The foregoing restrictions are not applicable to transfers (a) to our officers or directors, any affiliates or family members of any of our officers or directors, any members or partners of our sponsor or their affiliates, any affiliates of our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w:t>
      </w:r>
    </w:p>
    <w:p>
      <w:pPr>
        <w:spacing w:after="0" w:line="1" w:lineRule="exact"/>
        <w:rPr>
          <w:sz w:val="20"/>
          <w:szCs w:val="20"/>
          <w:color w:val="auto"/>
        </w:rPr>
      </w:pPr>
    </w:p>
    <w:p>
      <w:pPr>
        <w:ind w:right="19" w:firstLine="8"/>
        <w:spacing w:after="0" w:line="233" w:lineRule="auto"/>
        <w:tabs>
          <w:tab w:leader="none" w:pos="2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in the case of an individual, pursuant to a qualified domestic relations order; (e) by private sales or transfers made in connection with the consummation of a business combination at prices no greater than the price at which the founder shares or private placement shares, as applicable, were originally purchased; (f) by virtue of our sponsor’s organizational documents upon liquidation or dissolution of our sponsor; (g) to the Company for no value for cancellation in connection with the consummation of our initial business combination; (h) in the event of our liquidation prior to the completion of our initial business combination; or (i) in the event of our completion of a liquidation, merger, share exchange or other similar transaction which results in all of our public shareholders having the right to exchange their Class A ordinary shares for cash, securities or other property subsequent to our completion of our initial business combination;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clauses (a) through (f) these permitted transferees must enter into a written agreement agreeing to be bound by these transfer restrictions and the other restrictions contained in the letter agreement.</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8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On April 2, 2020, we issued 3,593,750 founder shares to our sponsor in exchange for a capital contribution of $25,000, or approximately $0.007 per share. In July 2020, our sponsor transferred 30,000 founder shares to each of Messrs. Campbell, Islam and Wider. Such shares will not be subject to forfeiture in the event the underwriters’ over-allotment option is not exercised. On August 6 , 2020, we effected a share capitalization resulting in our initial shareholders holding 3,737,500 Class B ordinary shares. The number of founder shares issued was determined based on the expectation that such founder shares would represent 20% of the issued and outstanding shares (excluding the private placement shares) upon completion of this offering. Up to 487,500 founder shares held by our sponsor are subject to forfeiture by our sponsor depending on the extent to which the underwriters’ over-allotment option is exercised. The founder shares (including the Class A ordinary shares issuable upon exercise thereof) may not, subject to certain limited exceptions, be transferred, assigned or sold by the holder.</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Our sponsor has committed, pursuant to a written agreement, to purchase 460,000 private placement shares</w:t>
      </w:r>
    </w:p>
    <w:p>
      <w:pPr>
        <w:ind w:right="120"/>
        <w:spacing w:after="0" w:line="235" w:lineRule="auto"/>
        <w:rPr>
          <w:sz w:val="20"/>
          <w:szCs w:val="20"/>
          <w:color w:val="auto"/>
        </w:rPr>
      </w:pPr>
      <w:r>
        <w:rPr>
          <w:rFonts w:ascii="Arial" w:cs="Arial" w:eastAsia="Arial" w:hAnsi="Arial"/>
          <w:sz w:val="17"/>
          <w:szCs w:val="17"/>
          <w:color w:val="auto"/>
        </w:rPr>
        <w:t>(or 499,000 private placement shares if the over-allotment option is exercised in full) for a purchase price of $10.00 per share in a private placement that will occur simultaneously with the closing of this offering. As such, our sponsor’s interest in this transaction is valued at between $4,600,000 and $4,990,000, depending on the number of private placement shares purchased. The private placement shares may not, subject to certain limited exceptions, be transferred, assigned or sold by the holder.</w:t>
      </w:r>
    </w:p>
    <w:p>
      <w:pPr>
        <w:spacing w:after="0" w:line="150"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As more fully discussed in the section of this prospectus entitled “Management — Conflicts of Interest,” if any of our officers or directors becomes aware of a business combination opportunity that falls within the line of business of any entity to which he or she has then-current fiduciary or contractual obligations, he or she will honor his or her fiduciary or contractual obligations to present such opportunity to such entity. Our officers and directors currently have certain relevant fiduciary duties or contractual obligations that may take priority over their duties to us.</w:t>
      </w:r>
    </w:p>
    <w:p>
      <w:pPr>
        <w:spacing w:after="0" w:line="162" w:lineRule="exact"/>
        <w:rPr>
          <w:sz w:val="20"/>
          <w:szCs w:val="20"/>
          <w:color w:val="auto"/>
        </w:rPr>
      </w:pPr>
    </w:p>
    <w:p>
      <w:pPr>
        <w:spacing w:after="0" w:line="204" w:lineRule="auto"/>
        <w:rPr>
          <w:sz w:val="20"/>
          <w:szCs w:val="20"/>
          <w:color w:val="auto"/>
        </w:rPr>
      </w:pPr>
      <w:r>
        <w:rPr>
          <w:rFonts w:ascii="Arial" w:cs="Arial" w:eastAsia="Arial" w:hAnsi="Arial"/>
          <w:sz w:val="17"/>
          <w:szCs w:val="17"/>
          <w:color w:val="auto"/>
        </w:rPr>
        <w:t>We currently maintain our executive offices at 51 Astor Place,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10003. The cost for our use of this space is included in the $10,000 per month fee we will pay to our sponsor for office space, administrative and support services, commencing on the date that our securities are first listed on the Nasdaq. Upon completion of our initial business combination or our liquidation, we will cease paying these monthly fees.</w:t>
      </w:r>
    </w:p>
    <w:p>
      <w:pPr>
        <w:spacing w:after="0" w:line="16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No compensation of any kind, including finder’s and consulting fees, will be paid to our sponsor,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49"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Our sponsor may loan us funds to be used for a portion of the expenses of this offering. These loans would be non-interest bearing, unsecured and are due at the earlier of December 31, 2020 and the closing of this offering. The loan will be repaid upon the closing of this offering out of the estimated $1,000,000 of offering proceeds that has been allocated to the payment of offering expenses and that is not held in the trust account.</w:t>
      </w:r>
    </w:p>
    <w:p>
      <w:pPr>
        <w:spacing w:after="0" w:line="163"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may repay such loaned amounts out of the proceeds of the trust account released to us.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shares at a price of $10.00 per share at the option of the lender. The shares would be identical to the private placement shares. The terms of such loans by our officers and directors, if any, have not been determined and no written agreements exist with respect to such loans. We do not expect to seek loans from parties other than our sponsor, members of our management team or any of their affiliates as we do not believe third parties will be willing to loan such funds and provide a waiver against any and all rights to seek access to funds in our trust account.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our initial business combination, as applicable, as it will be up to the directors of the post-combination business to determine executive and director compensation.</w:t>
      </w:r>
    </w:p>
    <w:p>
      <w:pPr>
        <w:spacing w:after="0" w:line="16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will enter into a registration and shareholder rights agreement pursuant to which our initial shareholders, and their permitted transferees, if any, will be entitled to certain registration rights with respect to the private placement shares, including the private placement shares issuable upon conversion of working capital loans (if any) and the Class A ordinary shares issuable upon conversion of the founder shares. Further, 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 which is described under the section of this prospectus entitled “Description of Securities — Registration and Shareholder Rights.”</w:t>
      </w:r>
    </w:p>
    <w:p>
      <w:pPr>
        <w:spacing w:after="0" w:line="16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sponsor has indicated an interest to purchase up to an aggregate of $25,000,000 of our ordinary shares in a private placement that would occur concurrently with the consummation of our initial business combination. The funds from such private placement would be used as part of the consideration to the sellers in our initial business combination, and any excess funds from such private placement would be used for working capital in the post-business combination company.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Such investment would be made on terms and conditions determined at the time of the business combination.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for Approval of Related Party Transactions</w:t>
      </w:r>
    </w:p>
    <w:p>
      <w:pPr>
        <w:spacing w:after="0" w:line="189"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The audit committee of our board of directors will adopt a charter, providing for the review, approval and/or ratification of “related party transactions,” which are those transactions required to be disclosed pursuant to Item 404 of Regulation S-K as promulgated by the SEC, by the audit committee. At its meetings,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SECURITIES</w:t>
      </w:r>
    </w:p>
    <w:p>
      <w:pPr>
        <w:spacing w:after="0" w:line="188" w:lineRule="exact"/>
        <w:rPr>
          <w:sz w:val="20"/>
          <w:szCs w:val="20"/>
          <w:color w:val="auto"/>
        </w:rPr>
      </w:pPr>
    </w:p>
    <w:p>
      <w:pPr>
        <w:ind w:right="39"/>
        <w:spacing w:after="0" w:line="234" w:lineRule="auto"/>
        <w:rPr>
          <w:sz w:val="20"/>
          <w:szCs w:val="20"/>
          <w:color w:val="auto"/>
        </w:rPr>
      </w:pPr>
      <w:r>
        <w:rPr>
          <w:rFonts w:ascii="Arial" w:cs="Arial" w:eastAsia="Arial" w:hAnsi="Arial"/>
          <w:sz w:val="17"/>
          <w:szCs w:val="17"/>
          <w:color w:val="auto"/>
        </w:rPr>
        <w:t>We are a Cayman Islands exempted company and our affairs will be governed by our amended and restated memorandum and articles of association, the Companies Law and the common law of the Cayman Islands. Pursuant to our amended and restated memorandum and articles of association which will be adopted prior to the consummation of this offering, we will be authorized to issue 479,000,000 Class A ordinary shares and 20,000,000 Class B ordinary shares, as well as 1,000,000 preference shares, $0.0001 par value each. The following description summarizes certain terms of our shares as set out more particularly in our amended and restated memorandum and articles of association. Because it is only a summary, it may not contain all the information that is important to you.</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Ordinary Shares</w:t>
      </w:r>
    </w:p>
    <w:p>
      <w:pPr>
        <w:spacing w:after="0" w:line="189" w:lineRule="exact"/>
        <w:rPr>
          <w:sz w:val="20"/>
          <w:szCs w:val="20"/>
          <w:color w:val="auto"/>
        </w:rPr>
      </w:pPr>
    </w:p>
    <w:p>
      <w:pPr>
        <w:ind w:right="59"/>
        <w:spacing w:after="0" w:line="235" w:lineRule="auto"/>
        <w:rPr>
          <w:sz w:val="20"/>
          <w:szCs w:val="20"/>
          <w:color w:val="auto"/>
        </w:rPr>
      </w:pPr>
      <w:r>
        <w:rPr>
          <w:rFonts w:ascii="Arial" w:cs="Arial" w:eastAsia="Arial" w:hAnsi="Arial"/>
          <w:sz w:val="17"/>
          <w:szCs w:val="17"/>
          <w:color w:val="auto"/>
        </w:rPr>
        <w:t>Prior to the date of this prospectus, there were 3,737,500 Class B ordinary shares issued and outstanding, all of which were held of record by our initial shareholders, so that our initial shareholders will own 20% of our issued and outstanding shares (excluding the private placement shares and assuming our initial shareholders do not purchase any shares in this offering) after this offering. Upon the closing of this offering, 16,710,000 of our ordinary shares will be outstanding (assuming no exercise of the underwriters’ over-allotment option) including:</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13,000,000 Class A ordinary shares issued as part of this offering;</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460,000 private placement shares issued simultaneously with the closing of this offering; and</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3,250,000 Class B ordinary shares held by our initial shareholders.</w:t>
      </w:r>
    </w:p>
    <w:p>
      <w:pPr>
        <w:spacing w:after="0" w:line="169" w:lineRule="exact"/>
        <w:rPr>
          <w:sz w:val="20"/>
          <w:szCs w:val="20"/>
          <w:color w:val="auto"/>
        </w:rPr>
      </w:pPr>
    </w:p>
    <w:p>
      <w:pPr>
        <w:ind w:right="19"/>
        <w:spacing w:after="0" w:line="233" w:lineRule="auto"/>
        <w:rPr>
          <w:sz w:val="20"/>
          <w:szCs w:val="20"/>
          <w:color w:val="auto"/>
        </w:rPr>
      </w:pPr>
      <w:r>
        <w:rPr>
          <w:rFonts w:ascii="Arial" w:cs="Arial" w:eastAsia="Arial" w:hAnsi="Arial"/>
          <w:sz w:val="17"/>
          <w:szCs w:val="17"/>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Law or applicable stock exchange rules, the affirmative vote of a majority of our ordinary shares that are voted is required to approve any such matter voted on by our shareholders. Approval of certain actions will require a special resolution under Cayman Islands law, being the affirmative vote of at least two-thirds of our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terms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shareholders are entitled to receive ratable dividends when, as and if declared by the board of directors out of funds legally available therefor. 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 provisions of our amended and restated memorandum and articles of association governing the appointment or removal of directors prior to our initial business combination may only be amended by a special resolution passed by holders representing at least two-thirds of our outstanding Class B ordinary shares.</w:t>
      </w:r>
    </w:p>
    <w:p>
      <w:pPr>
        <w:spacing w:after="0" w:line="147" w:lineRule="exact"/>
        <w:rPr>
          <w:sz w:val="20"/>
          <w:szCs w:val="20"/>
          <w:color w:val="auto"/>
        </w:rPr>
      </w:pPr>
    </w:p>
    <w:p>
      <w:pPr>
        <w:ind w:right="19"/>
        <w:spacing w:after="0" w:line="235" w:lineRule="auto"/>
        <w:rPr>
          <w:sz w:val="20"/>
          <w:szCs w:val="20"/>
          <w:color w:val="auto"/>
        </w:rPr>
      </w:pPr>
      <w:r>
        <w:rPr>
          <w:rFonts w:ascii="Arial" w:cs="Arial" w:eastAsia="Arial" w:hAnsi="Arial"/>
          <w:sz w:val="17"/>
          <w:szCs w:val="17"/>
          <w:color w:val="auto"/>
        </w:rPr>
        <w:t>Because our amended and restated memorandum and articles of association will authorize the issuance of up to 479,000,000 Class A ordinary shares, if we were to enter into a business combination, we may (depending on the terms of such a business combination) be required to increase the number of Class A ordinary shares which we are authorized to issue at the same time as our shareholders vote on the business combination to the extent we seek shareholder approval in connection with our initial business combination.</w:t>
      </w:r>
    </w:p>
    <w:p>
      <w:pPr>
        <w:spacing w:after="0" w:line="163" w:lineRule="exact"/>
        <w:rPr>
          <w:sz w:val="20"/>
          <w:szCs w:val="20"/>
          <w:color w:val="auto"/>
        </w:rPr>
      </w:pPr>
    </w:p>
    <w:p>
      <w:pPr>
        <w:ind w:right="79"/>
        <w:spacing w:after="0" w:line="234" w:lineRule="auto"/>
        <w:rPr>
          <w:sz w:val="20"/>
          <w:szCs w:val="20"/>
          <w:color w:val="auto"/>
        </w:rPr>
      </w:pPr>
      <w:r>
        <w:rPr>
          <w:rFonts w:ascii="Arial" w:cs="Arial" w:eastAsia="Arial" w:hAnsi="Arial"/>
          <w:sz w:val="17"/>
          <w:szCs w:val="17"/>
          <w:color w:val="auto"/>
        </w:rPr>
        <w:t>Our board of directors is divided into three classes with only one class of directors being elected in each year and each class (except for those directors appointed prior to our first annual meeting of shareholders) serving a three-year term. In accordance with Nasdaq corporate governance requirements, we are not required to hold an annual meeting until one year after our first fiscal year end following our listing on Nasdaq. As an exempted company, there is no requirement under the Companies Law for us to hold annual or shareholder meetings to elect directors. We may not hold an annual meeting of shareholders to elect new directors prior to the consummation of our initial business combination. Prior to the</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61"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income taxes, if any, divided by the number of the then-outstanding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rights may include the requirement that a beneficial owner must identify itself in order to valid redeem its shares. Our sponsor and our management team have entered into an agreement with us, pursuant to which they have agreed to waive their 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applicable law or stock exchange rule and we do not decide to hold a shareholder vote for business or other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will require these tender offer documents to contain substantially the same financial and other information about the initial business combination and the redemption rights as is required under the SEC’s proxy rules. If, however, a shareholder approval of the transaction is required by applicable law or stock exchange rule, or we decide to obtain shareholder approval for business or other reasons, we will, like many blank check companies, offer to redeem shares in conjunction with a proxy solicitation pursuant to the proxy rules and not pursuant to the tender offer rules. If we seek shareholder approval, we will complete our initial business combination only if a majority of the ordinary shares, represented in person or by proxy and entitled to vote thereon, voted at a shareholder meeting are voted in favor of the business combination. However, the participation of our sponsor, officers, directors, advisors or their affiliates in privately-negotiated transactions (as described in this prospectus), if any, could result in the approval of our initial business combination even if a majority of our public shareholders vote, or indicate their intention to vote, against such initial business combination unless restricted by applicable Nasdaq rules. For purposes of seeking approval of the majority of our issued and outstanding ordinary shares, non-votes will have no effect on the approval of our initial business combination once a quorum is obtained. Our amended and restated memorandum and articles of association will require that at least five clear days’ notice will be given of any shareholder meeting.</w:t>
      </w:r>
    </w:p>
    <w:p>
      <w:pPr>
        <w:spacing w:after="0" w:line="177"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public shares purchased during or after this offering in favor of our initial business combination. As a result, in addition to our initial shareholders’ founder shares and private placement shares, we would need 4,645,001, or 35.73%, of the 13,000,000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over-allotment option is not exercised). The other members of our management team are subject to the same arrangements with respect to any public shares acquired by them in or after this offering. Additionally, each public shareholder may elect to redeem their public shares irrespective of whether they vote for or against the proposed transaction or vote at all.</w:t>
      </w:r>
    </w:p>
    <w:p>
      <w:pPr>
        <w:spacing w:after="0" w:line="166"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Pursuant to our amended and restated memorandum and articles of association, if we do not consummate an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each case of clause (ii) and (iii), to our obligations under Cayman Islands law to provide for claims of creditors and the requirements of other applicable law. Our sponsor and each member of our management team have entered into an agreement with us, pursuant to which they have agreed to waive their rights to liquidating distributions from the trust account with respect to any founder shares or private placement shares they hold if we fail to consummate an initial business combination within 24 months from the closing of this offering (although they will be entitled to liquidating distributions from the trust account with respect to any public shares they hold if we fail to complete our initial business combination within 24 months from the closing of this offering).</w:t>
      </w:r>
    </w:p>
    <w:p>
      <w:pPr>
        <w:spacing w:after="0" w:line="163"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and not previously released to us to pay our income taxes, if any, divided by the number of the then-outstanding public shares, upon the completion of our initial business combination, subject to the limitations described herein.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Private Placement Shares</w:t>
      </w:r>
    </w:p>
    <w:p>
      <w:pPr>
        <w:spacing w:after="0" w:line="18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private placement shares will not be transferable or salable until 30 days after the completion of our initial business combination (except, among other limited exceptions as described under “Principal Shareholders — Transfers of Founder Shares and Private Placement Shares,” to our officers and directors and other persons or entities affiliated with our sponsor). Holders of our private placement shares are entitled to certain registration rights. If we do not consummate an initial business combination within 24 months from the closing of this offering, the proceeds from the sale of the private placement shares held in the trust account will be used to fund the redemption of our public shares (subject to the requirements of applicable law) and the private placement shares will be worthless. Further, 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any public shares purchased during or after this offering in favor of our initial business combination. Otherwise, the private placement shares are identical to the Class A ordinary shares sold in this offering.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Our sponsor and our management team have agreed not to transfer, assign or sell any of their private placement shares, until 30 days after the completion of our initial business combination, except that, among other limited exceptions as described under the section of this prospectus entitled “Principal Shareholders — Transfers of Founder Shares and Private Placement Shares,” to our officers and directors and other persons or entities affiliated with our sponsor” made to our officers and directors and other persons or entities affiliated with our sponsor.</w:t>
      </w:r>
    </w:p>
    <w:p>
      <w:pPr>
        <w:spacing w:after="0" w:line="16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Up to $1,500,000 of such loans may be convertible into shares of the post-business combination company at a price of $10.00 per share at the option of the lender. Such shares would be identical to the private placement shares.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Founder Shares</w:t>
      </w:r>
    </w:p>
    <w:p>
      <w:pPr>
        <w:spacing w:after="0" w:line="189"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The founder shares are designated as Class B ordinary shares and, except as described below, are identical to the Class A ordinary shares being sold in this offering, and holders of founder shares have the same shareholder rights as public shareholders, except that:</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founder shares are subject to certain transfer restrictions, as described in more detail below;</w:t>
      </w:r>
    </w:p>
    <w:p>
      <w:pPr>
        <w:spacing w:after="0" w:line="102" w:lineRule="exact"/>
        <w:rPr>
          <w:sz w:val="20"/>
          <w:szCs w:val="20"/>
          <w:color w:val="auto"/>
        </w:rPr>
      </w:pPr>
    </w:p>
    <w:p>
      <w:pPr>
        <w:ind w:left="580" w:right="20"/>
        <w:spacing w:after="0" w:line="233" w:lineRule="auto"/>
        <w:rPr>
          <w:sz w:val="20"/>
          <w:szCs w:val="20"/>
          <w:color w:val="auto"/>
        </w:rPr>
      </w:pPr>
      <w:r>
        <w:rPr>
          <w:rFonts w:ascii="Arial" w:cs="Arial" w:eastAsia="Arial" w:hAnsi="Arial"/>
          <w:sz w:val="17"/>
          <w:szCs w:val="17"/>
          <w:color w:val="auto"/>
        </w:rPr>
        <w:t>our sponsor and our management team have entered into an agreement with us, pursuant to which they have agreed to (i) waive their redemption rights with respect to any founder shares, private placement shares and public shares they hold, (ii) to waive their redemption rights with respect to any founder shares, private placement shares and any public shares purchased during or after this offering in connection with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and (iii) waive their rights to liquidating distributions from the trust account with respect to any founder shares or private placement shares they hold if we fail to consummate an initial business combination within 24 months from the closing of this offering (although they will be entitled to liquidating distributions from the trust account with respect to any public shares they hold if we fail to complete our initial business combination within 24 months from the closing of this offering);</w:t>
      </w:r>
    </w:p>
    <w:p>
      <w:pPr>
        <w:spacing w:after="0" w:line="97" w:lineRule="exact"/>
        <w:rPr>
          <w:sz w:val="20"/>
          <w:szCs w:val="20"/>
          <w:color w:val="auto"/>
        </w:rPr>
      </w:pPr>
    </w:p>
    <w:p>
      <w:pPr>
        <w:ind w:left="580"/>
        <w:spacing w:after="0" w:line="238" w:lineRule="auto"/>
        <w:rPr>
          <w:sz w:val="20"/>
          <w:szCs w:val="20"/>
          <w:color w:val="auto"/>
        </w:rPr>
      </w:pPr>
      <w:r>
        <w:rPr>
          <w:rFonts w:ascii="Arial" w:cs="Arial" w:eastAsia="Arial" w:hAnsi="Arial"/>
          <w:sz w:val="17"/>
          <w:szCs w:val="17"/>
          <w:color w:val="auto"/>
        </w:rPr>
        <w:t>the founder shares will automatically convert into our Class A ordinary shares at the time of our initial business combination as described below adjacent to the caption “Founder shares conversion and anti-dilution rights” and in our amended and restated memorandum and articles of association; and</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founder shares are entitled to registration rights.</w:t>
      </w:r>
    </w:p>
    <w:p>
      <w:pPr>
        <w:spacing w:after="0" w:line="169" w:lineRule="exact"/>
        <w:rPr>
          <w:sz w:val="20"/>
          <w:szCs w:val="20"/>
          <w:color w:val="auto"/>
        </w:rPr>
      </w:pPr>
    </w:p>
    <w:p>
      <w:pPr>
        <w:ind w:right="40"/>
        <w:spacing w:after="0"/>
        <w:rPr>
          <w:sz w:val="20"/>
          <w:szCs w:val="20"/>
          <w:color w:val="auto"/>
        </w:rPr>
      </w:pPr>
      <w:r>
        <w:rPr>
          <w:rFonts w:ascii="Arial" w:cs="Arial" w:eastAsia="Arial" w:hAnsi="Arial"/>
          <w:sz w:val="17"/>
          <w:szCs w:val="17"/>
          <w:color w:val="auto"/>
        </w:rPr>
        <w:t>If we submit our initial business combination to our public shareholders for a vote, our sponsor and our management team have agreed to vote their founder shares, private placement shares and any public shares purchased during or after this offering in favor of our initial business combination. 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any public shares purchased during or after this offering in favor of our initial business combination. As a result, in addition to our initial shareholders’ founder shares and private placement shares, we would need 4,645,001, or 35.73%, of the 13,000,000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over-allotment option is not exercised);</w:t>
      </w:r>
    </w:p>
    <w:p>
      <w:pPr>
        <w:spacing w:after="0" w:line="280"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The founder shares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completion of this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our sponsor, members of our management team or any of their affiliates upon conversion of working capital loans. In no event will the Class B ordinary shares convert into Class A ordinary shares at a rate of less than one to one.</w:t>
      </w:r>
    </w:p>
    <w:p>
      <w:pPr>
        <w:spacing w:after="0" w:line="164" w:lineRule="exact"/>
        <w:rPr>
          <w:sz w:val="20"/>
          <w:szCs w:val="20"/>
          <w:color w:val="auto"/>
        </w:rPr>
      </w:pPr>
    </w:p>
    <w:p>
      <w:pPr>
        <w:ind w:right="220"/>
        <w:spacing w:after="0" w:line="232" w:lineRule="auto"/>
        <w:rPr>
          <w:sz w:val="20"/>
          <w:szCs w:val="20"/>
          <w:color w:val="auto"/>
        </w:rPr>
      </w:pPr>
      <w:r>
        <w:rPr>
          <w:rFonts w:ascii="Arial" w:cs="Arial" w:eastAsia="Arial" w:hAnsi="Arial"/>
          <w:sz w:val="17"/>
          <w:szCs w:val="17"/>
          <w:color w:val="auto"/>
        </w:rPr>
        <w:t>Except as described herein, our sponsor and our management team have agreed not to transfer, assign or sell any of their founder shares until the earliest of (A) one year after the completion of our initial business combination and</w:t>
      </w:r>
    </w:p>
    <w:p>
      <w:pPr>
        <w:ind w:right="20" w:firstLine="8"/>
        <w:spacing w:after="0" w:line="233" w:lineRule="auto"/>
        <w:tabs>
          <w:tab w:leader="none" w:pos="275"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Any permitted transferees will be subject to the same restrictions and other agreements of our sponsor and management team with respect to any founder shares and private placement shares. We refer to such transfer restrictions throughout this prospectus as the lock-up. Notwithstanding the foregoing,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67"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Prior to the completion of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holders representing at least two-thirds of our outstanding Class B ordinary shares.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Register of Members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Under the Companies Law, we must keep a register of members and there should be entered therein:</w:t>
      </w:r>
    </w:p>
    <w:p>
      <w:pPr>
        <w:spacing w:after="0" w:line="102" w:lineRule="exact"/>
        <w:rPr>
          <w:sz w:val="20"/>
          <w:szCs w:val="20"/>
          <w:color w:val="auto"/>
        </w:rPr>
      </w:pPr>
    </w:p>
    <w:p>
      <w:pPr>
        <w:ind w:left="580" w:right="340"/>
        <w:spacing w:after="0" w:line="243" w:lineRule="auto"/>
        <w:rPr>
          <w:sz w:val="20"/>
          <w:szCs w:val="20"/>
          <w:color w:val="auto"/>
        </w:rPr>
      </w:pPr>
      <w:r>
        <w:rPr>
          <w:rFonts w:ascii="Arial" w:cs="Arial" w:eastAsia="Arial" w:hAnsi="Arial"/>
          <w:sz w:val="17"/>
          <w:szCs w:val="17"/>
          <w:color w:val="auto"/>
        </w:rPr>
        <w:t>the names and addresses of the members of the company, a statement of the shares held by each member, which:</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distinguishes each share by its number (so long as the share has a number);</w:t>
      </w:r>
    </w:p>
    <w:p>
      <w:pPr>
        <w:spacing w:after="0" w:line="102" w:lineRule="exact"/>
        <w:rPr>
          <w:sz w:val="20"/>
          <w:szCs w:val="20"/>
          <w:color w:val="auto"/>
        </w:rPr>
      </w:pPr>
    </w:p>
    <w:p>
      <w:pPr>
        <w:ind w:left="920" w:right="1060"/>
        <w:spacing w:after="0" w:line="364" w:lineRule="auto"/>
        <w:rPr>
          <w:sz w:val="20"/>
          <w:szCs w:val="20"/>
          <w:color w:val="auto"/>
        </w:rPr>
      </w:pPr>
      <w:r>
        <w:rPr>
          <w:rFonts w:ascii="Arial" w:cs="Arial" w:eastAsia="Arial" w:hAnsi="Arial"/>
          <w:sz w:val="17"/>
          <w:szCs w:val="17"/>
          <w:color w:val="auto"/>
        </w:rPr>
        <w:t>confirms the amount paid, or agreed to be considered as paid, on the shares of each member; confirms the number and category of shares held by each member; and</w:t>
      </w:r>
    </w:p>
    <w:p>
      <w:pPr>
        <w:spacing w:after="0" w:line="1" w:lineRule="exact"/>
        <w:rPr>
          <w:sz w:val="20"/>
          <w:szCs w:val="20"/>
          <w:color w:val="auto"/>
        </w:rPr>
      </w:pPr>
    </w:p>
    <w:p>
      <w:pPr>
        <w:ind w:left="920" w:right="620"/>
        <w:spacing w:after="0" w:line="243" w:lineRule="auto"/>
        <w:rPr>
          <w:sz w:val="20"/>
          <w:szCs w:val="20"/>
          <w:color w:val="auto"/>
        </w:rPr>
      </w:pPr>
      <w:r>
        <w:rPr>
          <w:rFonts w:ascii="Arial" w:cs="Arial" w:eastAsia="Arial" w:hAnsi="Arial"/>
          <w:sz w:val="17"/>
          <w:szCs w:val="17"/>
          <w:color w:val="auto"/>
        </w:rPr>
        <w:t>confirms whether each relevant category of shares held by a member carries voting rights under the Articles, and if so, whether such voting rights are conditional;</w:t>
      </w:r>
    </w:p>
    <w:p>
      <w:pPr>
        <w:spacing w:after="0" w:line="90" w:lineRule="exact"/>
        <w:rPr>
          <w:sz w:val="20"/>
          <w:szCs w:val="20"/>
          <w:color w:val="auto"/>
        </w:rPr>
      </w:pPr>
    </w:p>
    <w:p>
      <w:pPr>
        <w:ind w:left="580" w:right="1760"/>
        <w:spacing w:after="0" w:line="375" w:lineRule="auto"/>
        <w:rPr>
          <w:sz w:val="20"/>
          <w:szCs w:val="20"/>
          <w:color w:val="auto"/>
        </w:rPr>
      </w:pPr>
      <w:r>
        <w:rPr>
          <w:rFonts w:ascii="Arial" w:cs="Arial" w:eastAsia="Arial" w:hAnsi="Arial"/>
          <w:sz w:val="17"/>
          <w:szCs w:val="17"/>
          <w:color w:val="auto"/>
        </w:rPr>
        <w:t>the date on which the name of any person was entered on the register as a member; and the date on which any person ceased to be a member.</w:t>
      </w:r>
    </w:p>
    <w:p>
      <w:pPr>
        <w:spacing w:after="0" w:line="51" w:lineRule="exact"/>
        <w:rPr>
          <w:sz w:val="20"/>
          <w:szCs w:val="20"/>
          <w:color w:val="auto"/>
        </w:rPr>
      </w:pPr>
    </w:p>
    <w:p>
      <w:pPr>
        <w:jc w:val="both"/>
        <w:ind w:right="360"/>
        <w:spacing w:after="0" w:line="238" w:lineRule="auto"/>
        <w:rPr>
          <w:sz w:val="20"/>
          <w:szCs w:val="20"/>
          <w:color w:val="auto"/>
        </w:rPr>
      </w:pPr>
      <w:r>
        <w:rPr>
          <w:rFonts w:ascii="Arial" w:cs="Arial" w:eastAsia="Arial" w:hAnsi="Arial"/>
          <w:sz w:val="17"/>
          <w:szCs w:val="17"/>
          <w:color w:val="auto"/>
        </w:rPr>
        <w:t>For these purposes, “voting rights” means rights conferred on shareholders, including the right to appoint or remove directors, in respect of their shares to vote at general meetings of the company on all or substantially all matters. A voting right is conditional where the voting right arises only in certain circumstances.</w:t>
      </w:r>
    </w:p>
    <w:p>
      <w:pPr>
        <w:spacing w:after="0" w:line="147"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Preference Shares</w:t>
      </w:r>
    </w:p>
    <w:p>
      <w:pPr>
        <w:spacing w:after="0" w:line="176"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Our amended and restated memorandum and articles of association will authorize 1,000,000 preference shares and will provide that preference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 No preference shares are being issued or registered in this offering.</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76"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we will only pay such dividend out of our profits or share premium (subject to solvency requirements) as permitted under Cayman Islands law. Further, if we incur any indebtedness in connection with a business combination, our ability to declare dividends may be limited by restrictive covenants we may agree to in connection therewith.</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Transfer Agent</w:t>
      </w:r>
    </w:p>
    <w:p>
      <w:pPr>
        <w:spacing w:after="0" w:line="17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transfer agent for our ordinary shares is Continental Stock Transfer &amp; Trust Company. We have agreed to indemnify Continental Stock Transfer &amp; Trust Company in its roles as transfer agent, its agents and each of its shareholders, directors, officers and employees against all claims and losses that may arise out of acts performed or omitted for its activities in that capacity, except for any claims and losses due to any gross negligence or intentional misconduct of the indemnified person or entity.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Differences in Corporate Law</w:t>
      </w:r>
    </w:p>
    <w:p>
      <w:pPr>
        <w:spacing w:after="0" w:line="176"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Cayman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spacing w:after="0" w:line="145"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i w:val="1"/>
          <w:iCs w:val="1"/>
          <w:color w:val="auto"/>
        </w:rPr>
        <w:t>Mergers and Similar Arrangements</w:t>
      </w:r>
      <w:r>
        <w:rPr>
          <w:rFonts w:ascii="Arial" w:cs="Arial" w:eastAsia="Arial" w:hAnsi="Arial"/>
          <w:sz w:val="17"/>
          <w:szCs w:val="17"/>
          <w:color w:val="auto"/>
        </w:rPr>
        <w:t>. In certain circumstances, the Companies Law allows for mergers or consolidations</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two Cayman Islands companies, or between a Cayman Islands exempted company and a company incorporated in another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is facilitated by the laws of that other jurisdiction) so as to form a single surviving company.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Where the merger or consolidation is between two Cayman Islands companies, the directors of each company must approve and enter into a written plan of merger or consolidation containing certain prescribed information. That plan or merger or consolidation must then be authorized by either (a) a special resolution (usually a majority of two-thirds in value of the voting shares voted at a shareholder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spacing w:after="0" w:line="16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spacing w:after="0" w:line="167"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54"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Where the above procedures are adopted, the Companies Law provides certain limited appraisal rights for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 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6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99" w:lineRule="exact"/>
        <w:rPr>
          <w:sz w:val="20"/>
          <w:szCs w:val="20"/>
          <w:color w:val="auto"/>
        </w:rPr>
      </w:pPr>
    </w:p>
    <w:p>
      <w:pPr>
        <w:ind w:left="580" w:right="120"/>
        <w:spacing w:after="0" w:line="243" w:lineRule="auto"/>
        <w:rPr>
          <w:sz w:val="20"/>
          <w:szCs w:val="20"/>
          <w:color w:val="auto"/>
        </w:rPr>
      </w:pPr>
      <w:r>
        <w:rPr>
          <w:rFonts w:ascii="Arial" w:cs="Arial" w:eastAsia="Arial" w:hAnsi="Arial"/>
          <w:sz w:val="17"/>
          <w:szCs w:val="17"/>
          <w:color w:val="auto"/>
        </w:rPr>
        <w:t>we are not proposing to act illegally or beyond the scope of our corporate authority and the statutory provisions as to majority vote have been complied with;</w:t>
      </w:r>
    </w:p>
    <w:p>
      <w:pPr>
        <w:spacing w:after="0" w:line="90" w:lineRule="exact"/>
        <w:rPr>
          <w:sz w:val="20"/>
          <w:szCs w:val="20"/>
          <w:color w:val="auto"/>
        </w:rPr>
      </w:pPr>
    </w:p>
    <w:p>
      <w:pPr>
        <w:ind w:left="580" w:right="2800"/>
        <w:spacing w:after="0" w:line="364" w:lineRule="auto"/>
        <w:rPr>
          <w:sz w:val="20"/>
          <w:szCs w:val="20"/>
          <w:color w:val="auto"/>
        </w:rPr>
      </w:pPr>
      <w:r>
        <w:rPr>
          <w:rFonts w:ascii="Arial" w:cs="Arial" w:eastAsia="Arial" w:hAnsi="Arial"/>
          <w:sz w:val="17"/>
          <w:szCs w:val="17"/>
          <w:color w:val="auto"/>
        </w:rPr>
        <w:t>the shareholders have been fairly represented at the meeting in question; the arrangement is such as a businessman would reasonably approve; and</w:t>
      </w:r>
    </w:p>
    <w:p>
      <w:pPr>
        <w:spacing w:after="0" w:line="1" w:lineRule="exact"/>
        <w:rPr>
          <w:sz w:val="20"/>
          <w:szCs w:val="20"/>
          <w:color w:val="auto"/>
        </w:rPr>
      </w:pPr>
    </w:p>
    <w:p>
      <w:pPr>
        <w:ind w:left="580" w:right="800"/>
        <w:spacing w:after="0" w:line="243" w:lineRule="auto"/>
        <w:rPr>
          <w:sz w:val="20"/>
          <w:szCs w:val="20"/>
          <w:color w:val="auto"/>
        </w:rPr>
      </w:pPr>
      <w:r>
        <w:rPr>
          <w:rFonts w:ascii="Arial" w:cs="Arial" w:eastAsia="Arial" w:hAnsi="Arial"/>
          <w:sz w:val="17"/>
          <w:szCs w:val="17"/>
          <w:color w:val="auto"/>
        </w:rPr>
        <w:t>the arrangement is not one that would more properly be sanctioned under some other provision of the Companies Law or that would amount to a “fraud on the minority.”</w:t>
      </w:r>
    </w:p>
    <w:p>
      <w:pPr>
        <w:spacing w:after="0" w:line="158"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29" w:lineRule="exact"/>
        <w:rPr>
          <w:sz w:val="20"/>
          <w:szCs w:val="20"/>
          <w:color w:val="auto"/>
        </w:rPr>
      </w:pPr>
    </w:p>
    <w:p>
      <w:pPr>
        <w:ind w:right="40"/>
        <w:spacing w:after="0"/>
        <w:rPr>
          <w:sz w:val="20"/>
          <w:szCs w:val="20"/>
          <w:color w:val="auto"/>
        </w:rPr>
      </w:pPr>
      <w:r>
        <w:rPr>
          <w:rFonts w:ascii="Arial" w:cs="Arial" w:eastAsia="Arial" w:hAnsi="Arial"/>
          <w:sz w:val="17"/>
          <w:szCs w:val="17"/>
          <w:i w:val="1"/>
          <w:iCs w:val="1"/>
          <w:color w:val="auto"/>
        </w:rPr>
        <w:t>Squeeze-out Provisions</w:t>
      </w:r>
      <w:r>
        <w:rPr>
          <w:rFonts w:ascii="Arial" w:cs="Arial" w:eastAsia="Arial" w:hAnsi="Arial"/>
          <w:sz w:val="17"/>
          <w:szCs w:val="17"/>
          <w:color w:val="auto"/>
        </w:rPr>
        <w:t>. When a tender offer is made and accepted by holders of 90% of the shares to whom the offer</w:t>
      </w:r>
      <w:r>
        <w:rPr>
          <w:rFonts w:ascii="Arial" w:cs="Arial" w:eastAsia="Arial" w:hAnsi="Arial"/>
          <w:sz w:val="17"/>
          <w:szCs w:val="17"/>
          <w:i w:val="1"/>
          <w:iCs w:val="1"/>
          <w:color w:val="auto"/>
        </w:rPr>
        <w:t xml:space="preserve"> </w:t>
      </w:r>
      <w:r>
        <w:rPr>
          <w:rFonts w:ascii="Arial" w:cs="Arial" w:eastAsia="Arial" w:hAnsi="Arial"/>
          <w:sz w:val="17"/>
          <w:szCs w:val="17"/>
          <w:color w:val="auto"/>
        </w:rPr>
        <w:t>relates within four 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61"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143"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i w:val="1"/>
          <w:iCs w:val="1"/>
          <w:color w:val="auto"/>
        </w:rPr>
        <w:t>Shareholders’ Suits</w:t>
      </w:r>
      <w:r>
        <w:rPr>
          <w:rFonts w:ascii="Arial" w:cs="Arial" w:eastAsia="Arial" w:hAnsi="Arial"/>
          <w:sz w:val="17"/>
          <w:szCs w:val="17"/>
          <w:color w:val="auto"/>
        </w:rPr>
        <w:t>. Our Cayman Islands counsel is not aware of any reported class action having been brought in a</w:t>
      </w:r>
      <w:r>
        <w:rPr>
          <w:rFonts w:ascii="Arial" w:cs="Arial" w:eastAsia="Arial" w:hAnsi="Arial"/>
          <w:sz w:val="17"/>
          <w:szCs w:val="17"/>
          <w:i w:val="1"/>
          <w:iCs w:val="1"/>
          <w:color w:val="auto"/>
        </w:rPr>
        <w:t xml:space="preserve"> </w:t>
      </w:r>
      <w:r>
        <w:rPr>
          <w:rFonts w:ascii="Arial" w:cs="Arial" w:eastAsia="Arial" w:hAnsi="Arial"/>
          <w:sz w:val="17"/>
          <w:szCs w:val="17"/>
          <w:color w:val="auto"/>
        </w:rPr>
        <w:t>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9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 company is acting, or proposing to act, illegally or ultra vires (beyond the scope of its authority);</w:t>
      </w:r>
    </w:p>
    <w:p>
      <w:pPr>
        <w:spacing w:after="0" w:line="102" w:lineRule="exact"/>
        <w:rPr>
          <w:sz w:val="20"/>
          <w:szCs w:val="20"/>
          <w:color w:val="auto"/>
        </w:rPr>
      </w:pPr>
    </w:p>
    <w:p>
      <w:pPr>
        <w:ind w:left="580" w:right="280"/>
        <w:spacing w:after="0" w:line="243" w:lineRule="auto"/>
        <w:rPr>
          <w:sz w:val="20"/>
          <w:szCs w:val="20"/>
          <w:color w:val="auto"/>
        </w:rPr>
      </w:pPr>
      <w:r>
        <w:rPr>
          <w:rFonts w:ascii="Arial" w:cs="Arial" w:eastAsia="Arial" w:hAnsi="Arial"/>
          <w:sz w:val="17"/>
          <w:szCs w:val="17"/>
          <w:color w:val="auto"/>
        </w:rPr>
        <w:t>the act complained of, although not beyond the scope of the authority, could be effected if duly authorized by more than the number of votes which have actually been obtained; or</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those who control the company are perpetrating a “fraud on the minority.”</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A shareholder may have a direct right of action against us where the individual rights of that shareholder have been infringed or are about to be infringed.</w:t>
      </w:r>
    </w:p>
    <w:p>
      <w:pPr>
        <w:spacing w:after="0" w:line="140"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i w:val="1"/>
          <w:iCs w:val="1"/>
          <w:color w:val="auto"/>
        </w:rPr>
        <w:t>Enforcement of Civil Liabilities</w:t>
      </w:r>
      <w:r>
        <w:rPr>
          <w:rFonts w:ascii="Arial" w:cs="Arial" w:eastAsia="Arial" w:hAnsi="Arial"/>
          <w:sz w:val="17"/>
          <w:szCs w:val="17"/>
          <w:color w:val="auto"/>
        </w:rPr>
        <w:t>. The Cayman Islands has a different body of securities laws as compared to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and provides less protection to investors. Additionally, Cayman Islands companies may not have standing to sue before the Federal courts of the United States.</w:t>
      </w:r>
    </w:p>
    <w:p>
      <w:pPr>
        <w:spacing w:after="0" w:line="155"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 xml:space="preserve">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32"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Special Considerations for Exempted Companies</w:t>
      </w:r>
      <w:r>
        <w:rPr>
          <w:rFonts w:ascii="Arial" w:cs="Arial" w:eastAsia="Arial" w:hAnsi="Arial"/>
          <w:sz w:val="17"/>
          <w:szCs w:val="17"/>
          <w:color w:val="auto"/>
        </w:rPr>
        <w:t>. We are an exempted company with limited liability (meaning our</w:t>
      </w:r>
      <w:r>
        <w:rPr>
          <w:rFonts w:ascii="Arial" w:cs="Arial" w:eastAsia="Arial" w:hAnsi="Arial"/>
          <w:sz w:val="17"/>
          <w:szCs w:val="17"/>
          <w:i w:val="1"/>
          <w:iCs w:val="1"/>
          <w:color w:val="auto"/>
        </w:rPr>
        <w:t xml:space="preserve"> </w:t>
      </w:r>
      <w:r>
        <w:rPr>
          <w:rFonts w:ascii="Arial" w:cs="Arial" w:eastAsia="Arial" w:hAnsi="Arial"/>
          <w:sz w:val="17"/>
          <w:szCs w:val="17"/>
          <w:color w:val="auto"/>
        </w:rPr>
        <w:t>public shareholders have no liability, as members of the company, for liabilities of the company over and above the amount paid for their shares)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98" w:lineRule="exact"/>
        <w:rPr>
          <w:sz w:val="20"/>
          <w:szCs w:val="20"/>
          <w:color w:val="auto"/>
        </w:rPr>
      </w:pPr>
    </w:p>
    <w:p>
      <w:pPr>
        <w:ind w:left="580" w:right="160"/>
        <w:spacing w:after="0" w:line="238" w:lineRule="auto"/>
        <w:rPr>
          <w:sz w:val="20"/>
          <w:szCs w:val="20"/>
          <w:color w:val="auto"/>
        </w:rPr>
      </w:pPr>
      <w:r>
        <w:rPr>
          <w:rFonts w:ascii="Arial" w:cs="Arial" w:eastAsia="Arial" w:hAnsi="Arial"/>
          <w:sz w:val="17"/>
          <w:szCs w:val="17"/>
          <w:color w:val="auto"/>
        </w:rPr>
        <w:t>annual reporting requirements are minimal and consist mainly of a statement that the company has conducted its operations mainly outside of the Cayman Islands and has complied with the provisions of the Companies Law;</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an exempted company’s register of members is not open to inspection;</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an exempted company does not have to hold an annual shareholder meeting;</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an exempted company may issue negotiable or bearer shares or shares with no par value;</w:t>
      </w:r>
    </w:p>
    <w:p>
      <w:pPr>
        <w:spacing w:after="0" w:line="102" w:lineRule="exact"/>
        <w:rPr>
          <w:sz w:val="20"/>
          <w:szCs w:val="20"/>
          <w:color w:val="auto"/>
        </w:rPr>
      </w:pPr>
    </w:p>
    <w:p>
      <w:pPr>
        <w:ind w:left="580" w:right="880"/>
        <w:spacing w:after="0" w:line="243" w:lineRule="auto"/>
        <w:rPr>
          <w:sz w:val="20"/>
          <w:szCs w:val="20"/>
          <w:color w:val="auto"/>
        </w:rPr>
      </w:pPr>
      <w:r>
        <w:rPr>
          <w:rFonts w:ascii="Arial" w:cs="Arial" w:eastAsia="Arial" w:hAnsi="Arial"/>
          <w:sz w:val="17"/>
          <w:szCs w:val="17"/>
          <w:color w:val="auto"/>
        </w:rPr>
        <w:t>an exempted company may obtain an undertaking against the imposition of any future taxation (such undertakings are usually given for 20 years in the first instance);</w:t>
      </w:r>
    </w:p>
    <w:p>
      <w:pPr>
        <w:spacing w:after="0" w:line="90" w:lineRule="exact"/>
        <w:rPr>
          <w:sz w:val="20"/>
          <w:szCs w:val="20"/>
          <w:color w:val="auto"/>
        </w:rPr>
      </w:pPr>
    </w:p>
    <w:p>
      <w:pPr>
        <w:ind w:left="580" w:right="320"/>
        <w:spacing w:after="0" w:line="243" w:lineRule="auto"/>
        <w:rPr>
          <w:sz w:val="20"/>
          <w:szCs w:val="20"/>
          <w:color w:val="auto"/>
        </w:rPr>
      </w:pPr>
      <w:r>
        <w:rPr>
          <w:rFonts w:ascii="Arial" w:cs="Arial" w:eastAsia="Arial" w:hAnsi="Arial"/>
          <w:sz w:val="17"/>
          <w:szCs w:val="17"/>
          <w:color w:val="auto"/>
        </w:rPr>
        <w:t>an exempted company may register by way of continuation in another jurisdiction and be deregistered in the Cayman Islands;</w:t>
      </w:r>
    </w:p>
    <w:p>
      <w:pPr>
        <w:spacing w:after="0" w:line="90" w:lineRule="exact"/>
        <w:rPr>
          <w:sz w:val="20"/>
          <w:szCs w:val="20"/>
          <w:color w:val="auto"/>
        </w:rPr>
      </w:pPr>
    </w:p>
    <w:p>
      <w:pPr>
        <w:jc w:val="both"/>
        <w:ind w:left="580" w:right="3060"/>
        <w:spacing w:after="0" w:line="375" w:lineRule="auto"/>
        <w:rPr>
          <w:sz w:val="20"/>
          <w:szCs w:val="20"/>
          <w:color w:val="auto"/>
        </w:rPr>
      </w:pPr>
      <w:r>
        <w:rPr>
          <w:rFonts w:ascii="Arial" w:cs="Arial" w:eastAsia="Arial" w:hAnsi="Arial"/>
          <w:sz w:val="17"/>
          <w:szCs w:val="17"/>
          <w:color w:val="auto"/>
        </w:rPr>
        <w:t>an exempted company may register as a limited duration company; and an exempted company may register as a segregated portfolio company.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Memorandum and Articles of Association</w:t>
      </w:r>
    </w:p>
    <w:p>
      <w:pPr>
        <w:spacing w:after="0" w:line="17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amended and restated memorandum and articles of association will contain provisions designed to provide certain rights and protections relating to this offering that will apply to us until the completion of our initial business combination. These provisions cannot be amended without a special resolution.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shareholder 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will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provide that special resolutions must be approved either by at least two-thirds of our shareholders who attend and vote at a shareholder meeting of the company (i.e., the lowest threshold permissible under Cayman Islands law), or by a unanimous written resolution of all of our shareholders. Further, our amended and restated memorandum and articles of association will provide that a quorum at our shareholder meetings will consist of one or more shareholders who together hold not less than one-third of the ordinary shares entitled to vote at such meeting being individuals present in person or by proxy; provided that a quorum in connection with any meeting that is convened to vote on a business combination or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shall be a majority of the ordinary shares entitled to vote at such meeting being individuals present in person or by proxy or if a corporation or other non-natural person by its duly authorized representative or proxy.</w:t>
      </w:r>
    </w:p>
    <w:p>
      <w:pPr>
        <w:spacing w:after="0" w:line="165"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Our initial shareholders and their permitted transferees, if any, who will collectively beneficially own 20% of our ordinary shares (excluding the private placement shares and assuming they do not purchase any public shares in this offering) upon the closing of this offering, will participate in any vote to amend our amended and restated memorandum and articles of association and will have the discretion to vote in any manner they choose. Specifically, our amended and restated memorandum and articles of association will provide, among other things, that: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if we do not consummate an initial business combination within 24 months from the closing of this offering,</w:t>
      </w:r>
    </w:p>
    <w:p>
      <w:pPr>
        <w:ind w:left="580" w:right="60"/>
        <w:spacing w:after="0" w:line="233" w:lineRule="auto"/>
        <w:rPr>
          <w:sz w:val="20"/>
          <w:szCs w:val="20"/>
          <w:color w:val="auto"/>
        </w:rPr>
      </w:pPr>
      <w:r>
        <w:rPr>
          <w:rFonts w:ascii="Arial" w:cs="Arial" w:eastAsia="Arial" w:hAnsi="Arial"/>
          <w:sz w:val="17"/>
          <w:szCs w:val="17"/>
          <w:color w:val="auto"/>
        </w:rPr>
        <w:t>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100" w:lineRule="exact"/>
        <w:rPr>
          <w:sz w:val="20"/>
          <w:szCs w:val="20"/>
          <w:color w:val="auto"/>
        </w:rPr>
      </w:pPr>
    </w:p>
    <w:p>
      <w:pPr>
        <w:ind w:left="580" w:right="80"/>
        <w:spacing w:after="0" w:line="232" w:lineRule="auto"/>
        <w:rPr>
          <w:sz w:val="20"/>
          <w:szCs w:val="20"/>
          <w:color w:val="auto"/>
        </w:rPr>
      </w:pPr>
      <w:r>
        <w:rPr>
          <w:rFonts w:ascii="Arial" w:cs="Arial" w:eastAsia="Arial" w:hAnsi="Arial"/>
          <w:sz w:val="17"/>
          <w:szCs w:val="17"/>
          <w:color w:val="auto"/>
        </w:rPr>
        <w:t>prior to the completion of our initial business combination, we may not issue additional securities that would entitle the holders thereof to (i) receive funds from the trust account or (ii) vote as a class with our public shares</w:t>
      </w:r>
    </w:p>
    <w:p>
      <w:pPr>
        <w:ind w:left="580" w:right="100" w:firstLine="8"/>
        <w:spacing w:after="0" w:line="235" w:lineRule="auto"/>
        <w:tabs>
          <w:tab w:leader="none" w:pos="8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this offering or (y) amend the foregoing provisions;</w:t>
      </w:r>
    </w:p>
    <w:p>
      <w:pPr>
        <w:spacing w:after="0" w:line="96" w:lineRule="exact"/>
        <w:rPr>
          <w:sz w:val="20"/>
          <w:szCs w:val="20"/>
          <w:color w:val="auto"/>
        </w:rPr>
      </w:pPr>
    </w:p>
    <w:p>
      <w:pPr>
        <w:ind w:left="580"/>
        <w:spacing w:after="0" w:line="235" w:lineRule="auto"/>
        <w:rPr>
          <w:sz w:val="20"/>
          <w:szCs w:val="20"/>
          <w:color w:val="auto"/>
        </w:rPr>
      </w:pPr>
      <w:r>
        <w:rPr>
          <w:rFonts w:ascii="Arial" w:cs="Arial" w:eastAsia="Arial" w:hAnsi="Arial"/>
          <w:sz w:val="17"/>
          <w:szCs w:val="17"/>
          <w:color w:val="auto"/>
        </w:rPr>
        <w:t>although we do not intend to enter into a business combination with a target business that is affiliated with our sponsor, our directors or our executive officers, we are not prohibited from doing so. In the event we enter into such a transaction, we, or a committee of independent directors, will obtain an opinion from an independent investment banking firm which is a member of FINRA or an independent valuation or accounting firm that such a business combination or transaction is fair to our company from a financial point of view;</w:t>
      </w:r>
    </w:p>
    <w:p>
      <w:pPr>
        <w:spacing w:after="0" w:line="96" w:lineRule="exact"/>
        <w:rPr>
          <w:sz w:val="20"/>
          <w:szCs w:val="20"/>
          <w:color w:val="auto"/>
        </w:rPr>
      </w:pPr>
    </w:p>
    <w:p>
      <w:pPr>
        <w:ind w:left="580" w:right="20"/>
        <w:spacing w:after="0" w:line="235" w:lineRule="auto"/>
        <w:rPr>
          <w:sz w:val="20"/>
          <w:szCs w:val="20"/>
          <w:color w:val="auto"/>
        </w:rPr>
      </w:pPr>
      <w:r>
        <w:rPr>
          <w:rFonts w:ascii="Arial" w:cs="Arial" w:eastAsia="Arial" w:hAnsi="Arial"/>
          <w:sz w:val="17"/>
          <w:szCs w:val="17"/>
          <w:color w:val="auto"/>
        </w:rPr>
        <w:t>if a shareholder vote on our initial business combination is not required by applicable law or stock exchange rule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94" w:lineRule="exact"/>
        <w:rPr>
          <w:sz w:val="20"/>
          <w:szCs w:val="20"/>
          <w:color w:val="auto"/>
        </w:rPr>
      </w:pPr>
    </w:p>
    <w:p>
      <w:pPr>
        <w:ind w:left="580" w:right="20"/>
        <w:spacing w:after="0" w:line="236" w:lineRule="auto"/>
        <w:rPr>
          <w:sz w:val="20"/>
          <w:szCs w:val="20"/>
          <w:color w:val="auto"/>
        </w:rPr>
      </w:pPr>
      <w:r>
        <w:rPr>
          <w:rFonts w:ascii="Arial" w:cs="Arial" w:eastAsia="Arial" w:hAnsi="Arial"/>
          <w:sz w:val="17"/>
          <w:szCs w:val="17"/>
          <w:color w:val="auto"/>
        </w:rPr>
        <w:t>our initial business combination must occur with one or more target businesses that together have an aggregate fair market value of at least 80% of the net assets held in the trust account (excluding the amount of deferred underwriting discounts held in trust and taxes payable on the interest earned on the trust account) at the time of signing the agreement to enter into the initial business combination;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initial business combination must be approved by a majority of our independent directors;</w:t>
      </w:r>
    </w:p>
    <w:p>
      <w:pPr>
        <w:spacing w:after="0" w:line="102" w:lineRule="exact"/>
        <w:rPr>
          <w:sz w:val="20"/>
          <w:szCs w:val="20"/>
          <w:color w:val="auto"/>
        </w:rPr>
      </w:pPr>
    </w:p>
    <w:p>
      <w:pPr>
        <w:ind w:left="580" w:right="39"/>
        <w:spacing w:after="0" w:line="233" w:lineRule="auto"/>
        <w:rPr>
          <w:sz w:val="20"/>
          <w:szCs w:val="20"/>
          <w:color w:val="auto"/>
        </w:rPr>
      </w:pPr>
      <w:r>
        <w:rPr>
          <w:rFonts w:ascii="Arial" w:cs="Arial" w:eastAsia="Arial" w:hAnsi="Arial"/>
          <w:sz w:val="17"/>
          <w:szCs w:val="17"/>
          <w:color w:val="auto"/>
        </w:rPr>
        <w:t>if our shareholders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we will provide our public shareholders with the opportunity to redeem all or a portion of their ordinary shares upon such approval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subject to the limitations described herein; and</w:t>
      </w:r>
    </w:p>
    <w:p>
      <w:pPr>
        <w:spacing w:after="0" w:line="100" w:lineRule="exact"/>
        <w:rPr>
          <w:sz w:val="20"/>
          <w:szCs w:val="20"/>
          <w:color w:val="auto"/>
        </w:rPr>
      </w:pPr>
    </w:p>
    <w:p>
      <w:pPr>
        <w:ind w:left="580" w:right="439"/>
        <w:spacing w:after="0" w:line="243" w:lineRule="auto"/>
        <w:rPr>
          <w:sz w:val="20"/>
          <w:szCs w:val="20"/>
          <w:color w:val="auto"/>
        </w:rPr>
      </w:pPr>
      <w:r>
        <w:rPr>
          <w:rFonts w:ascii="Arial" w:cs="Arial" w:eastAsia="Arial" w:hAnsi="Arial"/>
          <w:sz w:val="17"/>
          <w:szCs w:val="17"/>
          <w:color w:val="auto"/>
        </w:rPr>
        <w:t>we will not effectuate our initial business combination solely with another blank check company or a similar company with nominal operations.</w:t>
      </w:r>
    </w:p>
    <w:p>
      <w:pPr>
        <w:spacing w:after="0" w:line="158" w:lineRule="exact"/>
        <w:rPr>
          <w:sz w:val="20"/>
          <w:szCs w:val="20"/>
          <w:color w:val="auto"/>
        </w:rPr>
      </w:pPr>
    </w:p>
    <w:p>
      <w:pPr>
        <w:ind w:right="139"/>
        <w:spacing w:after="0" w:line="238" w:lineRule="auto"/>
        <w:rPr>
          <w:sz w:val="20"/>
          <w:szCs w:val="20"/>
          <w:color w:val="auto"/>
        </w:rPr>
      </w:pPr>
      <w:r>
        <w:rPr>
          <w:rFonts w:ascii="Arial" w:cs="Arial" w:eastAsia="Arial" w:hAnsi="Arial"/>
          <w:sz w:val="17"/>
          <w:szCs w:val="17"/>
          <w:color w:val="auto"/>
        </w:rPr>
        <w:t>In addition, our amended and restated memorandum and articles of association will provide that under no circumstances will we redeem our public shares in an amount that would cause our net tangible assets to be less than $5,000,001.</w:t>
      </w:r>
    </w:p>
    <w:p>
      <w:pPr>
        <w:spacing w:after="0" w:line="161" w:lineRule="exact"/>
        <w:rPr>
          <w:sz w:val="20"/>
          <w:szCs w:val="20"/>
          <w:color w:val="auto"/>
        </w:rPr>
      </w:pPr>
    </w:p>
    <w:p>
      <w:pPr>
        <w:ind w:right="19"/>
        <w:spacing w:after="0" w:line="234" w:lineRule="auto"/>
        <w:rPr>
          <w:sz w:val="20"/>
          <w:szCs w:val="20"/>
          <w:color w:val="auto"/>
        </w:rPr>
      </w:pPr>
      <w:r>
        <w:rPr>
          <w:rFonts w:ascii="Arial" w:cs="Arial" w:eastAsia="Arial" w:hAnsi="Arial"/>
          <w:sz w:val="17"/>
          <w:szCs w:val="17"/>
          <w:color w:val="auto"/>
        </w:rPr>
        <w:t xml:space="preserve">The Companies Law permits a company incorporated in the Cayman Islands to amend its memorandum and articles of association with the approval of a special resolution. A company’s articles of association may specify that the approval of a higher majority is required but,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approval of the required majority is obtained, any Cayman Islands exempted company may amend its memorandum and articles of association regardless of whether its memorandum and articles of association provides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Anti-Money Laundering — Cayman Islands</w:t>
      </w:r>
    </w:p>
    <w:p>
      <w:pPr>
        <w:spacing w:after="0" w:line="189" w:lineRule="exact"/>
        <w:rPr>
          <w:sz w:val="20"/>
          <w:szCs w:val="20"/>
          <w:color w:val="auto"/>
        </w:rPr>
      </w:pPr>
    </w:p>
    <w:p>
      <w:pPr>
        <w:jc w:val="both"/>
        <w:ind w:right="39"/>
        <w:spacing w:after="0" w:line="236" w:lineRule="auto"/>
        <w:rPr>
          <w:sz w:val="20"/>
          <w:szCs w:val="20"/>
          <w:color w:val="auto"/>
        </w:rPr>
      </w:pPr>
      <w:r>
        <w:rPr>
          <w:rFonts w:ascii="Arial" w:cs="Arial" w:eastAsia="Arial" w:hAnsi="Arial"/>
          <w:sz w:val="17"/>
          <w:szCs w:val="17"/>
          <w:color w:val="auto"/>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spacing w:after="0" w:line="149" w:lineRule="exact"/>
        <w:rPr>
          <w:sz w:val="20"/>
          <w:szCs w:val="20"/>
          <w:color w:val="auto"/>
        </w:rPr>
      </w:pPr>
    </w:p>
    <w:p>
      <w:pPr>
        <w:ind w:right="19"/>
        <w:spacing w:after="0" w:line="235" w:lineRule="auto"/>
        <w:rPr>
          <w:sz w:val="20"/>
          <w:szCs w:val="20"/>
          <w:color w:val="auto"/>
        </w:rPr>
      </w:pPr>
      <w:r>
        <w:rPr>
          <w:rFonts w:ascii="Arial" w:cs="Arial" w:eastAsia="Arial" w:hAnsi="Arial"/>
          <w:sz w:val="17"/>
          <w:szCs w:val="17"/>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(2020 Revision) of the Cayman Islands, as amended and revised from time to time (the “Regulations”). Depending on the circumstances of each application, a detailed verification of identity might not be required where:</w:t>
      </w:r>
    </w:p>
    <w:p>
      <w:pPr>
        <w:spacing w:after="0" w:line="163" w:lineRule="exact"/>
        <w:rPr>
          <w:sz w:val="20"/>
          <w:szCs w:val="20"/>
          <w:color w:val="auto"/>
        </w:rPr>
      </w:pPr>
    </w:p>
    <w:p>
      <w:pPr>
        <w:ind w:left="720" w:right="359" w:hanging="352"/>
        <w:spacing w:after="0" w:line="243" w:lineRule="auto"/>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subscriber makes the payment for their investment from an account held in the subscriber’s name at a recognized financial institution;</w:t>
      </w:r>
    </w:p>
    <w:p>
      <w:pPr>
        <w:spacing w:after="0" w:line="157" w:lineRule="exact"/>
        <w:rPr>
          <w:rFonts w:ascii="Arial" w:cs="Arial" w:eastAsia="Arial" w:hAnsi="Arial"/>
          <w:sz w:val="17"/>
          <w:szCs w:val="17"/>
          <w:color w:val="auto"/>
        </w:rPr>
      </w:pPr>
    </w:p>
    <w:p>
      <w:pPr>
        <w:ind w:left="720" w:right="359" w:hanging="352"/>
        <w:spacing w:after="0" w:line="243" w:lineRule="auto"/>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subscriber is regulated by a recognized regulatory authority and is based or incorporated in, or formed under the law of, a recognized jurisdiction; or</w:t>
      </w:r>
    </w:p>
    <w:p>
      <w:pPr>
        <w:spacing w:after="0" w:line="144" w:lineRule="exact"/>
        <w:rPr>
          <w:rFonts w:ascii="Arial" w:cs="Arial" w:eastAsia="Arial" w:hAnsi="Arial"/>
          <w:sz w:val="17"/>
          <w:szCs w:val="17"/>
          <w:color w:val="auto"/>
        </w:rPr>
      </w:pPr>
    </w:p>
    <w:p>
      <w:pPr>
        <w:jc w:val="both"/>
        <w:ind w:left="720" w:right="59" w:hanging="352"/>
        <w:spacing w:after="0" w:line="238" w:lineRule="auto"/>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61" w:lineRule="exact"/>
        <w:rPr>
          <w:sz w:val="20"/>
          <w:szCs w:val="20"/>
          <w:color w:val="auto"/>
        </w:rPr>
      </w:pPr>
    </w:p>
    <w:p>
      <w:pPr>
        <w:ind w:right="239"/>
        <w:spacing w:after="0" w:line="238" w:lineRule="auto"/>
        <w:rPr>
          <w:sz w:val="20"/>
          <w:szCs w:val="20"/>
          <w:color w:val="auto"/>
        </w:rPr>
      </w:pPr>
      <w:r>
        <w:rPr>
          <w:rFonts w:ascii="Arial" w:cs="Arial" w:eastAsia="Arial" w:hAnsi="Arial"/>
          <w:sz w:val="17"/>
          <w:szCs w:val="17"/>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59"/>
        <w:spacing w:after="0" w:line="238" w:lineRule="auto"/>
        <w:rPr>
          <w:sz w:val="20"/>
          <w:szCs w:val="20"/>
          <w:color w:val="auto"/>
        </w:rPr>
      </w:pPr>
      <w:r>
        <w:rPr>
          <w:rFonts w:ascii="Arial" w:cs="Arial" w:eastAsia="Arial" w:hAnsi="Arial"/>
          <w:sz w:val="17"/>
          <w:szCs w:val="17"/>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61" w:lineRule="exact"/>
        <w:rPr>
          <w:sz w:val="20"/>
          <w:szCs w:val="20"/>
          <w:color w:val="auto"/>
        </w:rPr>
      </w:pPr>
    </w:p>
    <w:p>
      <w:pPr>
        <w:ind w:right="39"/>
        <w:spacing w:after="0" w:line="236" w:lineRule="auto"/>
        <w:rPr>
          <w:sz w:val="20"/>
          <w:szCs w:val="20"/>
          <w:color w:val="auto"/>
        </w:rPr>
      </w:pPr>
      <w:r>
        <w:rPr>
          <w:rFonts w:ascii="Arial" w:cs="Arial" w:eastAsia="Arial" w:hAnsi="Arial"/>
          <w:sz w:val="17"/>
          <w:szCs w:val="17"/>
          <w:color w:val="auto"/>
        </w:rPr>
        <w:t>We also reserve the right to refuse to make any distribution payment to a shareholder if our directors or officers suspect or are advised that the payment of such distribution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spacing w:after="0" w:line="163" w:lineRule="exact"/>
        <w:rPr>
          <w:sz w:val="20"/>
          <w:szCs w:val="20"/>
          <w:color w:val="auto"/>
        </w:rPr>
      </w:pPr>
    </w:p>
    <w:p>
      <w:pPr>
        <w:ind w:right="59"/>
        <w:spacing w:after="0" w:line="233" w:lineRule="auto"/>
        <w:rPr>
          <w:sz w:val="20"/>
          <w:szCs w:val="20"/>
          <w:color w:val="auto"/>
        </w:rPr>
      </w:pPr>
      <w:r>
        <w:rPr>
          <w:rFonts w:ascii="Arial" w:cs="Arial" w:eastAsia="Arial" w:hAnsi="Arial"/>
          <w:sz w:val="17"/>
          <w:szCs w:val="17"/>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Law (2020 Revision) of the Cayman Islands if the disclosure relates to criminal conduct or money laundering or (ii) a police officer of the rank of constable or higher, or the Financial Reporting Authority, pursuant to the Terrorism Law (2018 Revision)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Protection in the Cayman Islands — Privacy Notice</w:t>
      </w:r>
    </w:p>
    <w:p>
      <w:pPr>
        <w:spacing w:after="0" w:line="189" w:lineRule="exact"/>
        <w:rPr>
          <w:sz w:val="20"/>
          <w:szCs w:val="20"/>
          <w:color w:val="auto"/>
        </w:rPr>
      </w:pPr>
    </w:p>
    <w:p>
      <w:pPr>
        <w:jc w:val="both"/>
        <w:ind w:right="179"/>
        <w:spacing w:after="0" w:line="238" w:lineRule="auto"/>
        <w:rPr>
          <w:sz w:val="20"/>
          <w:szCs w:val="20"/>
          <w:color w:val="auto"/>
        </w:rPr>
      </w:pPr>
      <w:r>
        <w:rPr>
          <w:rFonts w:ascii="Arial" w:cs="Arial" w:eastAsia="Arial" w:hAnsi="Arial"/>
          <w:sz w:val="17"/>
          <w:szCs w:val="17"/>
          <w:color w:val="auto"/>
        </w:rPr>
        <w:t>This privacy notice explains the manner in which the company collects, processes and maintains personal data about investors of the company pursuant to the Data Protection Law, 2017 of the Cayman Islands, as amended from time to time and any regulations, codes of practice or orders promulgated pursuant thereto (“DPL”).</w:t>
      </w:r>
    </w:p>
    <w:p>
      <w:pPr>
        <w:spacing w:after="0" w:line="147" w:lineRule="exact"/>
        <w:rPr>
          <w:sz w:val="20"/>
          <w:szCs w:val="20"/>
          <w:color w:val="auto"/>
        </w:rPr>
      </w:pPr>
    </w:p>
    <w:p>
      <w:pPr>
        <w:ind w:right="219"/>
        <w:spacing w:after="0" w:line="236" w:lineRule="auto"/>
        <w:rPr>
          <w:sz w:val="20"/>
          <w:szCs w:val="20"/>
          <w:color w:val="auto"/>
        </w:rPr>
      </w:pPr>
      <w:r>
        <w:rPr>
          <w:rFonts w:ascii="Arial" w:cs="Arial" w:eastAsia="Arial" w:hAnsi="Arial"/>
          <w:sz w:val="17"/>
          <w:szCs w:val="17"/>
          <w:color w:val="auto"/>
        </w:rPr>
        <w:t>The company is committed to processing personal data in accordance with the DPL. In its use of personal data, the company will be characterized under the DPL as a ‘data controller’, whilst certain of the company’s service providers, affiliates and delegates may act as ‘data processors’ under the DPL. These service providers may process personal information for their own lawful purposes in connection with services provided to the company.</w:t>
      </w:r>
    </w:p>
    <w:p>
      <w:pPr>
        <w:spacing w:after="0" w:line="163" w:lineRule="exact"/>
        <w:rPr>
          <w:sz w:val="20"/>
          <w:szCs w:val="20"/>
          <w:color w:val="auto"/>
        </w:rPr>
      </w:pPr>
    </w:p>
    <w:p>
      <w:pPr>
        <w:jc w:val="both"/>
        <w:ind w:right="279"/>
        <w:spacing w:after="0" w:line="238" w:lineRule="auto"/>
        <w:rPr>
          <w:sz w:val="20"/>
          <w:szCs w:val="20"/>
          <w:color w:val="auto"/>
        </w:rPr>
      </w:pPr>
      <w:r>
        <w:rPr>
          <w:rFonts w:ascii="Arial" w:cs="Arial" w:eastAsia="Arial" w:hAnsi="Arial"/>
          <w:sz w:val="17"/>
          <w:szCs w:val="17"/>
          <w:color w:val="auto"/>
        </w:rPr>
        <w:t>By virtue of making an investment in the company, the company and certain of the company’s service providers may collect, record, store, transfer and otherwise process personal data by which individuals may be directly or indirectly identified.</w:t>
      </w:r>
    </w:p>
    <w:p>
      <w:pPr>
        <w:spacing w:after="0" w:line="161" w:lineRule="exact"/>
        <w:rPr>
          <w:sz w:val="20"/>
          <w:szCs w:val="20"/>
          <w:color w:val="auto"/>
        </w:rPr>
      </w:pPr>
    </w:p>
    <w:p>
      <w:pPr>
        <w:ind w:right="39"/>
        <w:spacing w:after="0" w:line="235" w:lineRule="auto"/>
        <w:rPr>
          <w:sz w:val="20"/>
          <w:szCs w:val="20"/>
          <w:color w:val="auto"/>
        </w:rPr>
      </w:pPr>
      <w:r>
        <w:rPr>
          <w:rFonts w:ascii="Arial" w:cs="Arial" w:eastAsia="Arial" w:hAnsi="Arial"/>
          <w:sz w:val="17"/>
          <w:szCs w:val="17"/>
          <w:color w:val="auto"/>
        </w:rPr>
        <w:t>Your personal data will be processed fairly and for lawful purposes, including (a) where the processing is necessary for the company to perform a contract to which you are a party or for taking pre-contractual steps at your request (b) where the processing is necessary for compliance with any legal, tax or regulatory obligation to which the company is subject or (c) where the processing is for the purposes of legitimate interests pursued by the company or by a service provider to whom the data are disclosed. As a data controller, we will only use your personal data for the purposes for which we collected it. If we need to use your personal data for an unrelated purpose, we will contact you.</w:t>
      </w:r>
    </w:p>
    <w:p>
      <w:pPr>
        <w:spacing w:after="0" w:line="148" w:lineRule="exact"/>
        <w:rPr>
          <w:sz w:val="20"/>
          <w:szCs w:val="20"/>
          <w:color w:val="auto"/>
        </w:rPr>
      </w:pPr>
    </w:p>
    <w:p>
      <w:pPr>
        <w:ind w:right="19"/>
        <w:spacing w:after="0" w:line="234" w:lineRule="auto"/>
        <w:rPr>
          <w:sz w:val="20"/>
          <w:szCs w:val="20"/>
          <w:color w:val="auto"/>
        </w:rPr>
      </w:pPr>
      <w:r>
        <w:rPr>
          <w:rFonts w:ascii="Arial" w:cs="Arial" w:eastAsia="Arial" w:hAnsi="Arial"/>
          <w:sz w:val="17"/>
          <w:szCs w:val="17"/>
          <w:color w:val="auto"/>
        </w:rPr>
        <w:t>We anticipate that we will share your personal data with the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spacing w:after="0" w:line="164" w:lineRule="exact"/>
        <w:rPr>
          <w:sz w:val="20"/>
          <w:szCs w:val="20"/>
          <w:color w:val="auto"/>
        </w:rPr>
      </w:pPr>
    </w:p>
    <w:p>
      <w:pPr>
        <w:ind w:right="119"/>
        <w:spacing w:after="0" w:line="243" w:lineRule="auto"/>
        <w:rPr>
          <w:sz w:val="20"/>
          <w:szCs w:val="20"/>
          <w:color w:val="auto"/>
        </w:rPr>
      </w:pPr>
      <w:r>
        <w:rPr>
          <w:rFonts w:ascii="Arial" w:cs="Arial" w:eastAsia="Arial" w:hAnsi="Arial"/>
          <w:sz w:val="17"/>
          <w:szCs w:val="17"/>
          <w:color w:val="auto"/>
        </w:rPr>
        <w:t>Your personal data shall not be held by the company for longer than necessary with regard to the purposes of the data processing.</w:t>
      </w:r>
    </w:p>
    <w:p>
      <w:pPr>
        <w:spacing w:after="0" w:line="158" w:lineRule="exact"/>
        <w:rPr>
          <w:sz w:val="20"/>
          <w:szCs w:val="20"/>
          <w:color w:val="auto"/>
        </w:rPr>
      </w:pPr>
    </w:p>
    <w:p>
      <w:pPr>
        <w:jc w:val="both"/>
        <w:ind w:right="39"/>
        <w:spacing w:after="0" w:line="238" w:lineRule="auto"/>
        <w:rPr>
          <w:sz w:val="20"/>
          <w:szCs w:val="20"/>
          <w:color w:val="auto"/>
        </w:rPr>
      </w:pPr>
      <w:r>
        <w:rPr>
          <w:rFonts w:ascii="Arial" w:cs="Arial" w:eastAsia="Arial" w:hAnsi="Arial"/>
          <w:sz w:val="17"/>
          <w:szCs w:val="17"/>
          <w:color w:val="auto"/>
        </w:rPr>
        <w:t>We will not sell your personal data. Any transfer of personal data outside of the Cayman Islands shall be in accordance with the requirements of the DPL. Where necessary, we will ensure that separate and appropriate legal agreements are put in place with the recipient of that data.</w:t>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61"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the company, this will be relevant for those individuals and you should inform such individuals of the content.</w:t>
      </w:r>
    </w:p>
    <w:p>
      <w:pPr>
        <w:spacing w:after="0" w:line="163"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You have certain rights under the DPL, including (a) the right to be informed as to how we collect and use your personal data (and this privacy notice fulfils the Company’s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w:t>
      </w:r>
    </w:p>
    <w:p>
      <w:pPr>
        <w:ind w:right="160" w:firstLine="8"/>
        <w:spacing w:after="0" w:line="243" w:lineRule="auto"/>
        <w:tabs>
          <w:tab w:leader="none" w:pos="25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right to complain to the Office of the Ombudsman of the Cayman Islands and (i) the right to require us to delete your personal data in some limited circumstances.</w:t>
      </w:r>
    </w:p>
    <w:p>
      <w:pPr>
        <w:spacing w:after="0" w:line="144"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If you consider that your personal data has not been handled correctly, or you are not satisfied with the company’s responses to any requests you have made regarding the use of your personal data, you have the right to complain to the Cayman Islands’ Ombudsman. The Ombudsman can be contacted by calling +1 (345) 946-6283 or by email at info@ombudsman.ky.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Anti-Takeover Provisions of our Amended and Restated Memorandum and Articles of Association</w:t>
      </w:r>
    </w:p>
    <w:p>
      <w:pPr>
        <w:spacing w:after="0" w:line="176"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Our amended and restated memorandum and articles of association will provide that our board of directors will be classified into three classes of directors. As a result, in most circumstances, a person can gain control of our board only by successfully engaging in a proxy contest at two or more annual meetings.</w:t>
      </w:r>
    </w:p>
    <w:p>
      <w:pPr>
        <w:spacing w:after="0" w:line="16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Our authorized but unissued Class A ordinary shares and preference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preference shares could render more difficult or discourage an attempt to obtain control of us by means of a proxy contest, tender offer, merger or otherwise.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Eligible for Future Sale</w:t>
      </w:r>
    </w:p>
    <w:p>
      <w:pPr>
        <w:spacing w:after="0" w:line="189"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Immediately after this offering we will have 16,710,000 Class A ordinary shares (or 19,186,500 Class A ordinary shares if the underwriters’ over-allotment option is exercised in full) issued and outstanding on an as-converted basis. Of these shares, the Class A ordinary shares sold in this offering (13,000,000 Class A ordinary shares if the underwriters’ over-allotment option is not exercised and 14,950,000 Class A ordinary shares if the underwriters’ over-allotment option is exercised in full) will be freely tradable without restriction or further registration under the Securities Act, except for any Class A ordinary shares purchased by one of our affiliates within the meaning of Rule 144 under the Securities Act. All of the outstanding founder shares (3,250,000 founder shares if the underwriters’ over-allotment option is not exercised and 3,737,500 founder shares if the underwriters’ over-allotment option is exercised in full) and all of the outstanding private placement shares (460,000 private placement shares if the underwriters’ over-allotment option is not exercised and 499,000 private placement shares if the underwriters’ over-allotment option is exercised in full), and the securities underlying the foregoing, will be restricted securities under Rule 144, in that they were issued in private transactions not involving a public offering.</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Rule 144</w:t>
      </w:r>
    </w:p>
    <w:p>
      <w:pPr>
        <w:spacing w:after="0" w:line="41"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 xml:space="preserve">Pursuant to Rule 144, a person who has beneficially owned restricted shares for at least six months would be entitled to sell their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person is not deemed to have been one of our affiliates at the time of, or at any time during the three months preceding, a sale and (ii) we are subject to the Exchange Act periodic reporting</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requirements for at least three months before the sale and have filed all required reports under Section 13 or 15(d) of the Exchange Act during the 12 months (or such shorter period as we were required to file reports) preceding the sale.</w:t>
      </w:r>
    </w:p>
    <w:p>
      <w:pPr>
        <w:spacing w:after="0" w:line="158"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Persons who have beneficially owned restricted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93" w:lineRule="exact"/>
        <w:rPr>
          <w:sz w:val="20"/>
          <w:szCs w:val="20"/>
          <w:color w:val="auto"/>
        </w:rPr>
      </w:pPr>
    </w:p>
    <w:p>
      <w:pPr>
        <w:ind w:left="580" w:right="200"/>
        <w:spacing w:after="0" w:line="243" w:lineRule="auto"/>
        <w:rPr>
          <w:sz w:val="20"/>
          <w:szCs w:val="20"/>
          <w:color w:val="auto"/>
        </w:rPr>
      </w:pPr>
      <w:r>
        <w:rPr>
          <w:rFonts w:ascii="Arial" w:cs="Arial" w:eastAsia="Arial" w:hAnsi="Arial"/>
          <w:sz w:val="17"/>
          <w:szCs w:val="17"/>
          <w:color w:val="auto"/>
        </w:rPr>
        <w:t>1% of the total number of ordinary shares then outstanding, which will equal 167,100 shares immediately after this offering (or 191,865 shares if the underwriters exercise their over-allotment option in full); and</w:t>
      </w:r>
    </w:p>
    <w:p>
      <w:pPr>
        <w:spacing w:after="0" w:line="90" w:lineRule="exact"/>
        <w:rPr>
          <w:sz w:val="20"/>
          <w:szCs w:val="20"/>
          <w:color w:val="auto"/>
        </w:rPr>
      </w:pPr>
    </w:p>
    <w:p>
      <w:pPr>
        <w:ind w:left="580" w:right="460"/>
        <w:spacing w:after="0" w:line="243" w:lineRule="auto"/>
        <w:rPr>
          <w:sz w:val="20"/>
          <w:szCs w:val="20"/>
          <w:color w:val="auto"/>
        </w:rPr>
      </w:pPr>
      <w:r>
        <w:rPr>
          <w:rFonts w:ascii="Arial" w:cs="Arial" w:eastAsia="Arial" w:hAnsi="Arial"/>
          <w:sz w:val="17"/>
          <w:szCs w:val="17"/>
          <w:color w:val="auto"/>
        </w:rPr>
        <w:t>the average weekly reported trading volume of the Class A ordinary shares during the four calendar weeks preceding the filing of a notice on Form 144 with respect to the sale.</w:t>
      </w:r>
    </w:p>
    <w:p>
      <w:pPr>
        <w:spacing w:after="0" w:line="15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Sales by our affiliates under Rule 144 are also limited by manner of sale provisions and notice requirements and to the availability of current public information about us.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Restrictions on the Use of Rule 144 by Shell Companies or Former Shell Companies</w:t>
      </w:r>
    </w:p>
    <w:p>
      <w:pPr>
        <w:spacing w:after="0" w:line="5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issuer of the securities that was formerly a shell company has ceased to be a shell company;</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issuer of the securities is subject to the reporting requirements of Section 13 or 15(d) of the Exchange Act;</w:t>
      </w:r>
    </w:p>
    <w:p>
      <w:pPr>
        <w:spacing w:after="0" w:line="102" w:lineRule="exact"/>
        <w:rPr>
          <w:sz w:val="20"/>
          <w:szCs w:val="20"/>
          <w:color w:val="auto"/>
        </w:rPr>
      </w:pPr>
    </w:p>
    <w:p>
      <w:pPr>
        <w:jc w:val="both"/>
        <w:ind w:left="580" w:right="340"/>
        <w:spacing w:after="0" w:line="238" w:lineRule="auto"/>
        <w:rPr>
          <w:sz w:val="20"/>
          <w:szCs w:val="20"/>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93" w:lineRule="exact"/>
        <w:rPr>
          <w:sz w:val="20"/>
          <w:szCs w:val="20"/>
          <w:color w:val="auto"/>
        </w:rPr>
      </w:pPr>
    </w:p>
    <w:p>
      <w:pPr>
        <w:ind w:left="580" w:right="180"/>
        <w:spacing w:after="0" w:line="243" w:lineRule="auto"/>
        <w:rPr>
          <w:sz w:val="20"/>
          <w:szCs w:val="20"/>
          <w:color w:val="auto"/>
        </w:rPr>
      </w:pPr>
      <w:r>
        <w:rPr>
          <w:rFonts w:ascii="Arial" w:cs="Arial" w:eastAsia="Arial" w:hAnsi="Arial"/>
          <w:sz w:val="17"/>
          <w:szCs w:val="17"/>
          <w:color w:val="auto"/>
        </w:rPr>
        <w:t>at least one year has elapsed from the time that the issuer filed current Form 10 type information with the SEC reflecting its status as an entity that is not a shell company.</w:t>
      </w:r>
    </w:p>
    <w:p>
      <w:pPr>
        <w:spacing w:after="0" w:line="15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As a result, our initial shareholders will be able to sell their founder shares and our sponsor will be able to sell its private placement shares, pursuant to Rule 144 without registration one year after we have completed our initial business combination.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and Shareholder Rights</w:t>
      </w:r>
    </w:p>
    <w:p>
      <w:pPr>
        <w:spacing w:after="0" w:line="18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holders of the founder shares and private placement shares, including the private placement shares that may be issued upon conversion of working capital loans and any Class A ordinary shares issuable upon conversion of founder shares will be entitled to registration rights pursuant to a registration and shareholder rights agreement to be signed prior to or on the effective date of this offering.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as described in the following paragraph, and (ii) in the case of the private placement shares, 30 days after the completion of our initial business combination. We will bear the expenses incurred in connection with the filing of any such registration statements.</w:t>
      </w:r>
    </w:p>
    <w:p>
      <w:pPr>
        <w:spacing w:after="0" w:line="154"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Except as described herein, our sponsor and our management team have agreed not to transfer, assign or sell (i) any of their founder shares until the earliest of (A) one year after the completion of our initial business combination and</w:t>
      </w:r>
    </w:p>
    <w:p>
      <w:pPr>
        <w:ind w:right="20" w:firstLine="8"/>
        <w:spacing w:after="0" w:line="234" w:lineRule="auto"/>
        <w:tabs>
          <w:tab w:leader="none" w:pos="2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and (ii) any of their private placement shares until 30 days after the completion of our initial business combination. Any permitted transferees will be subject to the same restrictions and other agreements of our</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339"/>
        <w:spacing w:after="0" w:line="243" w:lineRule="auto"/>
        <w:rPr>
          <w:sz w:val="20"/>
          <w:szCs w:val="20"/>
          <w:color w:val="auto"/>
        </w:rPr>
      </w:pPr>
      <w:r>
        <w:rPr>
          <w:rFonts w:ascii="Arial" w:cs="Arial" w:eastAsia="Arial" w:hAnsi="Arial"/>
          <w:sz w:val="17"/>
          <w:szCs w:val="17"/>
          <w:color w:val="auto"/>
        </w:rPr>
        <w:t>sponsor and management team with respect to any founder shares and private placement shares. We refer to such transfer restrictions throughout this prospectus as the lock-up.</w:t>
      </w:r>
    </w:p>
    <w:p>
      <w:pPr>
        <w:spacing w:after="0" w:line="158" w:lineRule="exact"/>
        <w:rPr>
          <w:sz w:val="20"/>
          <w:szCs w:val="20"/>
          <w:color w:val="auto"/>
        </w:rPr>
      </w:pPr>
    </w:p>
    <w:p>
      <w:pPr>
        <w:ind w:right="39"/>
        <w:spacing w:after="0" w:line="236" w:lineRule="auto"/>
        <w:rPr>
          <w:sz w:val="20"/>
          <w:szCs w:val="20"/>
          <w:color w:val="auto"/>
        </w:rPr>
      </w:pPr>
      <w:r>
        <w:rPr>
          <w:rFonts w:ascii="Arial" w:cs="Arial" w:eastAsia="Arial" w:hAnsi="Arial"/>
          <w:sz w:val="17"/>
          <w:szCs w:val="17"/>
          <w:color w:val="auto"/>
        </w:rPr>
        <w:t>In addition, 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 of Securities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We have been approved to list our Class A ordinary shares listed on Nasdaq under the symbol “ARYA.”</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188"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The following summary of certain Cayman Islands and U.S. federal income tax considerations of an investment in our Class A ordinary shares, which we also refer to as our securities, is based upon laws and relevant interpretations thereof in effect as of the date of this prospectus, all of which are subject to change. This summary does not deal with all possible tax consequences relating to an investment in our Class A ordinary shares, such as the tax consequences under state, local and other tax laws.</w:t>
      </w:r>
    </w:p>
    <w:p>
      <w:pPr>
        <w:spacing w:after="0" w:line="163"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Prospective investors should consult their advisors on the possible tax consequences of investing in our securities under the laws of their country of citizenship, residence or domicile.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Cayman Islands Tax Considerations</w:t>
      </w:r>
    </w:p>
    <w:p>
      <w:pPr>
        <w:spacing w:after="0" w:line="18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 Existing Cayman Islands Laws</w:t>
      </w:r>
    </w:p>
    <w:p>
      <w:pPr>
        <w:spacing w:after="0" w:line="189"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corporation tax. The Cayman Islands currently have no income, corporation or capital gains tax and no estate duty, inheritance tax or gift tax.</w:t>
      </w:r>
    </w:p>
    <w:p>
      <w:pPr>
        <w:spacing w:after="0" w:line="149" w:lineRule="exact"/>
        <w:rPr>
          <w:sz w:val="20"/>
          <w:szCs w:val="20"/>
          <w:color w:val="auto"/>
        </w:rPr>
      </w:pPr>
    </w:p>
    <w:p>
      <w:pPr>
        <w:ind w:right="580"/>
        <w:spacing w:after="0" w:line="243" w:lineRule="auto"/>
        <w:rPr>
          <w:sz w:val="20"/>
          <w:szCs w:val="20"/>
          <w:color w:val="auto"/>
        </w:rPr>
      </w:pPr>
      <w:r>
        <w:rPr>
          <w:rFonts w:ascii="Arial" w:cs="Arial" w:eastAsia="Arial" w:hAnsi="Arial"/>
          <w:sz w:val="17"/>
          <w:szCs w:val="17"/>
          <w:color w:val="auto"/>
        </w:rPr>
        <w:t>No stamp duty is payable in respect of the issue of our Class A ordinary shares or on an instrument of transfer in respect of such shares.</w:t>
      </w:r>
    </w:p>
    <w:p>
      <w:pPr>
        <w:spacing w:after="0" w:line="15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has been incorporated under the laws of the Cayman Islands as an exempted company with limited liability and, as such, has applied for and expects to obtain after the effectiveness of the registration statements of which this prospectus forms a part an undertaking from the Financial Secretary of the Cayman Islands in the following form: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TAX CONCESSIONS LAW</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(2018 Revision)</w:t>
      </w:r>
    </w:p>
    <w:p>
      <w:pPr>
        <w:jc w:val="center"/>
        <w:ind w:right="-19"/>
        <w:spacing w:after="0"/>
        <w:rPr>
          <w:sz w:val="20"/>
          <w:szCs w:val="20"/>
          <w:color w:val="auto"/>
        </w:rPr>
      </w:pPr>
      <w:r>
        <w:rPr>
          <w:rFonts w:ascii="Arial" w:cs="Arial" w:eastAsia="Arial" w:hAnsi="Arial"/>
          <w:sz w:val="18"/>
          <w:szCs w:val="18"/>
          <w:b w:val="1"/>
          <w:bCs w:val="1"/>
          <w:color w:val="auto"/>
        </w:rPr>
        <w:t>UNDERTAKING AS TO TAX CONCESSIONS</w:t>
      </w:r>
    </w:p>
    <w:p>
      <w:pPr>
        <w:spacing w:after="0" w:line="166"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In accordance with the provision of Section 6 of The Tax Concessions Law (2018 Revision), the Financial Secretary undertakes with ARYA Sciences Acquisition Corp III (the “Company”):</w:t>
      </w:r>
    </w:p>
    <w:p>
      <w:pPr>
        <w:spacing w:after="0" w:line="158" w:lineRule="exact"/>
        <w:rPr>
          <w:sz w:val="20"/>
          <w:szCs w:val="20"/>
          <w:color w:val="auto"/>
        </w:rPr>
      </w:pPr>
    </w:p>
    <w:p>
      <w:pPr>
        <w:ind w:left="720" w:right="20" w:hanging="352"/>
        <w:spacing w:after="0" w:line="236"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That no law which is hereafter enacted in the Islands imposing any tax to be levied on profits, income, gains or appreciations shall apply to the Company or its operations; and 3. In addition, that no tax to be levied on profits, income, gains or appreciations or which is in the nature of estate duty or inheritance tax shall be payable:</w:t>
      </w:r>
    </w:p>
    <w:p>
      <w:pPr>
        <w:spacing w:after="0" w:line="149" w:lineRule="exact"/>
        <w:rPr>
          <w:rFonts w:ascii="Arial" w:cs="Arial" w:eastAsia="Arial" w:hAnsi="Arial"/>
          <w:sz w:val="17"/>
          <w:szCs w:val="17"/>
          <w:color w:val="auto"/>
        </w:rPr>
      </w:pPr>
    </w:p>
    <w:p>
      <w:pPr>
        <w:ind w:left="720"/>
        <w:spacing w:after="0"/>
        <w:rPr>
          <w:rFonts w:ascii="Arial" w:cs="Arial" w:eastAsia="Arial" w:hAnsi="Arial"/>
          <w:sz w:val="17"/>
          <w:szCs w:val="17"/>
          <w:color w:val="auto"/>
        </w:rPr>
      </w:pPr>
      <w:r>
        <w:rPr>
          <w:rFonts w:ascii="Arial" w:cs="Arial" w:eastAsia="Arial" w:hAnsi="Arial"/>
          <w:sz w:val="17"/>
          <w:szCs w:val="17"/>
          <w:color w:val="auto"/>
        </w:rPr>
        <w:t>3.2 On or in respect of the shares, debentures or other obligations of the Company; or</w:t>
      </w:r>
    </w:p>
    <w:p>
      <w:pPr>
        <w:spacing w:after="0" w:line="169" w:lineRule="exact"/>
        <w:rPr>
          <w:rFonts w:ascii="Arial" w:cs="Arial" w:eastAsia="Arial" w:hAnsi="Arial"/>
          <w:sz w:val="17"/>
          <w:szCs w:val="17"/>
          <w:color w:val="auto"/>
        </w:rPr>
      </w:pPr>
    </w:p>
    <w:p>
      <w:pPr>
        <w:ind w:left="1080" w:right="160" w:hanging="351"/>
        <w:spacing w:after="0" w:line="243" w:lineRule="auto"/>
        <w:rPr>
          <w:rFonts w:ascii="Arial" w:cs="Arial" w:eastAsia="Arial" w:hAnsi="Arial"/>
          <w:sz w:val="17"/>
          <w:szCs w:val="17"/>
          <w:color w:val="auto"/>
        </w:rPr>
      </w:pPr>
      <w:r>
        <w:rPr>
          <w:rFonts w:ascii="Arial" w:cs="Arial" w:eastAsia="Arial" w:hAnsi="Arial"/>
          <w:sz w:val="17"/>
          <w:szCs w:val="17"/>
          <w:color w:val="auto"/>
        </w:rPr>
        <w:t>3.3 by way of the withholding in whole or part, of any relevant payment as defined in Section 6(3) of the Tax Concessions Law (2018 Revision).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These concessions shall be for a period of 20 years from the date hereof.</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States Federal Income Tax Considerations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54"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The following discussion summarizes certain U.S. federal income tax considerations generally applicable to the acquisition, ownership and disposition of our Class A ordinary shares, other than private placement shares, that are purchased in this offering by U.S. Holders (as defined below) and Non-U.S. Holders (as defined below).</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39"/>
        <w:spacing w:after="0" w:line="234" w:lineRule="auto"/>
        <w:rPr>
          <w:sz w:val="20"/>
          <w:szCs w:val="20"/>
          <w:color w:val="auto"/>
        </w:rPr>
      </w:pPr>
      <w:r>
        <w:rPr>
          <w:rFonts w:ascii="Arial" w:cs="Arial" w:eastAsia="Arial" w:hAnsi="Arial"/>
          <w:sz w:val="17"/>
          <w:szCs w:val="17"/>
          <w:color w:val="auto"/>
        </w:rPr>
        <w:t>This discussion is limited to certain U.S. federal income tax considerations to beneficial owners of our Class A ordinary shares who are initial purchasers of a Class A ordinary share (other than a private placement share) pursuant to this offering and hold the Class A ordinary share as a capital asset under the U.S. Internal Revenue Code of 1986, as amended (the “Code”). This discussion assumes that the Class A ordinary shares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a unit by a prospective investor in light of its particular circumstances, including:</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sponsor, founders, officers or directors;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banks, financial institutions or financial services entities;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broker-dealers;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taxpayers that are subject to the mark-to-market accounting rules;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S-corporations;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tax-exempt entities;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governments or agencies or instrumentalities thereof;</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insurance companies;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regulated investment companies;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real estate investment trusts;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controlled foreign corporations;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passive foreign investment companies;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expatriates or former long-term residents of the United States;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persons that actually or constructively own five percent or more of our shares;</w:t>
      </w:r>
    </w:p>
    <w:p>
      <w:pPr>
        <w:spacing w:after="0" w:line="102" w:lineRule="exact"/>
        <w:rPr>
          <w:sz w:val="20"/>
          <w:szCs w:val="20"/>
          <w:color w:val="auto"/>
        </w:rPr>
      </w:pPr>
    </w:p>
    <w:p>
      <w:pPr>
        <w:ind w:left="580" w:right="439"/>
        <w:spacing w:after="0" w:line="243" w:lineRule="auto"/>
        <w:rPr>
          <w:sz w:val="20"/>
          <w:szCs w:val="20"/>
          <w:color w:val="auto"/>
        </w:rPr>
      </w:pPr>
      <w:r>
        <w:rPr>
          <w:rFonts w:ascii="Arial" w:cs="Arial" w:eastAsia="Arial" w:hAnsi="Arial"/>
          <w:sz w:val="17"/>
          <w:szCs w:val="17"/>
          <w:color w:val="auto"/>
        </w:rPr>
        <w:t>persons that acquired our securities pursuant to an exercise of employee share options, in connection with employee share incentive plans or otherwise as compensation or in connection with services;</w:t>
      </w:r>
    </w:p>
    <w:p>
      <w:pPr>
        <w:spacing w:after="0" w:line="90" w:lineRule="exact"/>
        <w:rPr>
          <w:sz w:val="20"/>
          <w:szCs w:val="20"/>
          <w:color w:val="auto"/>
        </w:rPr>
      </w:pPr>
    </w:p>
    <w:p>
      <w:pPr>
        <w:ind w:left="580" w:right="99"/>
        <w:spacing w:after="0" w:line="243" w:lineRule="auto"/>
        <w:rPr>
          <w:sz w:val="20"/>
          <w:szCs w:val="20"/>
          <w:color w:val="auto"/>
        </w:rPr>
      </w:pPr>
      <w:r>
        <w:rPr>
          <w:rFonts w:ascii="Arial" w:cs="Arial" w:eastAsia="Arial" w:hAnsi="Arial"/>
          <w:sz w:val="17"/>
          <w:szCs w:val="17"/>
          <w:color w:val="auto"/>
        </w:rPr>
        <w:t>persons that hold our securities as part of a straddle, constructive sale, hedging, conversion or other integrated or similar transaction; or</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U.S. Holders (as defined below) whose functional currency is not the U.S. dollar.</w:t>
      </w:r>
    </w:p>
    <w:p>
      <w:pPr>
        <w:spacing w:after="0" w:line="169" w:lineRule="exact"/>
        <w:rPr>
          <w:sz w:val="20"/>
          <w:szCs w:val="20"/>
          <w:color w:val="auto"/>
        </w:rPr>
      </w:pPr>
    </w:p>
    <w:p>
      <w:pPr>
        <w:ind w:right="79"/>
        <w:spacing w:after="0" w:line="235" w:lineRule="auto"/>
        <w:rPr>
          <w:sz w:val="20"/>
          <w:szCs w:val="20"/>
          <w:color w:val="auto"/>
        </w:rPr>
      </w:pPr>
      <w:r>
        <w:rPr>
          <w:rFonts w:ascii="Arial" w:cs="Arial" w:eastAsia="Arial" w:hAnsi="Arial"/>
          <w:sz w:val="17"/>
          <w:szCs w:val="17"/>
          <w:color w:val="auto"/>
        </w:rPr>
        <w:t>Moreover, the discussion below is based upon the provisions of the Code, the Treasury regulations promulgated thereunder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spacing w:after="0" w:line="161" w:lineRule="exact"/>
        <w:rPr>
          <w:sz w:val="20"/>
          <w:szCs w:val="20"/>
          <w:color w:val="auto"/>
        </w:rPr>
      </w:pPr>
    </w:p>
    <w:p>
      <w:pPr>
        <w:ind w:right="39"/>
        <w:spacing w:after="0" w:line="236" w:lineRule="auto"/>
        <w:rPr>
          <w:sz w:val="20"/>
          <w:szCs w:val="20"/>
          <w:color w:val="auto"/>
        </w:rPr>
      </w:pPr>
      <w:r>
        <w:rPr>
          <w:rFonts w:ascii="Arial" w:cs="Arial" w:eastAsia="Arial" w:hAnsi="Arial"/>
          <w:sz w:val="17"/>
          <w:szCs w:val="17"/>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49" w:lineRule="exact"/>
        <w:rPr>
          <w:sz w:val="20"/>
          <w:szCs w:val="20"/>
          <w:color w:val="auto"/>
        </w:rPr>
      </w:pPr>
    </w:p>
    <w:p>
      <w:pPr>
        <w:ind w:right="19"/>
        <w:spacing w:after="0" w:line="235" w:lineRule="auto"/>
        <w:rPr>
          <w:sz w:val="20"/>
          <w:szCs w:val="20"/>
          <w:color w:val="auto"/>
        </w:rPr>
      </w:pPr>
      <w:r>
        <w:rPr>
          <w:rFonts w:ascii="Arial" w:cs="Arial" w:eastAsia="Arial" w:hAnsi="Arial"/>
          <w:sz w:val="17"/>
          <w:szCs w:val="17"/>
          <w:color w:val="auto"/>
        </w:rPr>
        <w:t>As used herein, the term “U.S. Holder” means a beneficial owner of Class A ordinary shares that is for U.S. federal income tax purposes: (i) an individual citizen or resident of the United States, (ii) a corporation (or other entity treated as a corporation for U.S. federal income tax purposes) that is created or organized (or treated as created or organized) in or under the laws of the United States, any state thereof or the District of Columbia, (iii) an estate the income of which is subject to U.S. federal income taxation regardless of its source or (iv) a trust if (A) a court within the United States is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able to exercise primary supervision over the administration of the trust and one or more United States persons have the authority to control all substantial decisions of the trust, or (B) it has in effect a valid election to be treated as a U.S. person.</w:t>
      </w:r>
    </w:p>
    <w:p>
      <w:pPr>
        <w:spacing w:after="0" w:line="161"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This discussion does not consider the tax treatment of partnerships or other pass-through entities or persons who hold our securities through such entities. If a partnership (or other entity or arrangement classified as a partnership for U.S. federal income tax purposes) is the beneficial owner of our Class A ordinary shares, the U.S. federal income tax treatment of a partner in the partnership generally will depend on the status of the partner and the activities of the partner and the partnership. A U.S. Holders who is a partner of a partnership holding our Class A ordinary shares is urged to consult its tax advisor.</w:t>
      </w:r>
    </w:p>
    <w:p>
      <w:pPr>
        <w:spacing w:after="0" w:line="14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b w:val="1"/>
          <w:bCs w:val="1"/>
          <w:color w:val="auto"/>
        </w:rPr>
        <w:t>THIS DISCUSSION IS ONLY A SUMMARY OF CERTAIN U.S. FEDERAL INCOME TAX CONSIDERATIONS ASSOCIATED WITH THE ACQUISITION, OWNERSHIP AND DISPOSITION OF OUR CLASS A ORDINARY SHARES. EACH PROSPECTIVE INVESTOR IN OUR SECURITIES IS URGED TO CONSULT ITS TAX ADVISOR WITH RESPECT TO THE PARTICULAR TAX CONSEQUENCES TO SUCH INVESTOR OF THE ACQUISITION, OWNERSHIP AND DISPOSITION OF OUR CLASS A ORDINARY SHARES, INCLUDING THE APPLICABILITY AND EFFECT OF ANY STATE, LOCAL, AND NON-U.S. TAX LAWS.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Holders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Taxation of Distributions</w:t>
      </w:r>
    </w:p>
    <w:p>
      <w:pPr>
        <w:spacing w:after="0" w:line="5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Subject to the PFIC rules discussed below, a U.S. Holder generally will be required to include in gross income as dividends the amount of any cash distribution paid on our Class A ordinary shares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(see “— Gain or Loss on Sale, Taxable Exchange or Other Taxable Disposition of Class A Ordinary Shares” below).</w:t>
      </w:r>
    </w:p>
    <w:p>
      <w:pPr>
        <w:spacing w:after="0" w:line="16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 xml:space="preserve">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(see “— Gain or Loss on Sale, Taxable Exchange or Other Taxable Disposition of Class A Ordinary Shares” below) only if our Class A ordinary shares are readily tradable on an established securities market in the United States, the Company is not treated as a PFIC at the time the dividend was paid or in the preceding taxable year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certain holding period requirements are met. It is unclear, however, whether certain redemption rights described in this prospectus may suspend the running of the applicable holding period for this purpose. U.S. Holders should consult their tax advisors regarding the availability of such lower rate for any dividends paid with respect to our Class A ordinary shares.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or Loss on Sale, Taxable Exchange or Other Taxable Disposition of Class A Ordinary Shares</w:t>
      </w:r>
    </w:p>
    <w:p>
      <w:pPr>
        <w:spacing w:after="0" w:line="18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Subject to the PFIC rules discussed below, a U.S. Holder generally will recognize capital gain or loss on the sale or other taxable disposition of our Class A ordinary shares (including on our dissolution and liquidation if we do not consummate an initial business combination within the required time period). Any such capital gain or loss generally will be long-term capital gain or loss if the U.S. Holder’s holding period for such Class A ordinary shares exceeds one year. It is unclear, however, whether certain redemption rights described in this prospectus may suspend the running of the applicable holding period for this purpose.</w:t>
      </w:r>
    </w:p>
    <w:p>
      <w:pPr>
        <w:spacing w:after="0" w:line="148" w:lineRule="exact"/>
        <w:rPr>
          <w:sz w:val="20"/>
          <w:szCs w:val="20"/>
          <w:color w:val="auto"/>
        </w:rPr>
      </w:pPr>
    </w:p>
    <w:p>
      <w:pPr>
        <w:ind w:right="280"/>
        <w:spacing w:after="0" w:line="232" w:lineRule="auto"/>
        <w:rPr>
          <w:sz w:val="20"/>
          <w:szCs w:val="20"/>
          <w:color w:val="auto"/>
        </w:rPr>
      </w:pPr>
      <w:r>
        <w:rPr>
          <w:rFonts w:ascii="Arial" w:cs="Arial" w:eastAsia="Arial" w:hAnsi="Arial"/>
          <w:sz w:val="17"/>
          <w:szCs w:val="17"/>
          <w:color w:val="auto"/>
        </w:rPr>
        <w:t>The amount of gain or loss recognized on a sale or other taxable disposition generally will be equal to the difference between (i) the sum of the amount of cash and the fair market value of any property received in such disposition and</w:t>
      </w:r>
    </w:p>
    <w:p>
      <w:pPr>
        <w:ind w:right="20" w:firstLine="8"/>
        <w:spacing w:after="0" w:line="236" w:lineRule="auto"/>
        <w:tabs>
          <w:tab w:leader="none" w:pos="237"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U.S. Holder’s adjusted tax basis in its Class A ordinary shares so disposed of. A U.S. Holder’s adjusted tax basis in its Class A ordinary shares generally will equal the U.S. Holder’s acquisition cost reduced by any prior distributions treated as a return of capital. Long-term capital gain realized by a non-corporate U.S. Holder is currently eligible to be taxed at reduced rates. The deduction of capital losses is subject to certain limitations.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 of Class A Ordinary Shares</w:t>
      </w:r>
    </w:p>
    <w:p>
      <w:pPr>
        <w:spacing w:after="0" w:line="187"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Subject to the PFIC rules discussed below, in the event that a U.S. Holder’s Class A ordinary shares are redeemed pursuant to the redemption provisions described in this prospectus under “Description of Securities — Ordinary Shares” or if we purchase a U.S. Holder’s Class A ordinary shares in an open market transaction (referred to herein as a “redemption”), the treatment of the redemption for U.S. federal income tax purposes will depend on whether it qualifies as a sale of the Class A ordinary shares under Section 302 of the Code. If the redemption qualifies as a sale of Class A ordinary shares, the U.S. Holder will be treated as described under “— Gain or Loss on Sale, Taxable Exchange or Other Taxable Disposition of Class A Ordinary Shares” above. If the redemption does not qualify as a sale of Class A ordinary shares, the U.S. Holder will be treated as receiving a corporate distribution with the tax consequences described above under “— Taxation of Distributions.” Whether a redemption qualifies for sale treatment will depend largely on the total number of our shares treated as held by the U.S. Holder (including any shares constructively owned by the U.S. Holder described in the following paragraph) relative to all of our shares outstanding both before and after such redemption. The redemption of Class A ordinary shares generally will be treated as a sale of the Class A ordinary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64"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In determining whether any of the foregoing tests are satisfied, a U.S. Holder takes into account not only Class A ordinary shares actually owned by the U.S. Holder, but also our shares that are constructively owned by it.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In order to meet the substantially disproportionate test, the percentage of our outstanding voting shares actually and constructively 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the completion of our initial business combination, the Class A ordinary shares may not be treated as voting stock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The redemption of the Class A ordinary shares will not be essentially equivalent to a dividend with respect to a U.S. Holder if it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tax advisors as to the tax consequences of a redemption.</w:t>
      </w:r>
    </w:p>
    <w:p>
      <w:pPr>
        <w:spacing w:after="0" w:line="163"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If none of the foregoing tests are satisfied, then the redemption will be treated as a corporate distribution and the tax effects will be as described under “— Taxation of Distributions” above. After the application of those rules, any remaining tax basis of the U.S. Holder in the redeemed Class A ordinary shares will be added to the U.S. Holder’s adjusted tax basis in its remaining shares, or, if it has none, possibly to the U.S. Holder’s adjusted tax basis in other shares constructively owned by it.</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Passive Foreign Investment Company Rules</w:t>
      </w:r>
    </w:p>
    <w:p>
      <w:pPr>
        <w:spacing w:after="0" w:line="17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Because we are a blank check company, with no current active business, we believe that it is likely that we will meet the PFIC asset and/or income test for our current taxable year. However, pursuant to a start-up exception, a corporation will not be a PFIC for the first taxable year the corporation has gross income (the “start-up year”), if (1) no predecessor of the corporation was a PFIC; (2) the corporation satisfies the IRS that it will not be a PFIC for either of the two taxable years following the start-up year; and (3) the corporation is not in fact a PFIC for either of those years. The applicability of the start-up exception to us is uncertain and will not be known until after the close of our current taxable year or, possibly, after the close of our two subsequent taxable years.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(or we do not complete a business acquisition by the end of the first taxable year after the taxable year of our formation), then we will likely not qualify for the start-up exception and will be a PFIC for our current taxable year. Our actual PFIC status for our current taxable year or any subsequent taxable year, however, will not be determinable until after the end of such taxable year. Accordingly, there can be no assurance with respect to our status as a PFIC for our current taxable year or any future taxable year.</w:t>
      </w:r>
    </w:p>
    <w:p>
      <w:pPr>
        <w:spacing w:after="0" w:line="165"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Although our PFIC status is determined annually, an initial determination that our company is a PFIC will generally apply for subsequent years to a U.S. Holder who held Class A ordinary shares while we were a PFIC, whether or not we meet the test for PFIC status in those subsequent years. If we are determined to be a PFIC for any taxable year (or portion thereof) that is included in the holding period of a U.S. Holder of our Class A ordinary shares and, in the case of our Class A ordinary shares, the U.S. Holder did not make either a timely qualified electing fund (“QEF”) election or a mark-to-market election for our first taxable year as a PFIC, and in which the U.S. Holder held (or was deemed to hold)</w:t>
      </w:r>
    </w:p>
    <w:p>
      <w:pPr>
        <w:ind w:right="120"/>
        <w:spacing w:after="0" w:line="235" w:lineRule="auto"/>
        <w:rPr>
          <w:sz w:val="20"/>
          <w:szCs w:val="20"/>
          <w:color w:val="auto"/>
        </w:rPr>
      </w:pPr>
      <w:r>
        <w:rPr>
          <w:rFonts w:ascii="Arial" w:cs="Arial" w:eastAsia="Arial" w:hAnsi="Arial"/>
          <w:sz w:val="17"/>
          <w:szCs w:val="17"/>
          <w:color w:val="auto"/>
        </w:rPr>
        <w:t>Class A ordinary shares, as described below, such U.S. Holder generally will be subject to special and adverse rules with respect to (i) any gain recognized by the U.S. Holder on the sale or other disposition of its Class A ordinary shares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Under these rules:</w:t>
      </w:r>
    </w:p>
    <w:p>
      <w:pPr>
        <w:spacing w:after="0" w:line="102" w:lineRule="exact"/>
        <w:rPr>
          <w:sz w:val="20"/>
          <w:szCs w:val="20"/>
          <w:color w:val="auto"/>
        </w:rPr>
      </w:pPr>
    </w:p>
    <w:p>
      <w:pPr>
        <w:ind w:left="580" w:right="280"/>
        <w:spacing w:after="0" w:line="243" w:lineRule="auto"/>
        <w:rPr>
          <w:sz w:val="20"/>
          <w:szCs w:val="20"/>
          <w:color w:val="auto"/>
        </w:rPr>
      </w:pPr>
      <w:r>
        <w:rPr>
          <w:rFonts w:ascii="Arial" w:cs="Arial" w:eastAsia="Arial" w:hAnsi="Arial"/>
          <w:sz w:val="17"/>
          <w:szCs w:val="17"/>
          <w:color w:val="auto"/>
        </w:rPr>
        <w:t>the U.S. Holder’s gain or excess distribution will be allocated ratably over the U.S. Holder’s holding period for the Class A ordinary shares;</w:t>
      </w:r>
    </w:p>
    <w:p>
      <w:pPr>
        <w:spacing w:after="0" w:line="90" w:lineRule="exact"/>
        <w:rPr>
          <w:sz w:val="20"/>
          <w:szCs w:val="20"/>
          <w:color w:val="auto"/>
        </w:rPr>
      </w:pPr>
    </w:p>
    <w:p>
      <w:pPr>
        <w:jc w:val="both"/>
        <w:ind w:left="580" w:right="40"/>
        <w:spacing w:after="0" w:line="238" w:lineRule="auto"/>
        <w:rPr>
          <w:sz w:val="20"/>
          <w:szCs w:val="20"/>
          <w:color w:val="auto"/>
        </w:rPr>
      </w:pPr>
      <w:r>
        <w:rPr>
          <w:rFonts w:ascii="Arial" w:cs="Arial" w:eastAsia="Arial" w:hAnsi="Arial"/>
          <w:sz w:val="17"/>
          <w:szCs w:val="17"/>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93" w:lineRule="exact"/>
        <w:rPr>
          <w:sz w:val="20"/>
          <w:szCs w:val="20"/>
          <w:color w:val="auto"/>
        </w:rPr>
      </w:pPr>
    </w:p>
    <w:p>
      <w:pPr>
        <w:ind w:left="580" w:right="240"/>
        <w:spacing w:after="0" w:line="243" w:lineRule="auto"/>
        <w:rPr>
          <w:sz w:val="20"/>
          <w:szCs w:val="20"/>
          <w:color w:val="auto"/>
        </w:rPr>
      </w:pPr>
      <w:r>
        <w:rPr>
          <w:rFonts w:ascii="Arial" w:cs="Arial" w:eastAsia="Arial" w:hAnsi="Arial"/>
          <w:sz w:val="17"/>
          <w:szCs w:val="17"/>
          <w:color w:val="auto"/>
        </w:rPr>
        <w:t>the amount allocated to other taxable years (or portions thereof) of the U.S. Holder and included in its holding period will be taxed at the highest tax rate in effect for that year and applicable to the U.S. Holder; and</w:t>
      </w:r>
    </w:p>
    <w:p>
      <w:pPr>
        <w:spacing w:after="0" w:line="90" w:lineRule="exact"/>
        <w:rPr>
          <w:sz w:val="20"/>
          <w:szCs w:val="20"/>
          <w:color w:val="auto"/>
        </w:rPr>
      </w:pPr>
    </w:p>
    <w:p>
      <w:pPr>
        <w:ind w:left="580" w:right="240"/>
        <w:spacing w:after="0" w:line="243" w:lineRule="auto"/>
        <w:rPr>
          <w:sz w:val="20"/>
          <w:szCs w:val="20"/>
          <w:color w:val="auto"/>
        </w:rPr>
      </w:pPr>
      <w:r>
        <w:rPr>
          <w:rFonts w:ascii="Arial" w:cs="Arial" w:eastAsia="Arial" w:hAnsi="Arial"/>
          <w:sz w:val="17"/>
          <w:szCs w:val="17"/>
          <w:color w:val="auto"/>
        </w:rPr>
        <w:t>an additional tax equal to the interest charge generally applicable to underpayments of tax will be imposed on the U.S. Holder with respect to the tax attributable to each such other taxable year of the U.S. Holder.</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PFIC Elections</w:t>
      </w:r>
    </w:p>
    <w:p>
      <w:pPr>
        <w:spacing w:after="0" w:line="187" w:lineRule="exact"/>
        <w:rPr>
          <w:sz w:val="20"/>
          <w:szCs w:val="20"/>
          <w:color w:val="auto"/>
        </w:rPr>
      </w:pPr>
    </w:p>
    <w:p>
      <w:pPr>
        <w:jc w:val="both"/>
        <w:ind w:right="40"/>
        <w:spacing w:after="0" w:line="232" w:lineRule="auto"/>
        <w:rPr>
          <w:sz w:val="20"/>
          <w:szCs w:val="20"/>
          <w:color w:val="auto"/>
        </w:rPr>
      </w:pPr>
      <w:r>
        <w:rPr>
          <w:rFonts w:ascii="Arial" w:cs="Arial" w:eastAsia="Arial" w:hAnsi="Arial"/>
          <w:sz w:val="17"/>
          <w:szCs w:val="17"/>
          <w:color w:val="auto"/>
        </w:rPr>
        <w:t>In general, if we are determined to be a PFIC, a U.S. Holder may avoid the adverse PFIC tax consequences described above in respect of our Class A ordinary shares by making and maintaining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w:t>
      </w:r>
    </w:p>
    <w:p>
      <w:pPr>
        <w:jc w:val="both"/>
        <w:ind w:right="40"/>
        <w:spacing w:after="0" w:line="238" w:lineRule="auto"/>
        <w:rPr>
          <w:sz w:val="20"/>
          <w:szCs w:val="20"/>
          <w:color w:val="auto"/>
        </w:rPr>
      </w:pPr>
      <w:r>
        <w:rPr>
          <w:rFonts w:ascii="Arial" w:cs="Arial" w:eastAsia="Arial" w:hAnsi="Arial"/>
          <w:sz w:val="17"/>
          <w:szCs w:val="17"/>
          <w:color w:val="auto"/>
        </w:rPr>
        <w:t>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6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63"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6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taxable year.</w:t>
      </w:r>
    </w:p>
    <w:p>
      <w:pPr>
        <w:spacing w:after="0" w:line="153"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Alternatively, 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w:t>
      </w:r>
    </w:p>
    <w:p>
      <w:pPr>
        <w:spacing w:after="0" w:line="16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mark-to-market election is available only for “marketable stock,” generally, stock that is regularly traded on a national securities exchange that is registered with the SEC, including Nasdaq (on which we have been approved to list our Class A ordinary shares), or on a foreign exchange or market that the IRS determines has rules sufficient to ensure that the market price represents a legitimate and sound fair market value. U.S. Holders should consult their tax advisors regarding the availability and tax consequences of a mark-to-market election with respect to our Class A ordinary shares under their particular circumstances.</w:t>
      </w:r>
    </w:p>
    <w:p>
      <w:pPr>
        <w:spacing w:after="0" w:line="161"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U.S. Holders are urged to consult their tax advisors regarding the tax issues raised by lower-tier PFICs.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39"/>
        <w:spacing w:after="0" w:line="236" w:lineRule="auto"/>
        <w:rPr>
          <w:sz w:val="20"/>
          <w:szCs w:val="20"/>
          <w:color w:val="auto"/>
        </w:rPr>
      </w:pPr>
      <w:r>
        <w:rPr>
          <w:rFonts w:ascii="Arial" w:cs="Arial" w:eastAsia="Arial" w:hAnsi="Arial"/>
          <w:sz w:val="17"/>
          <w:szCs w:val="17"/>
          <w:color w:val="auto"/>
        </w:rPr>
        <w:t>A U.S. Holder that owns (or is deemed to own) shares in a PFIC during any taxable year of the U.S. Holder, may have to file an IRS Form 8621 (whether or not a QEF or market-to-market election is made) and such other information as may be required by the U.S. Treasury Department. Failure to do so, if required, will extend the statute of limitations until such required information is furnished to the IRS.</w:t>
      </w:r>
    </w:p>
    <w:p>
      <w:pPr>
        <w:spacing w:after="0" w:line="163" w:lineRule="exact"/>
        <w:rPr>
          <w:sz w:val="20"/>
          <w:szCs w:val="20"/>
          <w:color w:val="auto"/>
        </w:rPr>
      </w:pPr>
    </w:p>
    <w:p>
      <w:pPr>
        <w:ind w:right="239"/>
        <w:spacing w:after="0" w:line="236" w:lineRule="auto"/>
        <w:rPr>
          <w:sz w:val="20"/>
          <w:szCs w:val="20"/>
          <w:color w:val="auto"/>
        </w:rPr>
      </w:pPr>
      <w:r>
        <w:rPr>
          <w:rFonts w:ascii="Arial" w:cs="Arial" w:eastAsia="Arial" w:hAnsi="Arial"/>
          <w:sz w:val="17"/>
          <w:szCs w:val="17"/>
          <w:color w:val="auto"/>
        </w:rPr>
        <w:t>The rules dealing with PFICs and with the QEF and mark-to-market elections are very complex and are affected by various factors in addition to those described above. Accordingly, U.S. Holders of our Class A ordinary shares should consult their tax advisors concerning the application of the PFIC rules to our securities under their particular circumstances.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 Reporting</w:t>
      </w:r>
    </w:p>
    <w:p>
      <w:pPr>
        <w:spacing w:after="0" w:line="187" w:lineRule="exact"/>
        <w:rPr>
          <w:sz w:val="20"/>
          <w:szCs w:val="20"/>
          <w:color w:val="auto"/>
        </w:rPr>
      </w:pPr>
    </w:p>
    <w:p>
      <w:pPr>
        <w:ind w:right="19"/>
        <w:spacing w:after="0" w:line="233" w:lineRule="auto"/>
        <w:rPr>
          <w:sz w:val="20"/>
          <w:szCs w:val="20"/>
          <w:color w:val="auto"/>
        </w:rPr>
      </w:pPr>
      <w:r>
        <w:rPr>
          <w:rFonts w:ascii="Arial" w:cs="Arial" w:eastAsia="Arial" w:hAnsi="Arial"/>
          <w:sz w:val="17"/>
          <w:szCs w:val="17"/>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U.S. federal income taxes will be extended in the event of a failure to comply.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An interest in the Company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Potential investors are urged to consult their tax advisors regarding the foreign financial asset and other reporting obligations and their application to an investment in our Class A ordinary shares.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Non-U.S. Holders</w:t>
      </w:r>
    </w:p>
    <w:p>
      <w:pPr>
        <w:spacing w:after="0" w:line="41" w:lineRule="exact"/>
        <w:rPr>
          <w:sz w:val="20"/>
          <w:szCs w:val="20"/>
          <w:color w:val="auto"/>
        </w:rPr>
      </w:pPr>
    </w:p>
    <w:p>
      <w:pPr>
        <w:ind w:right="299"/>
        <w:spacing w:after="0" w:line="238" w:lineRule="auto"/>
        <w:rPr>
          <w:sz w:val="20"/>
          <w:szCs w:val="20"/>
          <w:color w:val="auto"/>
        </w:rPr>
      </w:pPr>
      <w:r>
        <w:rPr>
          <w:rFonts w:ascii="Arial" w:cs="Arial" w:eastAsia="Arial" w:hAnsi="Arial"/>
          <w:sz w:val="17"/>
          <w:szCs w:val="17"/>
          <w:color w:val="auto"/>
        </w:rPr>
        <w:t>This section applies to you if you are a “Non-U.S. Holder.” As used herein, the term “Non-U.S. Holder” means a beneficial owner of our Class A ordinary shares (other than a partnership or other entity or arrangement treated as a partnership for U.S. federal income tax purposes) who or that is for U.S. federal income tax purposes:</w:t>
      </w:r>
    </w:p>
    <w:p>
      <w:pPr>
        <w:spacing w:after="0" w:line="93" w:lineRule="exact"/>
        <w:rPr>
          <w:sz w:val="20"/>
          <w:szCs w:val="20"/>
          <w:color w:val="auto"/>
        </w:rPr>
      </w:pPr>
    </w:p>
    <w:p>
      <w:pPr>
        <w:ind w:left="580" w:right="219"/>
        <w:spacing w:after="0" w:line="243" w:lineRule="auto"/>
        <w:rPr>
          <w:sz w:val="20"/>
          <w:szCs w:val="20"/>
          <w:color w:val="auto"/>
        </w:rPr>
      </w:pPr>
      <w:r>
        <w:rPr>
          <w:rFonts w:ascii="Arial" w:cs="Arial" w:eastAsia="Arial" w:hAnsi="Arial"/>
          <w:sz w:val="17"/>
          <w:szCs w:val="17"/>
          <w:color w:val="auto"/>
        </w:rPr>
        <w:t>a non-resident alien individual (other than certain former citizens and residents of the United States subject to U.S. tax as expatriates);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 foreign corporation; or</w:t>
      </w:r>
    </w:p>
    <w:p>
      <w:pPr>
        <w:spacing w:after="0" w:line="102" w:lineRule="exact"/>
        <w:rPr>
          <w:sz w:val="20"/>
          <w:szCs w:val="20"/>
          <w:color w:val="auto"/>
        </w:rPr>
      </w:pPr>
    </w:p>
    <w:p>
      <w:pPr>
        <w:ind w:left="580" w:right="259"/>
        <w:spacing w:after="0" w:line="236" w:lineRule="auto"/>
        <w:rPr>
          <w:sz w:val="20"/>
          <w:szCs w:val="20"/>
          <w:color w:val="auto"/>
        </w:rPr>
      </w:pPr>
      <w:r>
        <w:rPr>
          <w:rFonts w:ascii="Arial" w:cs="Arial" w:eastAsia="Arial" w:hAnsi="Arial"/>
          <w:sz w:val="17"/>
          <w:szCs w:val="17"/>
          <w:color w:val="auto"/>
        </w:rPr>
        <w:t>an estate or trust that is not a U.S. Holder; but generally does not include an individual who is present in the United States for 183 days or more in the taxable year of disposition. A U.S. Holder who is such an individual should consult its tax advisor regarding the U.S. federal income tax consequences of the sale or other disposition of our securities.</w:t>
      </w:r>
    </w:p>
    <w:p>
      <w:pPr>
        <w:spacing w:after="0" w:line="163" w:lineRule="exact"/>
        <w:rPr>
          <w:sz w:val="20"/>
          <w:szCs w:val="20"/>
          <w:color w:val="auto"/>
        </w:rPr>
      </w:pPr>
    </w:p>
    <w:p>
      <w:pPr>
        <w:ind w:right="39"/>
        <w:spacing w:after="0" w:line="234" w:lineRule="auto"/>
        <w:rPr>
          <w:sz w:val="20"/>
          <w:szCs w:val="20"/>
          <w:color w:val="auto"/>
        </w:rPr>
      </w:pPr>
      <w:r>
        <w:rPr>
          <w:rFonts w:ascii="Arial" w:cs="Arial" w:eastAsia="Arial" w:hAnsi="Arial"/>
          <w:sz w:val="17"/>
          <w:szCs w:val="17"/>
          <w:color w:val="auto"/>
        </w:rPr>
        <w:t>Dividends (including constructive dividends) paid or deemed paid to a Non-U.S. Holder in respect of our Class A ordinary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 In addition, a Non-U.S. Holder generally will not be subject to U.S. federal income tax on any gain attributable to a sale or other disposition of our Class A ordinary shares unless such gain is effectively connected with its conduct of a trade or business in the United States (and, if required by an applicable income tax treaty, is attributable to a permanent establishment or fixed base that such holder maintains in the United States).</w:t>
      </w:r>
    </w:p>
    <w:p>
      <w:pPr>
        <w:spacing w:after="0" w:line="163" w:lineRule="exact"/>
        <w:rPr>
          <w:sz w:val="20"/>
          <w:szCs w:val="20"/>
          <w:color w:val="auto"/>
        </w:rPr>
      </w:pPr>
    </w:p>
    <w:p>
      <w:pPr>
        <w:ind w:right="19"/>
        <w:spacing w:after="0" w:line="235" w:lineRule="auto"/>
        <w:rPr>
          <w:sz w:val="20"/>
          <w:szCs w:val="20"/>
          <w:color w:val="auto"/>
        </w:rPr>
      </w:pPr>
      <w:r>
        <w:rPr>
          <w:rFonts w:ascii="Arial" w:cs="Arial" w:eastAsia="Arial" w:hAnsi="Arial"/>
          <w:sz w:val="17"/>
          <w:szCs w:val="17"/>
          <w:color w:val="auto"/>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U.S. federal income tax at the same regular U.S. federal income tax rates applicable to a comparable U.S. Holder and, in the case of a Non-U.S. Holder that is a corporation for U.S. federal income tax purposes, also may be subject to an additional branch profits tax at a 30% rate or a lower applicable tax treaty rate.</w:t>
      </w:r>
    </w:p>
    <w:p>
      <w:pPr>
        <w:spacing w:after="0" w:line="148" w:lineRule="exact"/>
        <w:rPr>
          <w:sz w:val="20"/>
          <w:szCs w:val="20"/>
          <w:color w:val="auto"/>
        </w:rPr>
      </w:pPr>
    </w:p>
    <w:p>
      <w:pPr>
        <w:ind w:right="19"/>
        <w:spacing w:after="0" w:line="243" w:lineRule="auto"/>
        <w:rPr>
          <w:sz w:val="20"/>
          <w:szCs w:val="20"/>
          <w:color w:val="auto"/>
        </w:rPr>
      </w:pPr>
      <w:r>
        <w:rPr>
          <w:rFonts w:ascii="Arial" w:cs="Arial" w:eastAsia="Arial" w:hAnsi="Arial"/>
          <w:sz w:val="17"/>
          <w:szCs w:val="17"/>
          <w:color w:val="auto"/>
        </w:rPr>
        <w:t>The characterization for U.S. federal income tax purposes of the redemption of a Non-U.S. Holder’s Class A ordinary shares will generally correspond to the U.S. federal income tax characterization of such a redemption of a U.S. Holder’s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Class A ordinary shares, as described under “U.S. Holders — Redemption of Class A Ordinary Shares” above, and the consequences of the redemption to the Non-U.S. Holder will be as described in the paragraphs above under the heading “Non-U.S. Holders” based on such characterization.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Reporting and Backup Withholding</w:t>
      </w:r>
    </w:p>
    <w:p>
      <w:pPr>
        <w:spacing w:after="0" w:line="17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Dividend payments with respect to our Class A ordinary shares and proceeds from the sale, exchange or redemption of our Class A ordinary shares may be subject to information reporting to the IRS and possible U.S.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6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furnishing any required information.</w:t>
      </w:r>
    </w:p>
    <w:p>
      <w:pPr>
        <w:spacing w:after="0" w:line="143"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b w:val="1"/>
          <w:bCs w:val="1"/>
          <w:color w:val="auto"/>
        </w:rPr>
        <w:t>The U.S. federal income tax discussion set forth above is included for general information only and may not be applicable depending upon a holder’s particular situation. Holders are urged to consult their tax advisors with respect to the tax consequences to them of the acquisition, ownership and disposition of our Class A ordinary shares, including the tax consequences under state, local, estate, foreign and other tax laws and tax treaties and the possible effects of changes in U.S. or other tax laws.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terms and conditions set forth in the underwriting agreement, dated August 6, 2020, between us, Jefferies LLC and Goldman Sachs &amp; Co. LLC, as the representatives of the underwriters named below and the joint book-running managers of this offering, we have agreed to sell to the underwriters, and each of the underwriters has agreed, severally and not jointly, to purchase from us, the respective number of Class A ordinary shares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57607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NUMBER</w:t>
            </w:r>
          </w:p>
        </w:tc>
      </w:tr>
      <w:tr>
        <w:trPr>
          <w:trHeight w:val="190"/>
        </w:trPr>
        <w:tc>
          <w:tcPr>
            <w:tcW w:w="81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OF SHARES</w:t>
            </w:r>
          </w:p>
        </w:tc>
      </w:tr>
      <w:tr>
        <w:trPr>
          <w:trHeight w:val="39"/>
        </w:trPr>
        <w:tc>
          <w:tcPr>
            <w:tcW w:w="81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63"/>
        </w:trPr>
        <w:tc>
          <w:tcPr>
            <w:tcW w:w="8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Underwriter</w:t>
            </w: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4"/>
        </w:trPr>
        <w:tc>
          <w:tcPr>
            <w:tcW w:w="8140" w:type="dxa"/>
            <w:vAlign w:val="bottom"/>
          </w:tcPr>
          <w:p>
            <w:pPr>
              <w:spacing w:after="0"/>
              <w:rPr>
                <w:sz w:val="20"/>
                <w:szCs w:val="20"/>
                <w:color w:val="auto"/>
              </w:rPr>
            </w:pPr>
            <w:r>
              <w:rPr>
                <w:rFonts w:ascii="Arial" w:cs="Arial" w:eastAsia="Arial" w:hAnsi="Arial"/>
                <w:sz w:val="17"/>
                <w:szCs w:val="17"/>
                <w:color w:val="auto"/>
              </w:rPr>
              <w:t>Jefferies LLC</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6,500,000</w:t>
            </w:r>
          </w:p>
        </w:tc>
      </w:tr>
      <w:tr>
        <w:trPr>
          <w:trHeight w:val="225"/>
        </w:trPr>
        <w:tc>
          <w:tcPr>
            <w:tcW w:w="8140" w:type="dxa"/>
            <w:vAlign w:val="bottom"/>
            <w:shd w:val="clear" w:color="auto" w:fill="CCEEFF"/>
          </w:tcPr>
          <w:p>
            <w:pPr>
              <w:spacing w:after="0"/>
              <w:rPr>
                <w:sz w:val="20"/>
                <w:szCs w:val="20"/>
                <w:color w:val="auto"/>
              </w:rPr>
            </w:pPr>
            <w:r>
              <w:rPr>
                <w:rFonts w:ascii="Arial" w:cs="Arial" w:eastAsia="Arial" w:hAnsi="Arial"/>
                <w:sz w:val="17"/>
                <w:szCs w:val="17"/>
                <w:color w:val="auto"/>
              </w:rPr>
              <w:t>Goldman Sachs &amp; Co. LLC</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6,500,000</w:t>
            </w:r>
          </w:p>
        </w:tc>
      </w:tr>
      <w:tr>
        <w:trPr>
          <w:trHeight w:val="34"/>
        </w:trPr>
        <w:tc>
          <w:tcPr>
            <w:tcW w:w="81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7"/>
                <w:szCs w:val="17"/>
                <w:color w:val="auto"/>
              </w:rPr>
              <w:t>Total</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13,000,000</w:t>
            </w:r>
          </w:p>
        </w:tc>
      </w:tr>
      <w:tr>
        <w:trPr>
          <w:trHeight w:val="21"/>
        </w:trPr>
        <w:tc>
          <w:tcPr>
            <w:tcW w:w="8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
        </w:trPr>
        <w:tc>
          <w:tcPr>
            <w:tcW w:w="8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-736600</wp:posOffset>
            </wp:positionV>
            <wp:extent cx="1111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Class A ordinary shares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4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Class A ordinary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Class A ordinary shares, that you will be able to sell any of the Class A ordinary shares held by you at a particular time or that the prices that you receive when you sell will be favorable.</w:t>
      </w:r>
    </w:p>
    <w:p>
      <w:pPr>
        <w:spacing w:after="0" w:line="161"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The underwriters are offering the Class A ordinary shares subject to their acceptance of the Class A ordinary shares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Commission and Expenses</w:t>
      </w:r>
    </w:p>
    <w:p>
      <w:pPr>
        <w:spacing w:after="0" w:line="18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underwriters have advised us that they propose to offer the Class A ordinary shares to the public at the initial public offering price set forth on the cover page of this prospectus and to certain dealers, which may include the underwriters, at that price less a concession not in excess of $0.12 per share. The underwriters may allow, and certain dealers may reallow, a discount from the concession not in excess of $0.12 per share to certain brokers and dealers. After the offering, the initial public offering price, concession and reallowance to dealers may be reduced by the representative. No such reduction will change the amount of proceeds to be received by us as set forth on the cover page of this prospectus.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57607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gridSpan w:val="3"/>
          </w:tcPr>
          <w:p>
            <w:pPr>
              <w:jc w:val="center"/>
              <w:ind w:right="308"/>
              <w:spacing w:after="0"/>
              <w:rPr>
                <w:sz w:val="20"/>
                <w:szCs w:val="20"/>
                <w:color w:val="auto"/>
              </w:rPr>
            </w:pPr>
            <w:r>
              <w:rPr>
                <w:rFonts w:ascii="Arial" w:cs="Arial" w:eastAsia="Arial" w:hAnsi="Arial"/>
                <w:sz w:val="14"/>
                <w:szCs w:val="14"/>
                <w:b w:val="1"/>
                <w:bCs w:val="1"/>
                <w:color w:val="auto"/>
              </w:rPr>
              <w:t>PAID BY</w:t>
            </w:r>
          </w:p>
        </w:tc>
        <w:tc>
          <w:tcPr>
            <w:tcW w:w="720" w:type="dxa"/>
            <w:vAlign w:val="bottom"/>
          </w:tcPr>
          <w:p>
            <w:pPr>
              <w:spacing w:after="0"/>
              <w:rPr>
                <w:sz w:val="14"/>
                <w:szCs w:val="14"/>
                <w:color w:val="auto"/>
              </w:rPr>
            </w:pPr>
          </w:p>
        </w:tc>
      </w:tr>
      <w:tr>
        <w:trPr>
          <w:trHeight w:val="190"/>
        </w:trPr>
        <w:tc>
          <w:tcPr>
            <w:tcW w:w="6320" w:type="dxa"/>
            <w:vAlign w:val="bottom"/>
          </w:tcPr>
          <w:p>
            <w:pPr>
              <w:spacing w:after="0"/>
              <w:rPr>
                <w:sz w:val="16"/>
                <w:szCs w:val="16"/>
                <w:color w:val="auto"/>
              </w:rPr>
            </w:pPr>
          </w:p>
        </w:tc>
        <w:tc>
          <w:tcPr>
            <w:tcW w:w="2760" w:type="dxa"/>
            <w:vAlign w:val="bottom"/>
            <w:gridSpan w:val="6"/>
          </w:tcPr>
          <w:p>
            <w:pPr>
              <w:jc w:val="center"/>
              <w:spacing w:after="0"/>
              <w:rPr>
                <w:sz w:val="20"/>
                <w:szCs w:val="20"/>
                <w:color w:val="auto"/>
              </w:rPr>
            </w:pPr>
            <w:r>
              <w:rPr>
                <w:rFonts w:ascii="Arial" w:cs="Arial" w:eastAsia="Arial" w:hAnsi="Arial"/>
                <w:sz w:val="14"/>
                <w:szCs w:val="14"/>
                <w:b w:val="1"/>
                <w:bCs w:val="1"/>
                <w:color w:val="auto"/>
              </w:rPr>
              <w:t>ARYA SCIENCES ACQUISITION CORP III</w:t>
            </w:r>
          </w:p>
        </w:tc>
      </w:tr>
      <w:tr>
        <w:trPr>
          <w:trHeight w:val="39"/>
        </w:trPr>
        <w:tc>
          <w:tcPr>
            <w:tcW w:w="632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r>
      <w:tr>
        <w:trPr>
          <w:trHeight w:val="224"/>
        </w:trPr>
        <w:tc>
          <w:tcPr>
            <w:tcW w:w="632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NO EXERCISE</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FULL EXERCISE</w:t>
            </w:r>
          </w:p>
        </w:tc>
      </w:tr>
      <w:tr>
        <w:trPr>
          <w:trHeight w:val="39"/>
        </w:trPr>
        <w:tc>
          <w:tcPr>
            <w:tcW w:w="63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63"/>
        </w:trPr>
        <w:tc>
          <w:tcPr>
            <w:tcW w:w="6320" w:type="dxa"/>
            <w:vAlign w:val="bottom"/>
            <w:shd w:val="clear" w:color="auto" w:fill="CCEEFF"/>
          </w:tcPr>
          <w:p>
            <w:pPr>
              <w:spacing w:after="0" w:line="263" w:lineRule="exact"/>
              <w:rPr>
                <w:sz w:val="20"/>
                <w:szCs w:val="20"/>
                <w:color w:val="auto"/>
              </w:rPr>
            </w:pPr>
            <w:r>
              <w:rPr>
                <w:rFonts w:ascii="Arial" w:cs="Arial" w:eastAsia="Arial" w:hAnsi="Arial"/>
                <w:sz w:val="17"/>
                <w:szCs w:val="17"/>
                <w:color w:val="auto"/>
              </w:rPr>
              <w:t>Per Class A ordinary share</w:t>
            </w:r>
            <w:r>
              <w:rPr>
                <w:rFonts w:ascii="Arial" w:cs="Arial" w:eastAsia="Arial" w:hAnsi="Arial"/>
                <w:sz w:val="28"/>
                <w:szCs w:val="28"/>
                <w:color w:val="auto"/>
                <w:vertAlign w:val="superscript"/>
              </w:rPr>
              <w:t>(1)</w:t>
            </w:r>
          </w:p>
        </w:tc>
        <w:tc>
          <w:tcPr>
            <w:tcW w:w="4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960" w:type="dxa"/>
            <w:vAlign w:val="bottom"/>
            <w:gridSpan w:val="3"/>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0.55</w:t>
            </w:r>
          </w:p>
        </w:tc>
      </w:tr>
      <w:tr>
        <w:trPr>
          <w:trHeight w:val="216"/>
        </w:trPr>
        <w:tc>
          <w:tcPr>
            <w:tcW w:w="6320" w:type="dxa"/>
            <w:vAlign w:val="bottom"/>
            <w:tcBorders>
              <w:bottom w:val="single" w:sz="8" w:color="auto"/>
            </w:tcBorders>
          </w:tcPr>
          <w:p>
            <w:pPr>
              <w:spacing w:after="0" w:line="216" w:lineRule="exact"/>
              <w:rPr>
                <w:sz w:val="20"/>
                <w:szCs w:val="20"/>
                <w:color w:val="auto"/>
              </w:rPr>
            </w:pPr>
            <w:r>
              <w:rPr>
                <w:rFonts w:ascii="Arial" w:cs="Arial" w:eastAsia="Arial" w:hAnsi="Arial"/>
                <w:sz w:val="16"/>
                <w:szCs w:val="16"/>
                <w:color w:val="auto"/>
              </w:rPr>
              <w:t>Total</w:t>
            </w:r>
            <w:r>
              <w:rPr>
                <w:rFonts w:ascii="Arial" w:cs="Arial" w:eastAsia="Arial" w:hAnsi="Arial"/>
                <w:sz w:val="25"/>
                <w:szCs w:val="25"/>
                <w:color w:val="auto"/>
                <w:vertAlign w:val="superscript"/>
              </w:rPr>
              <w:t>(1)</w:t>
            </w: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$7,150,000</w:t>
            </w:r>
          </w:p>
        </w:tc>
        <w:tc>
          <w:tcPr>
            <w:tcW w:w="1680" w:type="dxa"/>
            <w:vAlign w:val="bottom"/>
            <w:tcBorders>
              <w:bottom w:val="single" w:sz="8" w:color="auto"/>
            </w:tcBorders>
            <w:gridSpan w:val="4"/>
          </w:tcPr>
          <w:p>
            <w:pPr>
              <w:ind w:left="640"/>
              <w:spacing w:after="0"/>
              <w:rPr>
                <w:sz w:val="20"/>
                <w:szCs w:val="20"/>
                <w:color w:val="auto"/>
              </w:rPr>
            </w:pPr>
            <w:r>
              <w:rPr>
                <w:rFonts w:ascii="Arial" w:cs="Arial" w:eastAsia="Arial" w:hAnsi="Arial"/>
                <w:sz w:val="17"/>
                <w:szCs w:val="17"/>
                <w:color w:val="auto"/>
              </w:rPr>
              <w:t>$8,222,500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-325120</wp:posOffset>
            </wp:positionV>
            <wp:extent cx="274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-325120</wp:posOffset>
            </wp:positionV>
            <wp:extent cx="1460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8" w:lineRule="exact"/>
        <w:rPr>
          <w:sz w:val="20"/>
          <w:szCs w:val="20"/>
          <w:color w:val="auto"/>
        </w:rPr>
      </w:pPr>
    </w:p>
    <w:p>
      <w:pPr>
        <w:ind w:left="360" w:right="20" w:hanging="352"/>
        <w:spacing w:after="0" w:line="222" w:lineRule="auto"/>
        <w:tabs>
          <w:tab w:leader="none" w:pos="3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$0.20 per share, or $2,600,000 in the aggregate (or $2,990,000 in the aggregate if the underwriters’ option to purchase additional shares is exercised in full), is payable upon the closing of this offering. $0.35 per share, or $4,550,000 in the aggregate (or $5,232,500 in the aggregate if the underwriters’ option to purchase additional shares is exercised in full) payable to the underwriters for deferred underwriting commissions will be placed in a trust account located in the United States as described herein. The deferred commissions will be released to the underwriters only on and concurrently with completion of an initial business combination.</w:t>
      </w:r>
    </w:p>
    <w:p>
      <w:pPr>
        <w:spacing w:after="0" w:line="15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do not complete our initial business combination within 24 months from the closing of this offering, the underwriters have agreed that (i) they will forfeit any rights or claims to their deferred underwriting discounts and commissions, including any accrued interest thereon, then in the trust account and (ii) the deferred underwriters’ discounts and commissions will be distributed on a pro rata basis, together with any accrued interest thereon (which interest will be net of taxes payable) to the public shareholders.</w:t>
      </w:r>
    </w:p>
    <w:p>
      <w:pPr>
        <w:spacing w:after="0" w:line="163"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$1,000,000. We have agreed to pay for FINRA-related fees and expenses of the underwriters’ legal counsel, not to exceed $25,000.</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Offering Price</w:t>
      </w:r>
    </w:p>
    <w:p>
      <w:pPr>
        <w:spacing w:after="0" w:line="18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Prior to this offering, there has not been a public market for our Class A ordinary shares. Consequently, the initial public offering price for our Class A ordinary shares was determined by negotiations between us and the representative. Among the factors considered in these negotiations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Class A ordinary shares will trade in the public market subsequent to the offering or that an active trading market for the Class A ordinary shares will develop and continue after the offering.</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We have been approved to list our Class A ordinary shares on Nasdaq under the symbol “ARYA.”</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Stamp Taxes</w:t>
      </w:r>
    </w:p>
    <w:p>
      <w:pPr>
        <w:spacing w:after="0" w:line="189"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If you purchase Class A ordinary shares offered in this prospectus, you may be required to pay stamp taxes and other charges under the laws and practices of the country of purchase, in addition to the offering price listed on the cover page of this prospectus.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to Purchase Additional Class A ordinary shares</w:t>
      </w:r>
    </w:p>
    <w:p>
      <w:pPr>
        <w:spacing w:after="0" w:line="189" w:lineRule="exact"/>
        <w:rPr>
          <w:sz w:val="20"/>
          <w:szCs w:val="20"/>
          <w:color w:val="auto"/>
        </w:rPr>
      </w:pPr>
    </w:p>
    <w:p>
      <w:pPr>
        <w:ind w:right="240"/>
        <w:spacing w:after="0" w:line="234" w:lineRule="auto"/>
        <w:rPr>
          <w:sz w:val="20"/>
          <w:szCs w:val="20"/>
          <w:color w:val="auto"/>
        </w:rPr>
      </w:pPr>
      <w:r>
        <w:rPr>
          <w:rFonts w:ascii="Arial" w:cs="Arial" w:eastAsia="Arial" w:hAnsi="Arial"/>
          <w:sz w:val="17"/>
          <w:szCs w:val="17"/>
          <w:color w:val="auto"/>
        </w:rPr>
        <w:t>We have granted to the underwriters an option, exercisable for 45 days from the date of this prospectus, to purchase, from time to time, in whole or in part, up to an aggregate of 1,950,000 Class A ordinary shares from us at the public offering price set forth on the cover page of this prospectus, less underwriting discounts and commissions. If the underwriters exercise this option, each underwriter will be obligated, subject to specified conditions, to purchase a number of additional Class A ordinary shares proportionate to that underwriter’s initial purchase commitment as indicated in the table above. This option may be exercised only if the underwriters sell more Class A ordinary shares than the total number set forth on the cover page of this prospectus.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Letter Agreement</w:t>
      </w:r>
    </w:p>
    <w:p>
      <w:pPr>
        <w:spacing w:after="0" w:line="18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We, our sponsor and our officers and directors have agreed that, for a period of 180 days from the date of this prospectus, we and they will not, without the prior written consent of Jefferies LLC and Goldman Sachs &amp; Co. LLC, offer, sell, contract to sell, pledge or otherwise dispose of, directly or indirectly, Class A ordinary shares or any other securities convertible into, or exercisable, or exchangeable for, Class A ordinary shares; provided, however, that we may</w:t>
      </w:r>
    </w:p>
    <w:p>
      <w:pPr>
        <w:ind w:right="60" w:firstLine="8"/>
        <w:spacing w:after="0" w:line="235" w:lineRule="auto"/>
        <w:tabs>
          <w:tab w:leader="none" w:pos="256" w:val="left"/>
        </w:tabs>
        <w:numPr>
          <w:ilvl w:val="0"/>
          <w:numId w:val="33"/>
        </w:numPr>
        <w:rPr>
          <w:rFonts w:ascii="Arial" w:cs="Arial" w:eastAsia="Arial" w:hAnsi="Arial"/>
          <w:sz w:val="17"/>
          <w:szCs w:val="17"/>
          <w:color w:val="auto"/>
        </w:rPr>
      </w:pPr>
      <w:r>
        <w:rPr>
          <w:rFonts w:ascii="Arial" w:cs="Arial" w:eastAsia="Arial" w:hAnsi="Arial"/>
          <w:sz w:val="17"/>
          <w:szCs w:val="17"/>
          <w:color w:val="auto"/>
        </w:rPr>
        <w:t>issue and sell the private placement shares, (2) issue and sell the additional Class A ordinary shares to cover our underwriters’ over-allotment option (if any), (3) register with the SEC pursuant to an agreement to be entered into concurrently with the issuance and sale of the securities in this offering, the resale of the founder shares and the private placement shares, and (4) issue securities in connection with an initial business combination. Jefferies LLC and Goldman Sachs &amp; Co. LLC in their sole discretion, may release any of the securities subject to this lock-up agreement at any time without notice.</w:t>
      </w:r>
    </w:p>
    <w:p>
      <w:pPr>
        <w:spacing w:after="0" w:line="161"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Our initial shareholders have agreed not to transfer, assign or sell any of their founder shares until the earlier to occur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(except as described herein under “Principal Shareholders — Transfers of Founder Shares and Private Placement Shares”). Any permitted transferees will be subject to the same restrictions and other agreements of our our sponsor and our management team with respect to any founder shares and private placement shares. We refer to such transfer restrictions throughout this prospectus as the lock-up.</w:t>
      </w:r>
    </w:p>
    <w:p>
      <w:pPr>
        <w:spacing w:after="0" w:line="154"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private placement shares will not be transferable, assignable or salable until 30 days after the completion of our initial business combination (except with respect to permitted transferees as described herein under the section of this prospectus entitled “Principal Shareholders — Transfers of Founder Shares and Private Placement Shares”).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Stabilization</w:t>
      </w:r>
    </w:p>
    <w:p>
      <w:pPr>
        <w:spacing w:after="0" w:line="176"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Class A ordinary shares at a level above that which might otherwise prevail in the open market. Establishing short sales positions may involve either “covered” short sales or “naked” short sales.</w:t>
      </w:r>
    </w:p>
    <w:p>
      <w:pPr>
        <w:spacing w:after="0" w:line="16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Class A ordinary shares in this offering. The underwriters may close out any covered short position by either exercising their option to purchase additional Class A ordinary shares or purchasing Class A ordinary shares in the open market. In determining the source of Class A ordinary shares to close out the covered short position, the underwriters will consider, among other things, the price of Class A ordinary shares available for purchase in the open market as compared to the price at which they may purchase Class A ordinary shares through the option to purchase additional Class A ordinary shares.</w:t>
      </w:r>
    </w:p>
    <w:p>
      <w:pPr>
        <w:spacing w:after="0" w:line="16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“Naked” short sales are sales in excess of the option to purchase additional Class a ordinary shares. The underwriters must close out any naked short position by purchasing Class A ordinary shares in the open market. A naked short position is more likely to be created if the underwriters are concerned that there may be downward pressure on the price of our Class A ordinary shares in the open market after pricing that could adversely affect investors who purchase in this offering.</w:t>
      </w:r>
    </w:p>
    <w:p>
      <w:pPr>
        <w:spacing w:after="0" w:line="15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 stabilizing bid is a bid for the purchase of Class A ordinary shares on behalf of the underwriters for the purpose of fixing or maintaining the price of the Class A ordinary shares. A syndicate covering transaction is the bid for or the purchase of Class A ordinary shares on behalf of the underwriters to reduce a short position incurred by the underwriters in connection with the offering. Similar to other purchase transactions, the underwriter’s purchases to cover the syndicate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short sales may have the effect of raising or maintaining the market price of our Class A ordinary shares or preventing or retarding a decline in the market price of our Class A ordinary shares. As a result, the price of our Class A ordinary shares may be higher than the price that might otherwise exist in the open market. A penalty bid is an arrangement permitting the underwriters to reclaim the selling concession otherwise accruing to a syndicate member in connection with the offering if the Class A ordinary shares originally sold by such syndicate member are purchased in a syndicate covering transaction and therefore have not been effectively placed by such syndicate member.</w:t>
      </w:r>
    </w:p>
    <w:p>
      <w:pPr>
        <w:spacing w:after="0" w:line="16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Class A ordinary shares. The underwriters are not obligated to engage in these activities and, if commenced, any of the activities may be discontinued at any time.</w:t>
      </w:r>
    </w:p>
    <w:p>
      <w:pPr>
        <w:spacing w:after="0" w:line="16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underwriters may also engage in passive market making transactions in our Class A ordinary shares on Nasdaq in accordance with Rule 103 of Regulation M during a period before the commencement of offers or sales of our Class A ordinary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18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Class A ordinary shares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Activities and Relationships</w:t>
      </w:r>
    </w:p>
    <w:p>
      <w:pPr>
        <w:spacing w:after="0" w:line="189"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148"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6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The underwriters and certain of their respective affiliates may also communicate independent investment recommendations,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Resale Restrictions</w:t>
      </w:r>
    </w:p>
    <w:p>
      <w:pPr>
        <w:spacing w:after="0" w:line="3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distribution of the securities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Representations of Canadian Purchasers</w:t>
      </w:r>
    </w:p>
    <w:p>
      <w:pPr>
        <w:spacing w:after="0" w:line="174"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By purchasing the securities in Canada and accepting delivery of a purchase confirmation, a purchaser is representing to us and the dealer from whom the purchase confirmation is received that:</w:t>
      </w:r>
    </w:p>
    <w:p>
      <w:pPr>
        <w:spacing w:after="0" w:line="90" w:lineRule="exact"/>
        <w:rPr>
          <w:sz w:val="20"/>
          <w:szCs w:val="20"/>
          <w:color w:val="auto"/>
        </w:rPr>
      </w:pPr>
    </w:p>
    <w:p>
      <w:pPr>
        <w:ind w:left="580"/>
        <w:spacing w:after="0" w:line="238" w:lineRule="auto"/>
        <w:rPr>
          <w:sz w:val="20"/>
          <w:szCs w:val="20"/>
          <w:color w:val="auto"/>
        </w:rPr>
      </w:pPr>
      <w:r>
        <w:rPr>
          <w:rFonts w:ascii="Arial" w:cs="Arial" w:eastAsia="Arial" w:hAnsi="Arial"/>
          <w:sz w:val="17"/>
          <w:szCs w:val="17"/>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w:t>
      </w:r>
      <w:r>
        <w:rPr>
          <w:rFonts w:ascii="Arial" w:cs="Arial" w:eastAsia="Arial" w:hAnsi="Arial"/>
          <w:sz w:val="17"/>
          <w:szCs w:val="17"/>
          <w:i w:val="1"/>
          <w:iCs w:val="1"/>
          <w:color w:val="auto"/>
        </w:rPr>
        <w:t>Prospectus Exemptions</w:t>
      </w:r>
      <w:r>
        <w:rPr>
          <w:rFonts w:ascii="Arial" w:cs="Arial" w:eastAsia="Arial" w:hAnsi="Arial"/>
          <w:sz w:val="17"/>
          <w:szCs w:val="17"/>
          <w:color w:val="auto"/>
        </w:rPr>
        <w:t>,</w:t>
      </w:r>
    </w:p>
    <w:p>
      <w:pPr>
        <w:spacing w:after="0" w:line="75" w:lineRule="exact"/>
        <w:rPr>
          <w:sz w:val="20"/>
          <w:szCs w:val="20"/>
          <w:color w:val="auto"/>
        </w:rPr>
      </w:pPr>
    </w:p>
    <w:p>
      <w:pPr>
        <w:ind w:left="580" w:right="340"/>
        <w:spacing w:after="0" w:line="265" w:lineRule="auto"/>
        <w:rPr>
          <w:sz w:val="20"/>
          <w:szCs w:val="20"/>
          <w:color w:val="auto"/>
        </w:rPr>
      </w:pPr>
      <w:r>
        <w:rPr>
          <w:rFonts w:ascii="Arial" w:cs="Arial" w:eastAsia="Arial" w:hAnsi="Arial"/>
          <w:sz w:val="17"/>
          <w:szCs w:val="17"/>
          <w:color w:val="auto"/>
        </w:rPr>
        <w:t xml:space="preserve">the purchaser is a “permitted client” as defined in National Instrument 31-103 — </w:t>
      </w:r>
      <w:r>
        <w:rPr>
          <w:rFonts w:ascii="Arial" w:cs="Arial" w:eastAsia="Arial" w:hAnsi="Arial"/>
          <w:sz w:val="17"/>
          <w:szCs w:val="17"/>
          <w:i w:val="1"/>
          <w:iCs w:val="1"/>
          <w:color w:val="auto"/>
        </w:rPr>
        <w:t>Registration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Exemptions and Ongoing Registrant Obligations</w:t>
      </w:r>
      <w:r>
        <w:rPr>
          <w:rFonts w:ascii="Arial" w:cs="Arial" w:eastAsia="Arial" w:hAnsi="Arial"/>
          <w:sz w:val="17"/>
          <w:szCs w:val="17"/>
          <w:color w:val="auto"/>
        </w:rPr>
        <w:t>,</w:t>
      </w:r>
    </w:p>
    <w:p>
      <w:pPr>
        <w:spacing w:after="0" w:line="72" w:lineRule="exact"/>
        <w:rPr>
          <w:sz w:val="20"/>
          <w:szCs w:val="20"/>
          <w:color w:val="auto"/>
        </w:rPr>
      </w:pPr>
    </w:p>
    <w:p>
      <w:pPr>
        <w:ind w:left="580" w:right="2000"/>
        <w:spacing w:after="0" w:line="375" w:lineRule="auto"/>
        <w:rPr>
          <w:sz w:val="20"/>
          <w:szCs w:val="20"/>
          <w:color w:val="auto"/>
        </w:rPr>
      </w:pPr>
      <w:r>
        <w:rPr>
          <w:rFonts w:ascii="Arial" w:cs="Arial" w:eastAsia="Arial" w:hAnsi="Arial"/>
          <w:sz w:val="17"/>
          <w:szCs w:val="17"/>
          <w:color w:val="auto"/>
        </w:rPr>
        <w:t>where required by law, the purchaser is purchasing as principal and not as agent, and the purchaser has reviewed the text above under Resale Restrictions.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Conflicts of Interest</w:t>
      </w:r>
    </w:p>
    <w:p>
      <w:pPr>
        <w:spacing w:after="0" w:line="174"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Statutory Rights of Action</w:t>
      </w:r>
    </w:p>
    <w:p>
      <w:pPr>
        <w:spacing w:after="0" w:line="17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 xml:space="preserve">Securities legislation in certain provinces or territories of Canada may provide a purchaser with remedies for rescission or damages if the prospectus (including any amendment thereto) such as this document contains a misrepresentation,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remedies for rescission or damages are exercised by the purchaser within the time limit prescribed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Enforcement of Legal Rights</w:t>
      </w:r>
    </w:p>
    <w:p>
      <w:pPr>
        <w:spacing w:after="0" w:line="17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Taxation and Eligibility for Investment</w:t>
      </w:r>
    </w:p>
    <w:p>
      <w:pPr>
        <w:spacing w:after="0" w:line="187" w:lineRule="exact"/>
        <w:rPr>
          <w:sz w:val="20"/>
          <w:szCs w:val="20"/>
          <w:color w:val="auto"/>
        </w:rPr>
      </w:pPr>
    </w:p>
    <w:p>
      <w:pPr>
        <w:ind w:right="720"/>
        <w:spacing w:after="0" w:line="238" w:lineRule="auto"/>
        <w:rPr>
          <w:sz w:val="20"/>
          <w:szCs w:val="20"/>
          <w:color w:val="auto"/>
        </w:rPr>
      </w:pPr>
      <w:r>
        <w:rPr>
          <w:rFonts w:ascii="Arial" w:cs="Arial" w:eastAsia="Arial" w:hAnsi="Arial"/>
          <w:sz w:val="17"/>
          <w:szCs w:val="17"/>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41"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You confirm and warrant that you are either:</w:t>
      </w:r>
    </w:p>
    <w:p>
      <w:pPr>
        <w:spacing w:after="0" w:line="7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 “sophisticated investor” under section 708(8)(a) or (b) of the Corporations Act;</w:t>
      </w:r>
    </w:p>
    <w:p>
      <w:pPr>
        <w:spacing w:after="0" w:line="61" w:lineRule="exact"/>
        <w:rPr>
          <w:sz w:val="20"/>
          <w:szCs w:val="20"/>
          <w:color w:val="auto"/>
        </w:rPr>
      </w:pPr>
    </w:p>
    <w:p>
      <w:pPr>
        <w:ind w:left="580" w:right="40"/>
        <w:spacing w:after="0" w:line="238" w:lineRule="auto"/>
        <w:rPr>
          <w:sz w:val="20"/>
          <w:szCs w:val="20"/>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 person associated with the Company under Section 708(12) of the Corporations Act; or</w:t>
      </w:r>
    </w:p>
    <w:p>
      <w:pPr>
        <w:spacing w:after="0" w:line="7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 “professional investor” within the meaning of section 708(11)(a) or (b) of the Corporations Act.</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61"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41"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The Class A ordinary shares are not intended to be offered or sold to and should not be offered or sold to any retail investor in the European Economic Area (the “EEA”). For these purposes, a retail investor means a person who is one (or more) of: (i) a retail client as defined in point (11) of Article 4(1) of Directive 2014/65/EU, as amended (“MiFID II”); or</w:t>
      </w:r>
    </w:p>
    <w:p>
      <w:pPr>
        <w:ind w:right="20" w:firstLine="8"/>
        <w:spacing w:after="0" w:line="233" w:lineRule="auto"/>
        <w:tabs>
          <w:tab w:leader="none" w:pos="237"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customer within the meaning of Directive 2002/92/EC, as amended (the “Insurance Mediation Directive”), where that customer would not qualify as a professional client as defined in point (10) of Article 4(1) of MiFID II; or (iii) not a qualified investor as defined in the Directive 2003/71/EC (as amended, the “Prospectus Directive”). No key information document required by Regulation (EU) No 1286/2014, as amended (the “PRIIPs Regulation”) for offering or selling the Class A ordinary shares or otherwise making them available to retail investors in the EEA has been prepared. Offering or selling the Class A ordinary shares or otherwise making them available to any retail investor in the EEA may be unlawful under the PRIIPS Regulation. This prospectus has been prepared on the basis that any offer of the Class A ordinary shares in any member state of the EEA will be made pursuant to an exemption under the Prospectus Directive from a requirement to publish a prospectus for offers of Class A ordinary shares. This prospectus is not a prospectus for the purpose of the Prospectus Directive.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No securities have been offered or sold, and no securities may be offered or sold, in Hong Kong, by means of any</w:t>
      </w:r>
    </w:p>
    <w:p>
      <w:pPr>
        <w:spacing w:after="0" w:line="232" w:lineRule="auto"/>
        <w:rPr>
          <w:sz w:val="20"/>
          <w:szCs w:val="20"/>
          <w:color w:val="auto"/>
        </w:rPr>
      </w:pPr>
      <w:r>
        <w:rPr>
          <w:rFonts w:ascii="Arial" w:cs="Arial" w:eastAsia="Arial" w:hAnsi="Arial"/>
          <w:sz w:val="17"/>
          <w:szCs w:val="17"/>
          <w:color w:val="auto"/>
        </w:rPr>
        <w:t>document, other than to persons whose ordinary business is to buy or sell shares or debentures, whether as principal or</w:t>
      </w:r>
    </w:p>
    <w:p>
      <w:pPr>
        <w:spacing w:after="0" w:line="232" w:lineRule="auto"/>
        <w:rPr>
          <w:sz w:val="20"/>
          <w:szCs w:val="20"/>
          <w:color w:val="auto"/>
        </w:rPr>
      </w:pPr>
      <w:r>
        <w:rPr>
          <w:rFonts w:ascii="Arial" w:cs="Arial" w:eastAsia="Arial" w:hAnsi="Arial"/>
          <w:sz w:val="17"/>
          <w:szCs w:val="17"/>
          <w:color w:val="auto"/>
        </w:rPr>
        <w:t>agent; or to “professional investors” as defined in the Securities and Futures Ordinance (Cap. 571) of Hong Kong</w:t>
      </w:r>
    </w:p>
    <w:p>
      <w:pPr>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SFO</w:t>
      </w:r>
      <w:r>
        <w:rPr>
          <w:rFonts w:ascii="Arial" w:cs="Arial" w:eastAsia="Arial" w:hAnsi="Arial"/>
          <w:sz w:val="17"/>
          <w:szCs w:val="17"/>
          <w:color w:val="auto"/>
        </w:rPr>
        <w:t>”) and any rules made under that Ordinance; or in other circumstances which do not result in the document being</w:t>
      </w:r>
    </w:p>
    <w:p>
      <w:pPr>
        <w:spacing w:after="0" w:line="232" w:lineRule="auto"/>
        <w:rPr>
          <w:sz w:val="20"/>
          <w:szCs w:val="20"/>
          <w:color w:val="auto"/>
        </w:rPr>
      </w:pPr>
      <w:r>
        <w:rPr>
          <w:rFonts w:ascii="Arial" w:cs="Arial" w:eastAsia="Arial" w:hAnsi="Arial"/>
          <w:sz w:val="17"/>
          <w:szCs w:val="17"/>
          <w:color w:val="auto"/>
        </w:rPr>
        <w:t>a “prospectus” as defined in the Companies Ordinance (Cap. 32) of Hong Kong (“</w:t>
      </w:r>
      <w:r>
        <w:rPr>
          <w:rFonts w:ascii="Arial" w:cs="Arial" w:eastAsia="Arial" w:hAnsi="Arial"/>
          <w:sz w:val="17"/>
          <w:szCs w:val="17"/>
          <w:b w:val="1"/>
          <w:bCs w:val="1"/>
          <w:color w:val="auto"/>
        </w:rPr>
        <w:t>CO</w:t>
      </w:r>
      <w:r>
        <w:rPr>
          <w:rFonts w:ascii="Arial" w:cs="Arial" w:eastAsia="Arial" w:hAnsi="Arial"/>
          <w:sz w:val="17"/>
          <w:szCs w:val="17"/>
          <w:color w:val="auto"/>
        </w:rPr>
        <w:t>”) or which do not constitute an</w:t>
      </w:r>
    </w:p>
    <w:p>
      <w:pPr>
        <w:spacing w:after="0" w:line="232" w:lineRule="auto"/>
        <w:rPr>
          <w:sz w:val="20"/>
          <w:szCs w:val="20"/>
          <w:color w:val="auto"/>
        </w:rPr>
      </w:pPr>
      <w:r>
        <w:rPr>
          <w:rFonts w:ascii="Arial" w:cs="Arial" w:eastAsia="Arial" w:hAnsi="Arial"/>
          <w:sz w:val="17"/>
          <w:szCs w:val="17"/>
          <w:color w:val="auto"/>
        </w:rPr>
        <w:t>offer or invitation to the public for the purpose of the CO or the SFO. No document, invitation or advertisement relating</w:t>
      </w:r>
    </w:p>
    <w:p>
      <w:pPr>
        <w:spacing w:after="0" w:line="232" w:lineRule="auto"/>
        <w:rPr>
          <w:sz w:val="20"/>
          <w:szCs w:val="20"/>
          <w:color w:val="auto"/>
        </w:rPr>
      </w:pPr>
      <w:r>
        <w:rPr>
          <w:rFonts w:ascii="Arial" w:cs="Arial" w:eastAsia="Arial" w:hAnsi="Arial"/>
          <w:sz w:val="17"/>
          <w:szCs w:val="17"/>
          <w:color w:val="auto"/>
        </w:rPr>
        <w:t>to the securities has been issued or may be issued or may be in the possession of any person for the purpose of issue</w:t>
      </w:r>
    </w:p>
    <w:p>
      <w:pPr>
        <w:spacing w:after="0" w:line="232" w:lineRule="auto"/>
        <w:rPr>
          <w:sz w:val="20"/>
          <w:szCs w:val="20"/>
          <w:color w:val="auto"/>
        </w:rPr>
      </w:pPr>
      <w:r>
        <w:rPr>
          <w:rFonts w:ascii="Arial" w:cs="Arial" w:eastAsia="Arial" w:hAnsi="Arial"/>
          <w:sz w:val="17"/>
          <w:szCs w:val="17"/>
          <w:color w:val="auto"/>
        </w:rPr>
        <w:t>(in each case whether in Hong Kong or elsewhere), which is directed at, or the contents of which are likely to be</w:t>
      </w:r>
    </w:p>
    <w:p>
      <w:pPr>
        <w:spacing w:after="0" w:line="232" w:lineRule="auto"/>
        <w:rPr>
          <w:sz w:val="20"/>
          <w:szCs w:val="20"/>
          <w:color w:val="auto"/>
        </w:rPr>
      </w:pPr>
      <w:r>
        <w:rPr>
          <w:rFonts w:ascii="Arial" w:cs="Arial" w:eastAsia="Arial" w:hAnsi="Arial"/>
          <w:sz w:val="17"/>
          <w:szCs w:val="17"/>
          <w:color w:val="auto"/>
        </w:rPr>
        <w:t>accessed or read by, the public of Hong Kong (except if permitted under the securities laws of Hong Kong) other than</w:t>
      </w:r>
    </w:p>
    <w:p>
      <w:pPr>
        <w:spacing w:after="0" w:line="232" w:lineRule="auto"/>
        <w:rPr>
          <w:sz w:val="20"/>
          <w:szCs w:val="20"/>
          <w:color w:val="auto"/>
        </w:rPr>
      </w:pPr>
      <w:r>
        <w:rPr>
          <w:rFonts w:ascii="Arial" w:cs="Arial" w:eastAsia="Arial" w:hAnsi="Arial"/>
          <w:sz w:val="17"/>
          <w:szCs w:val="17"/>
          <w:color w:val="auto"/>
        </w:rPr>
        <w:t>with respect to securities which are or are intended to be disposed of only to persons outside Hong Kong or only to</w:t>
      </w:r>
    </w:p>
    <w:p>
      <w:pPr>
        <w:spacing w:after="0"/>
        <w:rPr>
          <w:sz w:val="20"/>
          <w:szCs w:val="20"/>
          <w:color w:val="auto"/>
        </w:rPr>
      </w:pPr>
      <w:r>
        <w:rPr>
          <w:rFonts w:ascii="Arial" w:cs="Arial" w:eastAsia="Arial" w:hAnsi="Arial"/>
          <w:sz w:val="17"/>
          <w:szCs w:val="17"/>
          <w:color w:val="auto"/>
        </w:rPr>
        <w:t>“professional investors” as defined in the SFO and any rules made under that Ordinance.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Israel</w:t>
      </w:r>
    </w:p>
    <w:p>
      <w:pPr>
        <w:spacing w:after="0" w:line="5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Class A ordinary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54"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41"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w:t>
      </w:r>
      <w:r>
        <w:rPr>
          <w:rFonts w:ascii="Arial" w:cs="Arial" w:eastAsia="Arial" w:hAnsi="Arial"/>
          <w:sz w:val="17"/>
          <w:szCs w:val="17"/>
          <w:b w:val="1"/>
          <w:bCs w:val="1"/>
          <w:color w:val="auto"/>
        </w:rPr>
        <w:t>SFA</w:t>
      </w:r>
      <w:r>
        <w:rPr>
          <w:rFonts w:ascii="Arial" w:cs="Arial" w:eastAsia="Arial" w:hAnsi="Arial"/>
          <w:sz w:val="17"/>
          <w:szCs w:val="17"/>
          <w:color w:val="auto"/>
        </w:rPr>
        <w:t>”),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Where the securities are subscribed or purchased under Section 275 of the SFA by a relevant person which is:</w:t>
      </w:r>
    </w:p>
    <w:p>
      <w:pPr>
        <w:spacing w:after="0" w:line="75" w:lineRule="exact"/>
        <w:rPr>
          <w:sz w:val="20"/>
          <w:szCs w:val="20"/>
          <w:color w:val="auto"/>
        </w:rPr>
      </w:pPr>
    </w:p>
    <w:p>
      <w:pPr>
        <w:ind w:left="580" w:right="140"/>
        <w:spacing w:after="0" w:line="238" w:lineRule="auto"/>
        <w:rPr>
          <w:sz w:val="20"/>
          <w:szCs w:val="20"/>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3" w:lineRule="exact"/>
        <w:rPr>
          <w:sz w:val="20"/>
          <w:szCs w:val="20"/>
          <w:color w:val="auto"/>
        </w:rPr>
      </w:pPr>
    </w:p>
    <w:p>
      <w:pPr>
        <w:ind w:left="580" w:right="100"/>
        <w:spacing w:after="0" w:line="235" w:lineRule="auto"/>
        <w:rPr>
          <w:sz w:val="20"/>
          <w:szCs w:val="20"/>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55" w:lineRule="exact"/>
        <w:rPr>
          <w:sz w:val="20"/>
          <w:szCs w:val="20"/>
          <w:color w:val="auto"/>
        </w:rPr>
      </w:pPr>
    </w:p>
    <w:p>
      <w:pPr>
        <w:ind w:left="580" w:right="120"/>
        <w:spacing w:after="0" w:line="243" w:lineRule="auto"/>
        <w:rPr>
          <w:sz w:val="20"/>
          <w:szCs w:val="20"/>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where no consideration is or will be given for the transfer;</w:t>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where the transfer is by operation of law;</w:t>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 specified in Section 276(7) of the SFA; or</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580" w:right="299"/>
        <w:spacing w:after="0" w:line="243" w:lineRule="auto"/>
        <w:rPr>
          <w:sz w:val="20"/>
          <w:szCs w:val="20"/>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34" w:lineRule="exact"/>
        <w:rPr>
          <w:sz w:val="20"/>
          <w:szCs w:val="20"/>
          <w:color w:val="auto"/>
        </w:rPr>
      </w:pPr>
    </w:p>
    <w:p>
      <w:pPr>
        <w:ind w:right="19"/>
        <w:spacing w:after="0" w:line="238"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w:t>
      </w:r>
      <w:r>
        <w:rPr>
          <w:rFonts w:ascii="Arial" w:cs="Arial" w:eastAsia="Arial" w:hAnsi="Arial"/>
          <w:sz w:val="17"/>
          <w:szCs w:val="17"/>
          <w:b w:val="1"/>
          <w:bCs w:val="1"/>
          <w:color w:val="auto"/>
        </w:rPr>
        <w:t>SIX</w:t>
      </w:r>
      <w:r>
        <w:rPr>
          <w:rFonts w:ascii="Arial" w:cs="Arial" w:eastAsia="Arial" w:hAnsi="Arial"/>
          <w:sz w:val="17"/>
          <w:szCs w:val="17"/>
          <w:color w:val="auto"/>
        </w:rPr>
        <w:t>”)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8" w:lineRule="exact"/>
        <w:rPr>
          <w:sz w:val="20"/>
          <w:szCs w:val="20"/>
          <w:color w:val="auto"/>
        </w:rPr>
      </w:pPr>
    </w:p>
    <w:p>
      <w:pPr>
        <w:ind w:right="39"/>
        <w:spacing w:after="0" w:line="235" w:lineRule="auto"/>
        <w:rPr>
          <w:sz w:val="20"/>
          <w:szCs w:val="20"/>
          <w:color w:val="auto"/>
        </w:rPr>
      </w:pPr>
      <w:r>
        <w:rPr>
          <w:rFonts w:ascii="Arial" w:cs="Arial" w:eastAsia="Arial" w:hAnsi="Arial"/>
          <w:sz w:val="17"/>
          <w:szCs w:val="17"/>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w:t>
      </w:r>
      <w:r>
        <w:rPr>
          <w:rFonts w:ascii="Arial" w:cs="Arial" w:eastAsia="Arial" w:hAnsi="Arial"/>
          <w:sz w:val="17"/>
          <w:szCs w:val="17"/>
          <w:b w:val="1"/>
          <w:bCs w:val="1"/>
          <w:color w:val="auto"/>
        </w:rPr>
        <w:t>CISA</w:t>
      </w:r>
      <w:r>
        <w:rPr>
          <w:rFonts w:ascii="Arial" w:cs="Arial" w:eastAsia="Arial" w:hAnsi="Arial"/>
          <w:sz w:val="17"/>
          <w:szCs w:val="17"/>
          <w:color w:val="auto"/>
        </w:rPr>
        <w:t>”). The investor protection afforded to acquirers of interests in collective investment schemes under the CISA does not extend to acquirers of securities.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54" w:lineRule="exact"/>
        <w:rPr>
          <w:sz w:val="20"/>
          <w:szCs w:val="20"/>
          <w:color w:val="auto"/>
        </w:rPr>
      </w:pPr>
    </w:p>
    <w:p>
      <w:pPr>
        <w:ind w:right="319"/>
        <w:spacing w:after="0" w:line="235"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w:t>
      </w:r>
      <w:r>
        <w:rPr>
          <w:rFonts w:ascii="Arial" w:cs="Arial" w:eastAsia="Arial" w:hAnsi="Arial"/>
          <w:sz w:val="17"/>
          <w:szCs w:val="17"/>
          <w:b w:val="1"/>
          <w:bCs w:val="1"/>
          <w:color w:val="auto"/>
        </w:rPr>
        <w:t>Order</w:t>
      </w:r>
      <w:r>
        <w:rPr>
          <w:rFonts w:ascii="Arial" w:cs="Arial" w:eastAsia="Arial" w:hAnsi="Arial"/>
          <w:sz w:val="17"/>
          <w:szCs w:val="17"/>
          <w:color w:val="auto"/>
        </w:rPr>
        <w:t>”) and/or (ii) high net worth entities falling within Article 49(2)(a) to (d) of the Order and other persons to whom it may lawfully be communicated (each such person being referred to as a “</w:t>
      </w:r>
      <w:r>
        <w:rPr>
          <w:rFonts w:ascii="Arial" w:cs="Arial" w:eastAsia="Arial" w:hAnsi="Arial"/>
          <w:sz w:val="17"/>
          <w:szCs w:val="17"/>
          <w:b w:val="1"/>
          <w:bCs w:val="1"/>
          <w:color w:val="auto"/>
        </w:rPr>
        <w:t>relevant person</w:t>
      </w:r>
      <w:r>
        <w:rPr>
          <w:rFonts w:ascii="Arial" w:cs="Arial" w:eastAsia="Arial" w:hAnsi="Arial"/>
          <w:sz w:val="17"/>
          <w:szCs w:val="17"/>
          <w:color w:val="auto"/>
        </w:rPr>
        <w:t>”).</w:t>
      </w:r>
    </w:p>
    <w:p>
      <w:pPr>
        <w:spacing w:after="0" w:line="150" w:lineRule="exact"/>
        <w:rPr>
          <w:sz w:val="20"/>
          <w:szCs w:val="20"/>
          <w:color w:val="auto"/>
        </w:rPr>
      </w:pPr>
    </w:p>
    <w:p>
      <w:pPr>
        <w:ind w:right="99"/>
        <w:spacing w:after="0" w:line="238"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8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Kirkland &amp; Ellis LLP, New York, New York is acting as United States counsel in connection with the registration of our ordinary shares under the Securities Act. Ogier will pass upon the validity of the securities offered in this prospectus with respect to the ordinary shares and matters of Cayman Islands law. In connection with this offering, Skadden, Arps, Slate, Meagher &amp; Flom LLP, Palo Alto, California advised the underwriters in connection with the offering of the Class A ordinary shares.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88"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The financial statements of ARYA Sciences Acquisition Corp III as of April 2, 2020 and for the period from March 27, 2020 (inception) through April 2, 2020 appearing in this prospectus have been audited by WithumSmith+Brown, PC, independent registered public accounting firm, as set forth in their report thereon, appearing elsewhere in this prospectus, and are included in reliance upon such report given on the authority of such firm as experts in accounting and auditing.</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8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have filed with the SEC registration statements on Form S-1 under the Securities Act with respect to the securities we are offering by this prospectus. This prospectus does not contain all of the information included in the registration statements. For further information about us and our securities, you should refer to the registration statements and the exhibits and schedules filed with the registration statements.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statements for copies of the actual contract, agreement or other document.</w:t>
      </w:r>
    </w:p>
    <w:p>
      <w:pPr>
        <w:spacing w:after="0" w:line="164" w:lineRule="exact"/>
        <w:rPr>
          <w:sz w:val="20"/>
          <w:szCs w:val="20"/>
          <w:color w:val="auto"/>
        </w:rPr>
      </w:pPr>
    </w:p>
    <w:p>
      <w:pPr>
        <w:jc w:val="both"/>
        <w:ind w:right="340"/>
        <w:spacing w:after="0" w:line="238" w:lineRule="auto"/>
        <w:rPr>
          <w:sz w:val="20"/>
          <w:szCs w:val="20"/>
          <w:color w:val="auto"/>
        </w:rPr>
      </w:pPr>
      <w:r>
        <w:rPr>
          <w:rFonts w:ascii="Arial" w:cs="Arial" w:eastAsia="Arial" w:hAnsi="Arial"/>
          <w:sz w:val="17"/>
          <w:szCs w:val="17"/>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41" w:name="page142"/>
    <w:bookmarkEnd w:id="141"/>
    <w:p>
      <w:pPr>
        <w:ind w:left="96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131445</wp:posOffset>
            </wp:positionV>
            <wp:extent cx="57607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960" w:type="dxa"/>
            <w:vAlign w:val="bottom"/>
            <w:tcBorders>
              <w:bottom w:val="single" w:sz="8" w:color="CCEEFF"/>
            </w:tcBorders>
          </w:tcPr>
          <w:p>
            <w:pPr>
              <w:spacing w:after="0"/>
              <w:rPr>
                <w:sz w:val="6"/>
                <w:szCs w:val="6"/>
                <w:color w:val="auto"/>
              </w:rPr>
            </w:pPr>
          </w:p>
        </w:tc>
        <w:tc>
          <w:tcPr>
            <w:tcW w:w="6520" w:type="dxa"/>
            <w:vAlign w:val="bottom"/>
            <w:tcBorders>
              <w:bottom w:val="single" w:sz="8" w:color="CCEEFF"/>
            </w:tcBorders>
          </w:tcPr>
          <w:p>
            <w:pPr>
              <w:spacing w:after="0"/>
              <w:rPr>
                <w:sz w:val="6"/>
                <w:szCs w:val="6"/>
                <w:color w:val="auto"/>
              </w:rPr>
            </w:pPr>
          </w:p>
        </w:tc>
        <w:tc>
          <w:tcPr>
            <w:tcW w:w="106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960" w:type="dxa"/>
            <w:vAlign w:val="bottom"/>
          </w:tcPr>
          <w:p>
            <w:pPr>
              <w:spacing w:after="0"/>
              <w:rPr>
                <w:sz w:val="24"/>
                <w:szCs w:val="24"/>
                <w:color w:val="auto"/>
              </w:rPr>
            </w:pPr>
          </w:p>
        </w:tc>
        <w:tc>
          <w:tcPr>
            <w:tcW w:w="87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Audited Financial Statements of ARYA Sciences Acquisition Corp III:</w:t>
            </w:r>
          </w:p>
        </w:tc>
        <w:tc>
          <w:tcPr>
            <w:tcW w:w="360" w:type="dxa"/>
            <w:vAlign w:val="bottom"/>
            <w:tcBorders>
              <w:bottom w:val="single" w:sz="8" w:color="CCEEFF"/>
            </w:tcBorders>
            <w:shd w:val="clear" w:color="auto" w:fill="CCEEFF"/>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8720" w:type="dxa"/>
            <w:vAlign w:val="bottom"/>
            <w:gridSpan w:val="4"/>
          </w:tcPr>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Report of Independent Registered Public Accounting Firm</w:t>
              </w:r>
            </w:hyperlink>
          </w:p>
        </w:tc>
        <w:tc>
          <w:tcPr>
            <w:tcW w:w="1340" w:type="dxa"/>
            <w:vAlign w:val="bottom"/>
            <w:gridSpan w:val="2"/>
          </w:tcPr>
          <w:p>
            <w:pPr>
              <w:ind w:left="20"/>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F-2</w:t>
              </w:r>
            </w:hyperlink>
          </w:p>
        </w:tc>
        <w:tc>
          <w:tcPr>
            <w:tcW w:w="0" w:type="dxa"/>
            <w:vAlign w:val="bottom"/>
          </w:tcPr>
          <w:p>
            <w:pPr>
              <w:spacing w:after="0"/>
              <w:rPr>
                <w:sz w:val="1"/>
                <w:szCs w:val="1"/>
                <w:color w:val="auto"/>
              </w:rPr>
            </w:pPr>
          </w:p>
        </w:tc>
      </w:tr>
      <w:tr>
        <w:trPr>
          <w:trHeight w:val="58"/>
        </w:trPr>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3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4"/>
                <w:szCs w:val="24"/>
                <w:color w:val="auto"/>
              </w:rPr>
            </w:pPr>
          </w:p>
        </w:tc>
        <w:tc>
          <w:tcPr>
            <w:tcW w:w="8720" w:type="dxa"/>
            <w:vAlign w:val="bottom"/>
            <w:tcBorders>
              <w:bottom w:val="single" w:sz="8" w:color="CCEEFF"/>
            </w:tcBorders>
            <w:gridSpan w:val="4"/>
            <w:shd w:val="clear" w:color="auto" w:fill="CCEEFF"/>
          </w:tcPr>
          <w:p>
            <w:pPr>
              <w:spacing w:after="0"/>
              <w:rPr>
                <w:rFonts w:ascii="Arial" w:cs="Arial" w:eastAsia="Arial" w:hAnsi="Arial"/>
                <w:sz w:val="17"/>
                <w:szCs w:val="17"/>
                <w:u w:val="single" w:color="auto"/>
                <w:color w:val="0000EE"/>
              </w:rPr>
            </w:pPr>
            <w:hyperlink w:anchor="page144">
              <w:r>
                <w:rPr>
                  <w:rFonts w:ascii="Arial" w:cs="Arial" w:eastAsia="Arial" w:hAnsi="Arial"/>
                  <w:sz w:val="17"/>
                  <w:szCs w:val="17"/>
                  <w:u w:val="single" w:color="auto"/>
                  <w:color w:val="0000EE"/>
                </w:rPr>
                <w:t>Balance Sheet as of April 2, 2020</w:t>
              </w:r>
            </w:hyperlink>
          </w:p>
        </w:tc>
        <w:tc>
          <w:tcPr>
            <w:tcW w:w="360" w:type="dxa"/>
            <w:vAlign w:val="bottom"/>
            <w:tcBorders>
              <w:bottom w:val="single" w:sz="8" w:color="CCEEFF"/>
            </w:tcBorders>
            <w:shd w:val="clear" w:color="auto" w:fill="CCEEFF"/>
          </w:tcPr>
          <w:p>
            <w:pPr>
              <w:ind w:left="20"/>
              <w:spacing w:after="0"/>
              <w:rPr>
                <w:rFonts w:ascii="Arial" w:cs="Arial" w:eastAsia="Arial" w:hAnsi="Arial"/>
                <w:sz w:val="17"/>
                <w:szCs w:val="17"/>
                <w:u w:val="single" w:color="auto"/>
                <w:color w:val="0000EE"/>
              </w:rPr>
            </w:pPr>
            <w:hyperlink w:anchor="page144">
              <w:r>
                <w:rPr>
                  <w:rFonts w:ascii="Arial" w:cs="Arial" w:eastAsia="Arial" w:hAnsi="Arial"/>
                  <w:sz w:val="17"/>
                  <w:szCs w:val="17"/>
                  <w:u w:val="single" w:color="auto"/>
                  <w:color w:val="0000EE"/>
                </w:rPr>
                <w:t>F-3</w:t>
              </w:r>
            </w:hyperlink>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8720" w:type="dxa"/>
            <w:vAlign w:val="bottom"/>
            <w:gridSpan w:val="4"/>
          </w:tcPr>
          <w:p>
            <w:pPr>
              <w:spacing w:after="0"/>
              <w:rPr>
                <w:rFonts w:ascii="Arial" w:cs="Arial" w:eastAsia="Arial" w:hAnsi="Arial"/>
                <w:sz w:val="17"/>
                <w:szCs w:val="17"/>
                <w:u w:val="single" w:color="auto"/>
                <w:color w:val="0000EE"/>
              </w:rPr>
            </w:pPr>
            <w:hyperlink w:anchor="page145">
              <w:r>
                <w:rPr>
                  <w:rFonts w:ascii="Arial" w:cs="Arial" w:eastAsia="Arial" w:hAnsi="Arial"/>
                  <w:sz w:val="17"/>
                  <w:szCs w:val="17"/>
                  <w:u w:val="single" w:color="auto"/>
                  <w:color w:val="0000EE"/>
                </w:rPr>
                <w:t>Statement of Operations for the period from March 27, 2020 (inception) through April 2, 2020</w:t>
              </w:r>
            </w:hyperlink>
          </w:p>
        </w:tc>
        <w:tc>
          <w:tcPr>
            <w:tcW w:w="1340" w:type="dxa"/>
            <w:vAlign w:val="bottom"/>
            <w:gridSpan w:val="2"/>
          </w:tcPr>
          <w:p>
            <w:pPr>
              <w:ind w:left="20"/>
              <w:spacing w:after="0"/>
              <w:rPr>
                <w:rFonts w:ascii="Arial" w:cs="Arial" w:eastAsia="Arial" w:hAnsi="Arial"/>
                <w:sz w:val="17"/>
                <w:szCs w:val="17"/>
                <w:u w:val="single" w:color="auto"/>
                <w:color w:val="0000EE"/>
              </w:rPr>
            </w:pPr>
            <w:hyperlink w:anchor="page145">
              <w:r>
                <w:rPr>
                  <w:rFonts w:ascii="Arial" w:cs="Arial" w:eastAsia="Arial" w:hAnsi="Arial"/>
                  <w:sz w:val="17"/>
                  <w:szCs w:val="17"/>
                  <w:u w:val="single" w:color="auto"/>
                  <w:color w:val="0000EE"/>
                </w:rPr>
                <w:t>F-4</w:t>
              </w:r>
            </w:hyperlink>
          </w:p>
        </w:tc>
        <w:tc>
          <w:tcPr>
            <w:tcW w:w="0" w:type="dxa"/>
            <w:vAlign w:val="bottom"/>
          </w:tcPr>
          <w:p>
            <w:pPr>
              <w:spacing w:after="0"/>
              <w:rPr>
                <w:sz w:val="1"/>
                <w:szCs w:val="1"/>
                <w:color w:val="auto"/>
              </w:rPr>
            </w:pPr>
          </w:p>
        </w:tc>
      </w:tr>
      <w:tr>
        <w:trPr>
          <w:trHeight w:val="58"/>
        </w:trPr>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gridSpan w:val="4"/>
            <w:shd w:val="clear" w:color="auto" w:fill="CCEEFF"/>
          </w:tcPr>
          <w:p>
            <w:pPr>
              <w:spacing w:after="0"/>
              <w:rPr>
                <w:rFonts w:ascii="Arial" w:cs="Arial" w:eastAsia="Arial" w:hAnsi="Arial"/>
                <w:sz w:val="17"/>
                <w:szCs w:val="17"/>
                <w:color w:val="0000EE"/>
              </w:rPr>
            </w:pPr>
            <w:hyperlink w:anchor="page146">
              <w:r>
                <w:rPr>
                  <w:rFonts w:ascii="Arial" w:cs="Arial" w:eastAsia="Arial" w:hAnsi="Arial"/>
                  <w:sz w:val="17"/>
                  <w:szCs w:val="17"/>
                  <w:color w:val="0000EE"/>
                </w:rPr>
                <w:t>Statement of Changes in Shareholder’s Equity for the period from March 27, 2020 (inception) through</w:t>
              </w:r>
            </w:hyperlink>
          </w:p>
        </w:tc>
        <w:tc>
          <w:tcPr>
            <w:tcW w:w="360" w:type="dxa"/>
            <w:vAlign w:val="bottom"/>
            <w:vMerge w:val="restart"/>
            <w:shd w:val="clear" w:color="auto" w:fill="CCEEFF"/>
          </w:tcPr>
          <w:p>
            <w:pPr>
              <w:ind w:left="20"/>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F-5</w:t>
              </w:r>
            </w:hyperlink>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7660" w:type="dxa"/>
            <w:vAlign w:val="bottom"/>
            <w:tcBorders>
              <w:top w:val="single" w:sz="8" w:color="0000EE"/>
            </w:tcBorders>
            <w:gridSpan w:val="3"/>
            <w:shd w:val="clear" w:color="auto" w:fill="CCEEFF"/>
          </w:tcPr>
          <w:p>
            <w:pPr>
              <w:ind w:left="180"/>
              <w:spacing w:after="0" w:line="169" w:lineRule="exact"/>
              <w:rPr>
                <w:rFonts w:ascii="Arial" w:cs="Arial" w:eastAsia="Arial" w:hAnsi="Arial"/>
                <w:sz w:val="17"/>
                <w:szCs w:val="17"/>
                <w:color w:val="0000EE"/>
              </w:rPr>
            </w:pPr>
            <w:hyperlink w:anchor="page146">
              <w:r>
                <w:rPr>
                  <w:rFonts w:ascii="Arial" w:cs="Arial" w:eastAsia="Arial" w:hAnsi="Arial"/>
                  <w:sz w:val="17"/>
                  <w:szCs w:val="17"/>
                  <w:color w:val="0000EE"/>
                </w:rPr>
                <w:t>April 2, 2020</w:t>
              </w:r>
            </w:hyperlink>
          </w:p>
        </w:tc>
        <w:tc>
          <w:tcPr>
            <w:tcW w:w="10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vMerge w:val="continue"/>
            <w:shd w:val="clear" w:color="auto" w:fill="CCEEFF"/>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96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0000EE"/>
            </w:tcBorders>
            <w:shd w:val="clear" w:color="auto" w:fill="CCEEFF"/>
          </w:tcPr>
          <w:p>
            <w:pPr>
              <w:spacing w:after="0"/>
              <w:rPr>
                <w:sz w:val="6"/>
                <w:szCs w:val="6"/>
                <w:color w:val="auto"/>
              </w:rPr>
            </w:pPr>
          </w:p>
        </w:tc>
        <w:tc>
          <w:tcPr>
            <w:tcW w:w="652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8720" w:type="dxa"/>
            <w:vAlign w:val="bottom"/>
            <w:gridSpan w:val="4"/>
          </w:tcPr>
          <w:p>
            <w:pPr>
              <w:spacing w:after="0"/>
              <w:rPr>
                <w:rFonts w:ascii="Arial" w:cs="Arial" w:eastAsia="Arial" w:hAnsi="Arial"/>
                <w:sz w:val="17"/>
                <w:szCs w:val="17"/>
                <w:u w:val="single" w:color="auto"/>
                <w:color w:val="0000EE"/>
              </w:rPr>
            </w:pPr>
            <w:hyperlink w:anchor="page147">
              <w:r>
                <w:rPr>
                  <w:rFonts w:ascii="Arial" w:cs="Arial" w:eastAsia="Arial" w:hAnsi="Arial"/>
                  <w:sz w:val="17"/>
                  <w:szCs w:val="17"/>
                  <w:u w:val="single" w:color="auto"/>
                  <w:color w:val="0000EE"/>
                </w:rPr>
                <w:t>Statement of Cash Flows for the period from March 27, 2020 (inception) through April 2, 2020</w:t>
              </w:r>
            </w:hyperlink>
          </w:p>
        </w:tc>
        <w:tc>
          <w:tcPr>
            <w:tcW w:w="1340" w:type="dxa"/>
            <w:vAlign w:val="bottom"/>
            <w:gridSpan w:val="2"/>
          </w:tcPr>
          <w:p>
            <w:pPr>
              <w:ind w:left="20"/>
              <w:spacing w:after="0"/>
              <w:rPr>
                <w:rFonts w:ascii="Arial" w:cs="Arial" w:eastAsia="Arial" w:hAnsi="Arial"/>
                <w:sz w:val="17"/>
                <w:szCs w:val="17"/>
                <w:u w:val="single" w:color="auto"/>
                <w:color w:val="0000EE"/>
              </w:rPr>
            </w:pPr>
            <w:hyperlink w:anchor="page147">
              <w:r>
                <w:rPr>
                  <w:rFonts w:ascii="Arial" w:cs="Arial" w:eastAsia="Arial" w:hAnsi="Arial"/>
                  <w:sz w:val="17"/>
                  <w:szCs w:val="17"/>
                  <w:u w:val="single" w:color="auto"/>
                  <w:color w:val="0000EE"/>
                </w:rPr>
                <w:t>F-6</w:t>
              </w:r>
            </w:hyperlink>
          </w:p>
        </w:tc>
        <w:tc>
          <w:tcPr>
            <w:tcW w:w="0" w:type="dxa"/>
            <w:vAlign w:val="bottom"/>
          </w:tcPr>
          <w:p>
            <w:pPr>
              <w:spacing w:after="0"/>
              <w:rPr>
                <w:sz w:val="1"/>
                <w:szCs w:val="1"/>
                <w:color w:val="auto"/>
              </w:rPr>
            </w:pPr>
          </w:p>
        </w:tc>
      </w:tr>
      <w:tr>
        <w:trPr>
          <w:trHeight w:val="58"/>
        </w:trPr>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3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8720" w:type="dxa"/>
            <w:vAlign w:val="bottom"/>
            <w:tcBorders>
              <w:bottom w:val="single" w:sz="8" w:color="auto"/>
            </w:tcBorders>
            <w:gridSpan w:val="4"/>
            <w:shd w:val="clear" w:color="auto" w:fill="CCEEFF"/>
          </w:tcPr>
          <w:p>
            <w:pPr>
              <w:spacing w:after="0"/>
              <w:rPr>
                <w:rFonts w:ascii="Arial" w:cs="Arial" w:eastAsia="Arial" w:hAnsi="Arial"/>
                <w:sz w:val="17"/>
                <w:szCs w:val="17"/>
                <w:u w:val="single" w:color="auto"/>
                <w:color w:val="0000EE"/>
              </w:rPr>
            </w:pPr>
            <w:hyperlink w:anchor="page148">
              <w:r>
                <w:rPr>
                  <w:rFonts w:ascii="Arial" w:cs="Arial" w:eastAsia="Arial" w:hAnsi="Arial"/>
                  <w:sz w:val="17"/>
                  <w:szCs w:val="17"/>
                  <w:u w:val="single" w:color="auto"/>
                  <w:color w:val="0000EE"/>
                </w:rPr>
                <w:t>Notes to Financial Statements</w:t>
              </w:r>
            </w:hyperlink>
          </w:p>
        </w:tc>
        <w:tc>
          <w:tcPr>
            <w:tcW w:w="360" w:type="dxa"/>
            <w:vAlign w:val="bottom"/>
            <w:tcBorders>
              <w:bottom w:val="single" w:sz="8" w:color="auto"/>
            </w:tcBorders>
            <w:shd w:val="clear" w:color="auto" w:fill="CCEEFF"/>
          </w:tcPr>
          <w:p>
            <w:pPr>
              <w:ind w:left="20"/>
              <w:spacing w:after="0"/>
              <w:rPr>
                <w:rFonts w:ascii="Arial" w:cs="Arial" w:eastAsia="Arial" w:hAnsi="Arial"/>
                <w:sz w:val="17"/>
                <w:szCs w:val="17"/>
                <w:u w:val="single" w:color="auto"/>
                <w:color w:val="0000EE"/>
              </w:rPr>
            </w:pPr>
            <w:hyperlink w:anchor="page148">
              <w:r>
                <w:rPr>
                  <w:rFonts w:ascii="Arial" w:cs="Arial" w:eastAsia="Arial" w:hAnsi="Arial"/>
                  <w:sz w:val="17"/>
                  <w:szCs w:val="17"/>
                  <w:u w:val="single" w:color="auto"/>
                  <w:color w:val="0000EE"/>
                </w:rPr>
                <w:t>F-7</w:t>
              </w:r>
            </w:hyperlink>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6"/>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580" w:type="dxa"/>
            <w:vAlign w:val="bottom"/>
            <w:gridSpan w:val="2"/>
          </w:tcPr>
          <w:p>
            <w:pPr>
              <w:ind w:left="3280"/>
              <w:spacing w:after="0"/>
              <w:rPr>
                <w:sz w:val="20"/>
                <w:szCs w:val="20"/>
                <w:color w:val="auto"/>
              </w:rPr>
            </w:pPr>
            <w:r>
              <w:rPr>
                <w:rFonts w:ascii="Arial" w:cs="Arial" w:eastAsia="Arial" w:hAnsi="Arial"/>
                <w:sz w:val="16"/>
                <w:szCs w:val="16"/>
                <w:color w:val="auto"/>
              </w:rPr>
              <w:t>F-1</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6040755</wp:posOffset>
            </wp:positionH>
            <wp:positionV relativeFrom="paragraph">
              <wp:posOffset>-1936750</wp:posOffset>
            </wp:positionV>
            <wp:extent cx="1111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 and the Board of Directors of</w:t>
      </w:r>
    </w:p>
    <w:p>
      <w:pPr>
        <w:spacing w:after="0"/>
        <w:rPr>
          <w:sz w:val="20"/>
          <w:szCs w:val="20"/>
          <w:color w:val="auto"/>
        </w:rPr>
      </w:pPr>
      <w:r>
        <w:rPr>
          <w:rFonts w:ascii="Arial" w:cs="Arial" w:eastAsia="Arial" w:hAnsi="Arial"/>
          <w:sz w:val="17"/>
          <w:szCs w:val="17"/>
          <w:color w:val="auto"/>
        </w:rPr>
        <w:t>ARYA Sciences Acquisition Corp III</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76" w:lineRule="exact"/>
        <w:rPr>
          <w:sz w:val="20"/>
          <w:szCs w:val="20"/>
          <w:color w:val="auto"/>
        </w:rPr>
      </w:pPr>
    </w:p>
    <w:p>
      <w:pPr>
        <w:ind w:right="19"/>
        <w:spacing w:after="0" w:line="234" w:lineRule="auto"/>
        <w:rPr>
          <w:sz w:val="20"/>
          <w:szCs w:val="20"/>
          <w:color w:val="auto"/>
        </w:rPr>
      </w:pPr>
      <w:r>
        <w:rPr>
          <w:rFonts w:ascii="Arial" w:cs="Arial" w:eastAsia="Arial" w:hAnsi="Arial"/>
          <w:sz w:val="17"/>
          <w:szCs w:val="17"/>
          <w:color w:val="auto"/>
        </w:rPr>
        <w:t>We have audited the accompanying balance sheet of ARYA Sciences Acquisition Corp III (the “Company”) as of April 2, 2020, and the related statements of operations, changes in shareholder’s equity and cash flows for the period from March 27, 2020 (inception) through April 2, 2020, and the related notes (collectively referred to as the “financial statements”). In our opinion, the financial statements present fairly, in all material respects, the financial position of the Company as of April 2, 2020, and the results of its operations and its cash flows for the period from March 27, 2020 (inception) through April 2, 2020, in conformity with accounting principles generally accepted in the United States of America.</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76" w:lineRule="exact"/>
        <w:rPr>
          <w:sz w:val="20"/>
          <w:szCs w:val="20"/>
          <w:color w:val="auto"/>
        </w:rPr>
      </w:pPr>
    </w:p>
    <w:p>
      <w:pPr>
        <w:ind w:right="119"/>
        <w:spacing w:after="0" w:line="23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19"/>
        <w:spacing w:after="0" w:line="23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61" w:lineRule="exact"/>
        <w:rPr>
          <w:sz w:val="20"/>
          <w:szCs w:val="20"/>
          <w:color w:val="auto"/>
        </w:rPr>
      </w:pPr>
    </w:p>
    <w:p>
      <w:pPr>
        <w:ind w:right="19"/>
        <w:spacing w:after="0" w:line="235" w:lineRule="auto"/>
        <w:rPr>
          <w:sz w:val="20"/>
          <w:szCs w:val="20"/>
          <w:color w:val="auto"/>
        </w:rPr>
      </w:pPr>
      <w:r>
        <w:rPr>
          <w:rFonts w:ascii="Arial" w:cs="Arial" w:eastAsia="Arial" w:hAnsi="Arial"/>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 WithumSmith+Brown, PC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2020.</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rPr>
          <w:sz w:val="20"/>
          <w:szCs w:val="20"/>
          <w:color w:val="auto"/>
        </w:rPr>
      </w:pPr>
      <w:r>
        <w:rPr>
          <w:rFonts w:ascii="Arial" w:cs="Arial" w:eastAsia="Arial" w:hAnsi="Arial"/>
          <w:sz w:val="17"/>
          <w:szCs w:val="17"/>
          <w:color w:val="auto"/>
        </w:rPr>
        <w:t>August 10, 2020</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w:t>
      </w:r>
    </w:p>
    <w:p>
      <w:pPr>
        <w:jc w:val="center"/>
        <w:spacing w:after="0"/>
        <w:rPr>
          <w:sz w:val="20"/>
          <w:szCs w:val="20"/>
          <w:color w:val="auto"/>
        </w:rPr>
      </w:pPr>
      <w:r>
        <w:rPr>
          <w:rFonts w:ascii="Arial" w:cs="Arial" w:eastAsia="Arial" w:hAnsi="Arial"/>
          <w:sz w:val="18"/>
          <w:szCs w:val="18"/>
          <w:b w:val="1"/>
          <w:bCs w:val="1"/>
          <w:color w:val="auto"/>
        </w:rPr>
        <w:t>April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760720" cy="2654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60720" cy="26543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80" w:type="dxa"/>
            <w:vAlign w:val="bottom"/>
          </w:tcPr>
          <w:p>
            <w:pPr>
              <w:ind w:left="180"/>
              <w:spacing w:after="0"/>
              <w:rPr>
                <w:sz w:val="20"/>
                <w:szCs w:val="20"/>
                <w:color w:val="auto"/>
              </w:rPr>
            </w:pPr>
            <w:r>
              <w:rPr>
                <w:rFonts w:ascii="Arial" w:cs="Arial" w:eastAsia="Arial" w:hAnsi="Arial"/>
                <w:sz w:val="17"/>
                <w:szCs w:val="17"/>
                <w:color w:val="auto"/>
              </w:rPr>
              <w:t>Deferred offering costs associated with initial public offering</w:t>
            </w: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25,000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4"/>
        </w:trPr>
        <w:tc>
          <w:tcPr>
            <w:tcW w:w="8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377"/>
        </w:trPr>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84"/>
              </w:rPr>
              <w:t>$</w:t>
            </w:r>
          </w:p>
        </w:tc>
        <w:tc>
          <w:tcPr>
            <w:tcW w:w="5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25,000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364"/>
        </w:trPr>
        <w:tc>
          <w:tcPr>
            <w:tcW w:w="83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304"/>
        </w:trPr>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66"/>
        </w:trPr>
        <w:tc>
          <w:tcPr>
            <w:tcW w:w="8380" w:type="dxa"/>
            <w:vAlign w:val="bottom"/>
          </w:tcPr>
          <w:p>
            <w:pPr>
              <w:ind w:left="180"/>
              <w:spacing w:after="0"/>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8"/>
        </w:trPr>
        <w:tc>
          <w:tcPr>
            <w:tcW w:w="8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57"/>
        </w:trPr>
        <w:tc>
          <w:tcPr>
            <w:tcW w:w="8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Accrued expenses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4,245</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74"/>
        </w:trPr>
        <w:tc>
          <w:tcPr>
            <w:tcW w:w="8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r>
      <w:tr>
        <w:trPr>
          <w:trHeight w:val="283"/>
        </w:trPr>
        <w:tc>
          <w:tcPr>
            <w:tcW w:w="8380" w:type="dxa"/>
            <w:vAlign w:val="bottom"/>
          </w:tcPr>
          <w:p>
            <w:pPr>
              <w:ind w:left="180"/>
              <w:spacing w:after="0"/>
              <w:rPr>
                <w:sz w:val="20"/>
                <w:szCs w:val="20"/>
                <w:color w:val="auto"/>
              </w:rPr>
            </w:pPr>
            <w:r>
              <w:rPr>
                <w:rFonts w:ascii="Arial" w:cs="Arial" w:eastAsia="Arial" w:hAnsi="Arial"/>
                <w:sz w:val="17"/>
                <w:szCs w:val="17"/>
                <w:b w:val="1"/>
                <w:bCs w:val="1"/>
                <w:color w:val="auto"/>
              </w:rPr>
              <w:t>Total current liabilities</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4,245</w:t>
            </w:r>
          </w:p>
        </w:tc>
        <w:tc>
          <w:tcPr>
            <w:tcW w:w="20" w:type="dxa"/>
            <w:vAlign w:val="bottom"/>
          </w:tcPr>
          <w:p>
            <w:pPr>
              <w:spacing w:after="0"/>
              <w:rPr>
                <w:sz w:val="24"/>
                <w:szCs w:val="24"/>
                <w:color w:val="auto"/>
              </w:rPr>
            </w:pPr>
          </w:p>
        </w:tc>
      </w:tr>
      <w:tr>
        <w:trPr>
          <w:trHeight w:val="75"/>
        </w:trPr>
        <w:tc>
          <w:tcPr>
            <w:tcW w:w="8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351"/>
        </w:trPr>
        <w:tc>
          <w:tcPr>
            <w:tcW w:w="8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6"/>
        </w:trPr>
        <w:tc>
          <w:tcPr>
            <w:tcW w:w="8380" w:type="dxa"/>
            <w:vAlign w:val="bottom"/>
          </w:tcPr>
          <w:p>
            <w:pPr>
              <w:spacing w:after="0"/>
              <w:rPr>
                <w:sz w:val="20"/>
                <w:szCs w:val="20"/>
                <w:color w:val="auto"/>
              </w:rPr>
            </w:pPr>
            <w:r>
              <w:rPr>
                <w:rFonts w:ascii="Arial" w:cs="Arial" w:eastAsia="Arial" w:hAnsi="Arial"/>
                <w:sz w:val="17"/>
                <w:szCs w:val="17"/>
                <w:b w:val="1"/>
                <w:bCs w:val="1"/>
                <w:color w:val="auto"/>
              </w:rPr>
              <w:t>Commitments and Contingencies</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8"/>
        </w:trPr>
        <w:tc>
          <w:tcPr>
            <w:tcW w:w="8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24"/>
        </w:trPr>
        <w:tc>
          <w:tcPr>
            <w:tcW w:w="8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6"/>
        </w:trPr>
        <w:tc>
          <w:tcPr>
            <w:tcW w:w="8380" w:type="dxa"/>
            <w:vAlign w:val="bottom"/>
          </w:tcPr>
          <w:p>
            <w:pPr>
              <w:spacing w:after="0"/>
              <w:rPr>
                <w:sz w:val="20"/>
                <w:szCs w:val="20"/>
                <w:color w:val="auto"/>
              </w:rPr>
            </w:pPr>
            <w:r>
              <w:rPr>
                <w:rFonts w:ascii="Arial" w:cs="Arial" w:eastAsia="Arial" w:hAnsi="Arial"/>
                <w:sz w:val="17"/>
                <w:szCs w:val="17"/>
                <w:b w:val="1"/>
                <w:bCs w:val="1"/>
                <w:color w:val="auto"/>
              </w:rPr>
              <w:t>Shareholder’s Equity:</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8"/>
        </w:trPr>
        <w:tc>
          <w:tcPr>
            <w:tcW w:w="8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04"/>
        </w:trPr>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Preference shares, $0.0001 par value; 1,000,000 shares authorized; none issued and outstanding</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w:t>
            </w:r>
          </w:p>
        </w:tc>
      </w:tr>
      <w:tr>
        <w:trPr>
          <w:trHeight w:val="250"/>
        </w:trPr>
        <w:tc>
          <w:tcPr>
            <w:tcW w:w="8380" w:type="dxa"/>
            <w:vAlign w:val="bottom"/>
          </w:tcPr>
          <w:p>
            <w:pPr>
              <w:ind w:left="180"/>
              <w:spacing w:after="0"/>
              <w:rPr>
                <w:sz w:val="20"/>
                <w:szCs w:val="20"/>
                <w:color w:val="auto"/>
              </w:rPr>
            </w:pPr>
            <w:r>
              <w:rPr>
                <w:rFonts w:ascii="Arial" w:cs="Arial" w:eastAsia="Arial" w:hAnsi="Arial"/>
                <w:sz w:val="17"/>
                <w:szCs w:val="17"/>
                <w:color w:val="auto"/>
              </w:rPr>
              <w:t>Class A ordinary shares, $0.0001 par value; 479,000,000 shares authorized; none issued and</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5"/>
        </w:trPr>
        <w:tc>
          <w:tcPr>
            <w:tcW w:w="8380" w:type="dxa"/>
            <w:vAlign w:val="bottom"/>
          </w:tcPr>
          <w:p>
            <w:pPr>
              <w:ind w:left="360"/>
              <w:spacing w:after="0"/>
              <w:rPr>
                <w:sz w:val="20"/>
                <w:szCs w:val="20"/>
                <w:color w:val="auto"/>
              </w:rPr>
            </w:pPr>
            <w:r>
              <w:rPr>
                <w:rFonts w:ascii="Arial" w:cs="Arial" w:eastAsia="Arial" w:hAnsi="Arial"/>
                <w:sz w:val="17"/>
                <w:szCs w:val="17"/>
                <w:color w:val="auto"/>
              </w:rPr>
              <w:t>outstanding</w:t>
            </w:r>
          </w:p>
        </w:tc>
        <w:tc>
          <w:tcPr>
            <w:tcW w:w="100" w:type="dxa"/>
            <w:vAlign w:val="bottom"/>
          </w:tcPr>
          <w:p>
            <w:pPr>
              <w:spacing w:after="0"/>
              <w:rPr>
                <w:sz w:val="17"/>
                <w:szCs w:val="17"/>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r>
      <w:tr>
        <w:trPr>
          <w:trHeight w:val="58"/>
        </w:trPr>
        <w:tc>
          <w:tcPr>
            <w:tcW w:w="8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49"/>
        </w:trPr>
        <w:tc>
          <w:tcPr>
            <w:tcW w:w="8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Class B ordinary shares, $0.0001 par value; 20,000,000 shares authorized; 3,737,500 shares issued</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64"/>
        </w:trPr>
        <w:tc>
          <w:tcPr>
            <w:tcW w:w="8380" w:type="dxa"/>
            <w:vAlign w:val="bottom"/>
            <w:shd w:val="clear" w:color="auto" w:fill="CCEEFF"/>
          </w:tcPr>
          <w:p>
            <w:pPr>
              <w:ind w:left="360"/>
              <w:spacing w:after="0" w:line="263" w:lineRule="exact"/>
              <w:rPr>
                <w:sz w:val="20"/>
                <w:szCs w:val="20"/>
                <w:color w:val="auto"/>
              </w:rPr>
            </w:pPr>
            <w:r>
              <w:rPr>
                <w:rFonts w:ascii="Arial" w:cs="Arial" w:eastAsia="Arial" w:hAnsi="Arial"/>
                <w:sz w:val="17"/>
                <w:szCs w:val="17"/>
                <w:color w:val="auto"/>
              </w:rPr>
              <w:t>and outstanding</w:t>
            </w:r>
            <w:r>
              <w:rPr>
                <w:rFonts w:ascii="Arial" w:cs="Arial" w:eastAsia="Arial" w:hAnsi="Arial"/>
                <w:sz w:val="28"/>
                <w:szCs w:val="28"/>
                <w:color w:val="auto"/>
                <w:vertAlign w:val="superscript"/>
              </w:rPr>
              <w:t>(1)(2)</w:t>
            </w:r>
          </w:p>
        </w:tc>
        <w:tc>
          <w:tcPr>
            <w:tcW w:w="10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374</w:t>
            </w:r>
          </w:p>
        </w:tc>
        <w:tc>
          <w:tcPr>
            <w:tcW w:w="20" w:type="dxa"/>
            <w:vAlign w:val="bottom"/>
            <w:shd w:val="clear" w:color="auto" w:fill="CCEEFF"/>
          </w:tcPr>
          <w:p>
            <w:pPr>
              <w:spacing w:after="0"/>
              <w:rPr>
                <w:sz w:val="22"/>
                <w:szCs w:val="22"/>
                <w:color w:val="auto"/>
              </w:rPr>
            </w:pPr>
          </w:p>
        </w:tc>
      </w:tr>
      <w:tr>
        <w:trPr>
          <w:trHeight w:val="266"/>
        </w:trPr>
        <w:tc>
          <w:tcPr>
            <w:tcW w:w="838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24,626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8"/>
        </w:trPr>
        <w:tc>
          <w:tcPr>
            <w:tcW w:w="8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57"/>
        </w:trPr>
        <w:tc>
          <w:tcPr>
            <w:tcW w:w="8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22"/>
                <w:szCs w:val="22"/>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(4,245)</w:t>
            </w:r>
          </w:p>
        </w:tc>
      </w:tr>
      <w:tr>
        <w:trPr>
          <w:trHeight w:val="75"/>
        </w:trPr>
        <w:tc>
          <w:tcPr>
            <w:tcW w:w="8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83"/>
        </w:trPr>
        <w:tc>
          <w:tcPr>
            <w:tcW w:w="8380" w:type="dxa"/>
            <w:vAlign w:val="bottom"/>
          </w:tcPr>
          <w:p>
            <w:pPr>
              <w:ind w:left="180"/>
              <w:spacing w:after="0"/>
              <w:rPr>
                <w:sz w:val="20"/>
                <w:szCs w:val="20"/>
                <w:color w:val="auto"/>
              </w:rPr>
            </w:pPr>
            <w:r>
              <w:rPr>
                <w:rFonts w:ascii="Arial" w:cs="Arial" w:eastAsia="Arial" w:hAnsi="Arial"/>
                <w:sz w:val="17"/>
                <w:szCs w:val="17"/>
                <w:b w:val="1"/>
                <w:bCs w:val="1"/>
                <w:color w:val="auto"/>
              </w:rPr>
              <w:t>Total shareholder’s equity</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20,755</w:t>
            </w:r>
          </w:p>
        </w:tc>
        <w:tc>
          <w:tcPr>
            <w:tcW w:w="20" w:type="dxa"/>
            <w:vAlign w:val="bottom"/>
          </w:tcPr>
          <w:p>
            <w:pPr>
              <w:spacing w:after="0"/>
              <w:rPr>
                <w:sz w:val="24"/>
                <w:szCs w:val="24"/>
                <w:color w:val="auto"/>
              </w:rPr>
            </w:pPr>
          </w:p>
        </w:tc>
      </w:tr>
      <w:tr>
        <w:trPr>
          <w:trHeight w:val="75"/>
        </w:trPr>
        <w:tc>
          <w:tcPr>
            <w:tcW w:w="8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376"/>
        </w:trPr>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Liabilities and Shareholder’s Equity</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84"/>
              </w:rPr>
              <w:t>$</w:t>
            </w:r>
          </w:p>
        </w:tc>
        <w:tc>
          <w:tcPr>
            <w:tcW w:w="5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25,000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0"/>
        </w:trPr>
        <w:tc>
          <w:tcPr>
            <w:tcW w:w="83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c>
          <w:tcPr>
            <w:tcW w:w="4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r>
    </w:tbl>
    <w:p>
      <w:pPr>
        <w:spacing w:after="0" w:line="36"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3"/>
          <w:szCs w:val="13"/>
          <w:i w:val="1"/>
          <w:iCs w:val="1"/>
          <w:color w:val="auto"/>
        </w:rPr>
      </w:pPr>
      <w:r>
        <w:rPr>
          <w:rFonts w:ascii="Arial" w:cs="Arial" w:eastAsia="Arial" w:hAnsi="Arial"/>
          <w:sz w:val="13"/>
          <w:szCs w:val="13"/>
          <w:i w:val="1"/>
          <w:iCs w:val="1"/>
          <w:color w:val="auto"/>
        </w:rPr>
        <w:t>This number includes up to 487,500 shares subject to forfeiture if the over-allotment option is not exercised in full or in part by the underwriters.</w:t>
      </w:r>
    </w:p>
    <w:p>
      <w:pPr>
        <w:spacing w:after="0" w:line="39" w:lineRule="exact"/>
        <w:rPr>
          <w:rFonts w:ascii="Arial" w:cs="Arial" w:eastAsia="Arial" w:hAnsi="Arial"/>
          <w:sz w:val="13"/>
          <w:szCs w:val="13"/>
          <w:i w:val="1"/>
          <w:iCs w:val="1"/>
          <w:color w:val="auto"/>
        </w:rPr>
      </w:pPr>
    </w:p>
    <w:p>
      <w:pPr>
        <w:ind w:left="360" w:right="180" w:hanging="352"/>
        <w:spacing w:after="0"/>
        <w:tabs>
          <w:tab w:leader="none" w:pos="360" w:val="left"/>
        </w:tabs>
        <w:numPr>
          <w:ilvl w:val="0"/>
          <w:numId w:val="35"/>
        </w:numPr>
        <w:rPr>
          <w:rFonts w:ascii="Arial" w:cs="Arial" w:eastAsia="Arial" w:hAnsi="Arial"/>
          <w:sz w:val="13"/>
          <w:szCs w:val="13"/>
          <w:i w:val="1"/>
          <w:iCs w:val="1"/>
          <w:color w:val="auto"/>
        </w:rPr>
      </w:pPr>
      <w:r>
        <w:rPr>
          <w:rFonts w:ascii="Arial" w:cs="Arial" w:eastAsia="Arial" w:hAnsi="Arial"/>
          <w:sz w:val="13"/>
          <w:szCs w:val="13"/>
          <w:i w:val="1"/>
          <w:iCs w:val="1"/>
          <w:color w:val="auto"/>
        </w:rPr>
        <w:t>On August 6, 2020, the Company effected a share capitalization resulting in the initial shareholders holding 3,737,500 Class B ordinary shares. All shares and associated amounts have been retroactively restated to reflect the share capitalization. (see Note 4).</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jc w:val="center"/>
        <w:spacing w:after="0"/>
        <w:rPr>
          <w:sz w:val="20"/>
          <w:szCs w:val="20"/>
          <w:color w:val="auto"/>
        </w:rPr>
      </w:pPr>
      <w:r>
        <w:rPr>
          <w:rFonts w:ascii="Arial" w:cs="Arial" w:eastAsia="Arial" w:hAnsi="Arial"/>
          <w:sz w:val="18"/>
          <w:szCs w:val="18"/>
          <w:b w:val="1"/>
          <w:bCs w:val="1"/>
          <w:color w:val="auto"/>
        </w:rPr>
        <w:t>For the period from March 27, 2020 (inception) through April 2,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80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4,245</w:t>
            </w:r>
          </w:p>
        </w:tc>
        <w:tc>
          <w:tcPr>
            <w:tcW w:w="40" w:type="dxa"/>
            <w:vAlign w:val="bottom"/>
            <w:tcBorders>
              <w:top w:val="single" w:sz="8" w:color="auto"/>
              <w:bottom w:val="single" w:sz="8" w:color="CCEEFF"/>
            </w:tcBorders>
            <w:shd w:val="clear" w:color="auto" w:fill="CCEEFF"/>
          </w:tcPr>
          <w:p>
            <w:pPr>
              <w:spacing w:after="0"/>
              <w:rPr>
                <w:sz w:val="24"/>
                <w:szCs w:val="24"/>
                <w:color w:val="auto"/>
              </w:rPr>
            </w:pPr>
          </w:p>
        </w:tc>
        <w:tc>
          <w:tcPr>
            <w:tcW w:w="60" w:type="dxa"/>
            <w:vAlign w:val="bottom"/>
            <w:tcBorders>
              <w:top w:val="single" w:sz="8" w:color="auto"/>
              <w:bottom w:val="single" w:sz="8" w:color="CCEEFF"/>
            </w:tcBorders>
            <w:shd w:val="clear" w:color="auto" w:fill="CCEEFF"/>
          </w:tcPr>
          <w:p>
            <w:pPr>
              <w:spacing w:after="0"/>
              <w:rPr>
                <w:sz w:val="24"/>
                <w:szCs w:val="24"/>
                <w:color w:val="auto"/>
              </w:rPr>
            </w:pPr>
          </w:p>
        </w:tc>
      </w:tr>
      <w:tr>
        <w:trPr>
          <w:trHeight w:val="74"/>
        </w:trPr>
        <w:tc>
          <w:tcPr>
            <w:tcW w:w="8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r>
      <w:tr>
        <w:trPr>
          <w:trHeight w:val="284"/>
        </w:trPr>
        <w:tc>
          <w:tcPr>
            <w:tcW w:w="8080" w:type="dxa"/>
            <w:vAlign w:val="bottom"/>
          </w:tcPr>
          <w:p>
            <w:pPr>
              <w:ind w:left="180"/>
              <w:spacing w:after="0"/>
              <w:rPr>
                <w:sz w:val="20"/>
                <w:szCs w:val="20"/>
                <w:color w:val="auto"/>
              </w:rPr>
            </w:pPr>
            <w:r>
              <w:rPr>
                <w:rFonts w:ascii="Arial" w:cs="Arial" w:eastAsia="Arial" w:hAnsi="Arial"/>
                <w:sz w:val="17"/>
                <w:szCs w:val="17"/>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900" w:type="dxa"/>
            <w:vAlign w:val="bottom"/>
            <w:gridSpan w:val="4"/>
          </w:tcPr>
          <w:p>
            <w:pPr>
              <w:jc w:val="right"/>
              <w:ind w:right="20"/>
              <w:spacing w:after="0"/>
              <w:rPr>
                <w:sz w:val="20"/>
                <w:szCs w:val="20"/>
                <w:color w:val="auto"/>
              </w:rPr>
            </w:pPr>
            <w:r>
              <w:rPr>
                <w:rFonts w:ascii="Arial" w:cs="Arial" w:eastAsia="Arial" w:hAnsi="Arial"/>
                <w:sz w:val="17"/>
                <w:szCs w:val="17"/>
                <w:b w:val="1"/>
                <w:bCs w:val="1"/>
                <w:color w:val="auto"/>
              </w:rPr>
              <w:t>(4,245)</w:t>
            </w:r>
          </w:p>
        </w:tc>
      </w:tr>
      <w:tr>
        <w:trPr>
          <w:trHeight w:val="20"/>
        </w:trPr>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
        </w:trPr>
        <w:tc>
          <w:tcPr>
            <w:tcW w:w="8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65"/>
        </w:trPr>
        <w:tc>
          <w:tcPr>
            <w:tcW w:w="8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56"/>
        </w:trPr>
        <w:tc>
          <w:tcPr>
            <w:tcW w:w="8080" w:type="dxa"/>
            <w:vAlign w:val="bottom"/>
          </w:tcPr>
          <w:p>
            <w:pPr>
              <w:spacing w:after="0" w:line="257" w:lineRule="exact"/>
              <w:rPr>
                <w:sz w:val="20"/>
                <w:szCs w:val="20"/>
                <w:color w:val="auto"/>
              </w:rPr>
            </w:pPr>
            <w:r>
              <w:rPr>
                <w:rFonts w:ascii="Arial" w:cs="Arial" w:eastAsia="Arial" w:hAnsi="Arial"/>
                <w:sz w:val="17"/>
                <w:szCs w:val="17"/>
                <w:color w:val="auto"/>
              </w:rPr>
              <w:t>Weighted average shares outstanding, basic and diluted</w:t>
            </w:r>
            <w:r>
              <w:rPr>
                <w:rFonts w:ascii="Arial" w:cs="Arial" w:eastAsia="Arial" w:hAnsi="Arial"/>
                <w:sz w:val="28"/>
                <w:szCs w:val="28"/>
                <w:color w:val="auto"/>
                <w:vertAlign w:val="superscript"/>
              </w:rPr>
              <w:t>(1)(2)</w:t>
            </w:r>
          </w:p>
        </w:tc>
        <w:tc>
          <w:tcPr>
            <w:tcW w:w="10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3,250,000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
        </w:trPr>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
        </w:trPr>
        <w:tc>
          <w:tcPr>
            <w:tcW w:w="8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64"/>
        </w:trPr>
        <w:tc>
          <w:tcPr>
            <w:tcW w:w="8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57"/>
        </w:trPr>
        <w:tc>
          <w:tcPr>
            <w:tcW w:w="8080" w:type="dxa"/>
            <w:vAlign w:val="bottom"/>
          </w:tcPr>
          <w:p>
            <w:pPr>
              <w:spacing w:after="0"/>
              <w:rPr>
                <w:sz w:val="20"/>
                <w:szCs w:val="20"/>
                <w:color w:val="auto"/>
              </w:rPr>
            </w:pPr>
            <w:r>
              <w:rPr>
                <w:rFonts w:ascii="Arial" w:cs="Arial" w:eastAsia="Arial" w:hAnsi="Arial"/>
                <w:sz w:val="17"/>
                <w:szCs w:val="17"/>
                <w:b w:val="1"/>
                <w:bCs w:val="1"/>
                <w:color w:val="auto"/>
              </w:rPr>
              <w:t>Basic and diluted net loss per share</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900" w:type="dxa"/>
            <w:vAlign w:val="bottom"/>
            <w:gridSpan w:val="4"/>
          </w:tcPr>
          <w:p>
            <w:pPr>
              <w:jc w:val="right"/>
              <w:ind w:right="20"/>
              <w:spacing w:after="0"/>
              <w:rPr>
                <w:sz w:val="20"/>
                <w:szCs w:val="20"/>
                <w:color w:val="auto"/>
              </w:rPr>
            </w:pPr>
            <w:r>
              <w:rPr>
                <w:rFonts w:ascii="Arial" w:cs="Arial" w:eastAsia="Arial" w:hAnsi="Arial"/>
                <w:sz w:val="17"/>
                <w:szCs w:val="17"/>
                <w:b w:val="1"/>
                <w:bCs w:val="1"/>
                <w:color w:val="auto"/>
              </w:rPr>
              <w:t>(0.00)</w:t>
            </w:r>
          </w:p>
        </w:tc>
      </w:tr>
      <w:tr>
        <w:trPr>
          <w:trHeight w:val="21"/>
        </w:trPr>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
        </w:trPr>
        <w:tc>
          <w:tcPr>
            <w:tcW w:w="8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bl>
    <w:p>
      <w:pPr>
        <w:spacing w:after="0" w:line="36" w:lineRule="exact"/>
        <w:rPr>
          <w:sz w:val="20"/>
          <w:szCs w:val="20"/>
          <w:color w:val="auto"/>
        </w:rPr>
      </w:pPr>
    </w:p>
    <w:p>
      <w:pPr>
        <w:ind w:left="360" w:right="580" w:hanging="352"/>
        <w:spacing w:after="0"/>
        <w:tabs>
          <w:tab w:leader="none" w:pos="360" w:val="left"/>
        </w:tabs>
        <w:numPr>
          <w:ilvl w:val="0"/>
          <w:numId w:val="36"/>
        </w:numPr>
        <w:rPr>
          <w:rFonts w:ascii="Arial" w:cs="Arial" w:eastAsia="Arial" w:hAnsi="Arial"/>
          <w:sz w:val="13"/>
          <w:szCs w:val="13"/>
          <w:i w:val="1"/>
          <w:iCs w:val="1"/>
          <w:color w:val="auto"/>
        </w:rPr>
      </w:pPr>
      <w:r>
        <w:rPr>
          <w:rFonts w:ascii="Arial" w:cs="Arial" w:eastAsia="Arial" w:hAnsi="Arial"/>
          <w:sz w:val="13"/>
          <w:szCs w:val="13"/>
          <w:i w:val="1"/>
          <w:iCs w:val="1"/>
          <w:color w:val="auto"/>
        </w:rPr>
        <w:t>This number excludes an aggregate of up to 487,500 shares subject to forfeiture if the over-allotment option is not exercised in full or in part by the underwriters.</w:t>
      </w:r>
    </w:p>
    <w:p>
      <w:pPr>
        <w:spacing w:after="0" w:line="25" w:lineRule="exact"/>
        <w:rPr>
          <w:rFonts w:ascii="Arial" w:cs="Arial" w:eastAsia="Arial" w:hAnsi="Arial"/>
          <w:sz w:val="13"/>
          <w:szCs w:val="13"/>
          <w:i w:val="1"/>
          <w:iCs w:val="1"/>
          <w:color w:val="auto"/>
        </w:rPr>
      </w:pPr>
    </w:p>
    <w:p>
      <w:pPr>
        <w:ind w:left="360" w:right="180" w:hanging="352"/>
        <w:spacing w:after="0"/>
        <w:tabs>
          <w:tab w:leader="none" w:pos="360" w:val="left"/>
        </w:tabs>
        <w:numPr>
          <w:ilvl w:val="0"/>
          <w:numId w:val="36"/>
        </w:numPr>
        <w:rPr>
          <w:rFonts w:ascii="Arial" w:cs="Arial" w:eastAsia="Arial" w:hAnsi="Arial"/>
          <w:sz w:val="13"/>
          <w:szCs w:val="13"/>
          <w:i w:val="1"/>
          <w:iCs w:val="1"/>
          <w:color w:val="auto"/>
        </w:rPr>
      </w:pPr>
      <w:r>
        <w:rPr>
          <w:rFonts w:ascii="Arial" w:cs="Arial" w:eastAsia="Arial" w:hAnsi="Arial"/>
          <w:sz w:val="13"/>
          <w:szCs w:val="13"/>
          <w:i w:val="1"/>
          <w:iCs w:val="1"/>
          <w:color w:val="auto"/>
        </w:rPr>
        <w:t>On August 6, 2020, the Company effected a share capitalization resulting in the initial shareholders holding 3,737,500 Class B ordinary shares. All shares and associated amounts have been retroactively restated to reflect the share capitalization. (see Note 4).</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b w:val="1"/>
          <w:bCs w:val="1"/>
          <w:color w:val="auto"/>
        </w:rPr>
        <w:t>ARYA SCIENCES ACQUISITION CORP III STATEMENT OF CHANGES IN SHAREHOLDER’S EQUITY For the period from March 27, 2020 (inception) through April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57607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Ordinary 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3"/>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gridSpan w:val="2"/>
          </w:tcPr>
          <w:p>
            <w:pPr>
              <w:spacing w:after="0"/>
              <w:rPr>
                <w:sz w:val="6"/>
                <w:szCs w:val="6"/>
                <w:color w:val="auto"/>
              </w:rPr>
            </w:pPr>
          </w:p>
        </w:tc>
        <w:tc>
          <w:tcPr>
            <w:tcW w:w="22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Class A</w:t>
            </w:r>
          </w:p>
        </w:tc>
        <w:tc>
          <w:tcPr>
            <w:tcW w:w="160" w:type="dxa"/>
            <w:vAlign w:val="bottom"/>
          </w:tcPr>
          <w:p>
            <w:pPr>
              <w:spacing w:after="0"/>
              <w:rPr>
                <w:sz w:val="24"/>
                <w:szCs w:val="24"/>
                <w:color w:val="auto"/>
              </w:rPr>
            </w:pPr>
          </w:p>
        </w:tc>
        <w:tc>
          <w:tcPr>
            <w:tcW w:w="1120" w:type="dxa"/>
            <w:vAlign w:val="bottom"/>
            <w:gridSpan w:val="4"/>
          </w:tcPr>
          <w:p>
            <w:pPr>
              <w:ind w:left="520"/>
              <w:spacing w:after="0"/>
              <w:rPr>
                <w:sz w:val="20"/>
                <w:szCs w:val="20"/>
                <w:color w:val="auto"/>
              </w:rPr>
            </w:pPr>
            <w:r>
              <w:rPr>
                <w:rFonts w:ascii="Arial" w:cs="Arial" w:eastAsia="Arial" w:hAnsi="Arial"/>
                <w:sz w:val="14"/>
                <w:szCs w:val="14"/>
                <w:b w:val="1"/>
                <w:bCs w:val="1"/>
                <w:color w:val="auto"/>
              </w:rPr>
              <w:t>Class B</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7"/>
        </w:trPr>
        <w:tc>
          <w:tcPr>
            <w:tcW w:w="30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Paid-in</w:t>
            </w:r>
          </w:p>
        </w:tc>
        <w:tc>
          <w:tcPr>
            <w:tcW w:w="106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75"/>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060" w:type="dxa"/>
            <w:vAlign w:val="bottom"/>
            <w:gridSpan w:val="6"/>
            <w:vMerge w:val="continue"/>
          </w:tcPr>
          <w:p>
            <w:pPr>
              <w:spacing w:after="0"/>
              <w:rPr>
                <w:sz w:val="6"/>
                <w:szCs w:val="6"/>
                <w:color w:val="auto"/>
              </w:rPr>
            </w:pPr>
          </w:p>
        </w:tc>
        <w:tc>
          <w:tcPr>
            <w:tcW w:w="9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080" w:type="dxa"/>
            <w:vAlign w:val="bottom"/>
          </w:tcPr>
          <w:p>
            <w:pPr>
              <w:spacing w:after="0"/>
              <w:rPr>
                <w:sz w:val="16"/>
                <w:szCs w:val="16"/>
                <w:color w:val="auto"/>
              </w:rPr>
            </w:pPr>
          </w:p>
        </w:tc>
        <w:tc>
          <w:tcPr>
            <w:tcW w:w="660" w:type="dxa"/>
            <w:vAlign w:val="bottom"/>
            <w:gridSpan w:val="5"/>
          </w:tcPr>
          <w:p>
            <w:pPr>
              <w:spacing w:after="0"/>
              <w:rPr>
                <w:sz w:val="20"/>
                <w:szCs w:val="20"/>
                <w:color w:val="auto"/>
              </w:rPr>
            </w:pPr>
            <w:r>
              <w:rPr>
                <w:rFonts w:ascii="Arial" w:cs="Arial" w:eastAsia="Arial" w:hAnsi="Arial"/>
                <w:sz w:val="14"/>
                <w:szCs w:val="14"/>
                <w:b w:val="1"/>
                <w:bCs w:val="1"/>
                <w:color w:val="auto"/>
              </w:rPr>
              <w:t>Shares</w:t>
            </w: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80"/>
        </w:trPr>
        <w:tc>
          <w:tcPr>
            <w:tcW w:w="30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 March 27, 2020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(inception)</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w w:val="90"/>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w w:val="84"/>
              </w:rPr>
              <w:t>$</w:t>
            </w: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9"/>
        </w:trPr>
        <w:tc>
          <w:tcPr>
            <w:tcW w:w="3080" w:type="dxa"/>
            <w:vAlign w:val="bottom"/>
          </w:tcPr>
          <w:p>
            <w:pPr>
              <w:ind w:left="180"/>
              <w:spacing w:after="0"/>
              <w:rPr>
                <w:sz w:val="20"/>
                <w:szCs w:val="20"/>
                <w:color w:val="auto"/>
              </w:rPr>
            </w:pPr>
            <w:r>
              <w:rPr>
                <w:rFonts w:ascii="Arial" w:cs="Arial" w:eastAsia="Arial" w:hAnsi="Arial"/>
                <w:sz w:val="17"/>
                <w:szCs w:val="17"/>
                <w:color w:val="auto"/>
              </w:rPr>
              <w:t>Issuance of Class B ordinary shares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080" w:type="dxa"/>
            <w:vAlign w:val="bottom"/>
          </w:tcPr>
          <w:p>
            <w:pPr>
              <w:ind w:left="360"/>
              <w:spacing w:after="0" w:line="263" w:lineRule="exact"/>
              <w:rPr>
                <w:sz w:val="20"/>
                <w:szCs w:val="20"/>
                <w:color w:val="auto"/>
              </w:rPr>
            </w:pPr>
            <w:r>
              <w:rPr>
                <w:rFonts w:ascii="Arial" w:cs="Arial" w:eastAsia="Arial" w:hAnsi="Arial"/>
                <w:sz w:val="17"/>
                <w:szCs w:val="17"/>
                <w:color w:val="auto"/>
              </w:rPr>
              <w:t>to Sponsor</w:t>
            </w:r>
            <w:r>
              <w:rPr>
                <w:rFonts w:ascii="Arial" w:cs="Arial" w:eastAsia="Arial" w:hAnsi="Arial"/>
                <w:sz w:val="28"/>
                <w:szCs w:val="28"/>
                <w:color w:val="auto"/>
                <w:vertAlign w:val="superscript"/>
              </w:rPr>
              <w:t>(1)(2)</w:t>
            </w:r>
          </w:p>
        </w:tc>
        <w:tc>
          <w:tcPr>
            <w:tcW w:w="120" w:type="dxa"/>
            <w:vAlign w:val="bottom"/>
          </w:tcPr>
          <w:p>
            <w:pPr>
              <w:spacing w:after="0"/>
              <w:rPr>
                <w:sz w:val="22"/>
                <w:szCs w:val="22"/>
                <w:color w:val="auto"/>
              </w:rPr>
            </w:pPr>
          </w:p>
        </w:tc>
        <w:tc>
          <w:tcPr>
            <w:tcW w:w="540" w:type="dxa"/>
            <w:vAlign w:val="bottom"/>
            <w:gridSpan w:val="4"/>
          </w:tcPr>
          <w:p>
            <w:pP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7"/>
                <w:szCs w:val="17"/>
                <w:color w:val="auto"/>
              </w:rPr>
              <w:t>3,737,500</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1"/>
              </w:rPr>
              <w:t>374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99"/>
              </w:rPr>
              <w:t>24,626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4"/>
          </w:tcPr>
          <w:p>
            <w:pPr>
              <w:jc w:val="right"/>
              <w:ind w:right="3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25,000</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spacing w:after="0"/>
              <w:rPr>
                <w:sz w:val="22"/>
                <w:szCs w:val="22"/>
                <w:color w:val="auto"/>
              </w:rPr>
            </w:pPr>
          </w:p>
        </w:tc>
        <w:tc>
          <w:tcPr>
            <w:tcW w:w="5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center"/>
              <w:ind w:right="180"/>
              <w:spacing w:after="0"/>
              <w:rPr>
                <w:sz w:val="20"/>
                <w:szCs w:val="20"/>
                <w:color w:val="auto"/>
              </w:rPr>
            </w:pPr>
            <w:r>
              <w:rPr>
                <w:rFonts w:ascii="Arial" w:cs="Arial" w:eastAsia="Arial" w:hAnsi="Arial"/>
                <w:sz w:val="17"/>
                <w:szCs w:val="17"/>
                <w:color w:val="auto"/>
              </w:rPr>
              <w:t>(4,245)</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(4,245)</w:t>
            </w:r>
          </w:p>
        </w:tc>
        <w:tc>
          <w:tcPr>
            <w:tcW w:w="0" w:type="dxa"/>
            <w:vAlign w:val="bottom"/>
          </w:tcPr>
          <w:p>
            <w:pPr>
              <w:spacing w:after="0"/>
              <w:rPr>
                <w:sz w:val="1"/>
                <w:szCs w:val="1"/>
                <w:color w:val="auto"/>
              </w:rPr>
            </w:pPr>
          </w:p>
        </w:tc>
      </w:tr>
      <w:tr>
        <w:trPr>
          <w:trHeight w:val="74"/>
        </w:trPr>
        <w:tc>
          <w:tcPr>
            <w:tcW w:w="30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0"/>
                <w:szCs w:val="20"/>
                <w:color w:val="auto"/>
              </w:rPr>
            </w:pPr>
            <w:r>
              <w:rPr>
                <w:rFonts w:ascii="Arial" w:cs="Arial" w:eastAsia="Arial" w:hAnsi="Arial"/>
                <w:sz w:val="17"/>
                <w:szCs w:val="17"/>
                <w:b w:val="1"/>
                <w:bCs w:val="1"/>
                <w:color w:val="auto"/>
              </w:rPr>
              <w:t>Balance - April 2, 2020</w:t>
            </w:r>
          </w:p>
        </w:tc>
        <w:tc>
          <w:tcPr>
            <w:tcW w:w="120" w:type="dxa"/>
            <w:vAlign w:val="bottom"/>
          </w:tcPr>
          <w:p>
            <w:pPr>
              <w:spacing w:after="0"/>
              <w:rPr>
                <w:sz w:val="24"/>
                <w:szCs w:val="24"/>
                <w:color w:val="auto"/>
              </w:rPr>
            </w:pPr>
          </w:p>
        </w:tc>
        <w:tc>
          <w:tcPr>
            <w:tcW w:w="540" w:type="dxa"/>
            <w:vAlign w:val="bottom"/>
            <w:gridSpan w:val="4"/>
          </w:tcPr>
          <w:p>
            <w:pPr>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24"/>
                <w:szCs w:val="2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0"/>
              </w:rPr>
              <w:t>$—</w:t>
            </w:r>
          </w:p>
        </w:tc>
        <w:tc>
          <w:tcPr>
            <w:tcW w:w="1000" w:type="dxa"/>
            <w:vAlign w:val="bottom"/>
            <w:gridSpan w:val="2"/>
          </w:tcPr>
          <w:p>
            <w:pPr>
              <w:jc w:val="right"/>
              <w:spacing w:after="0"/>
              <w:rPr>
                <w:sz w:val="20"/>
                <w:szCs w:val="20"/>
                <w:color w:val="auto"/>
              </w:rPr>
            </w:pPr>
            <w:r>
              <w:rPr>
                <w:rFonts w:ascii="Arial" w:cs="Arial" w:eastAsia="Arial" w:hAnsi="Arial"/>
                <w:sz w:val="17"/>
                <w:szCs w:val="17"/>
                <w:b w:val="1"/>
                <w:bCs w:val="1"/>
                <w:color w:val="auto"/>
              </w:rPr>
              <w:t>3,737,500</w:t>
            </w:r>
          </w:p>
        </w:tc>
        <w:tc>
          <w:tcPr>
            <w:tcW w:w="16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Arial" w:cs="Arial" w:eastAsia="Arial" w:hAnsi="Arial"/>
                <w:sz w:val="17"/>
                <w:szCs w:val="17"/>
                <w:b w:val="1"/>
                <w:bCs w:val="1"/>
                <w:color w:val="auto"/>
                <w:w w:val="84"/>
              </w:rPr>
              <w:t>$</w:t>
            </w:r>
          </w:p>
        </w:tc>
        <w:tc>
          <w:tcPr>
            <w:tcW w:w="4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374</w:t>
            </w:r>
          </w:p>
        </w:tc>
        <w:tc>
          <w:tcPr>
            <w:tcW w:w="2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24,626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(4,245)</w:t>
            </w:r>
          </w:p>
        </w:tc>
        <w:tc>
          <w:tcPr>
            <w:tcW w:w="1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rPr>
              <w:t>20,755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3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-1148080</wp:posOffset>
            </wp:positionV>
            <wp:extent cx="1028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-1148080</wp:posOffset>
            </wp:positionV>
            <wp:extent cx="1028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-1148080</wp:posOffset>
            </wp:positionV>
            <wp:extent cx="1028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-1148080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-1148080</wp:posOffset>
            </wp:positionV>
            <wp:extent cx="1028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-1148080</wp:posOffset>
            </wp:positionV>
            <wp:extent cx="1028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-1148080</wp:posOffset>
            </wp:positionV>
            <wp:extent cx="1028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3"/>
          <w:szCs w:val="13"/>
          <w:i w:val="1"/>
          <w:iCs w:val="1"/>
          <w:color w:val="auto"/>
        </w:rPr>
      </w:pPr>
      <w:r>
        <w:rPr>
          <w:rFonts w:ascii="Arial" w:cs="Arial" w:eastAsia="Arial" w:hAnsi="Arial"/>
          <w:sz w:val="13"/>
          <w:szCs w:val="13"/>
          <w:i w:val="1"/>
          <w:iCs w:val="1"/>
          <w:color w:val="auto"/>
        </w:rPr>
        <w:t>This number includes up to 487,500 shares subject to forfeiture if the over-allotment option is not exercised in full or in part by the underwriters.</w:t>
      </w:r>
    </w:p>
    <w:p>
      <w:pPr>
        <w:spacing w:after="0" w:line="39" w:lineRule="exact"/>
        <w:rPr>
          <w:rFonts w:ascii="Arial" w:cs="Arial" w:eastAsia="Arial" w:hAnsi="Arial"/>
          <w:sz w:val="13"/>
          <w:szCs w:val="13"/>
          <w:i w:val="1"/>
          <w:iCs w:val="1"/>
          <w:color w:val="auto"/>
        </w:rPr>
      </w:pPr>
    </w:p>
    <w:p>
      <w:pPr>
        <w:ind w:left="360" w:right="180" w:hanging="352"/>
        <w:spacing w:after="0"/>
        <w:tabs>
          <w:tab w:leader="none" w:pos="360" w:val="left"/>
        </w:tabs>
        <w:numPr>
          <w:ilvl w:val="0"/>
          <w:numId w:val="37"/>
        </w:numPr>
        <w:rPr>
          <w:rFonts w:ascii="Arial" w:cs="Arial" w:eastAsia="Arial" w:hAnsi="Arial"/>
          <w:sz w:val="13"/>
          <w:szCs w:val="13"/>
          <w:i w:val="1"/>
          <w:iCs w:val="1"/>
          <w:color w:val="auto"/>
        </w:rPr>
      </w:pPr>
      <w:r>
        <w:rPr>
          <w:rFonts w:ascii="Arial" w:cs="Arial" w:eastAsia="Arial" w:hAnsi="Arial"/>
          <w:sz w:val="13"/>
          <w:szCs w:val="13"/>
          <w:i w:val="1"/>
          <w:iCs w:val="1"/>
          <w:color w:val="auto"/>
        </w:rPr>
        <w:t>On August 6, 2020, the Company effected a share capitalization resulting in the initial shareholders holding 3,737,500 Class B ordinary shares. All shares and associated amounts have been retroactively restated to reflect the share capitalization. (see Note 4).</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jc w:val="center"/>
        <w:spacing w:after="0"/>
        <w:rPr>
          <w:sz w:val="20"/>
          <w:szCs w:val="20"/>
          <w:color w:val="auto"/>
        </w:rPr>
      </w:pPr>
      <w:r>
        <w:rPr>
          <w:rFonts w:ascii="Arial" w:cs="Arial" w:eastAsia="Arial" w:hAnsi="Arial"/>
          <w:sz w:val="18"/>
          <w:szCs w:val="18"/>
          <w:b w:val="1"/>
          <w:bCs w:val="1"/>
          <w:color w:val="auto"/>
        </w:rPr>
        <w:t>For the period from March 27, 2020 (inception) through April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760720" cy="2654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60720" cy="26543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Operating Activities: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00" w:type="dxa"/>
            <w:vAlign w:val="bottom"/>
          </w:tcPr>
          <w:p>
            <w:pPr>
              <w:spacing w:after="0"/>
              <w:rPr>
                <w:sz w:val="20"/>
                <w:szCs w:val="20"/>
                <w:color w:val="auto"/>
              </w:rPr>
            </w:pPr>
            <w:r>
              <w:rPr>
                <w:rFonts w:ascii="Arial" w:cs="Arial" w:eastAsia="Arial" w:hAnsi="Arial"/>
                <w:sz w:val="17"/>
                <w:szCs w:val="17"/>
                <w:color w:val="auto"/>
              </w:rPr>
              <w:t>Net loss</w:t>
            </w:r>
          </w:p>
        </w:tc>
        <w:tc>
          <w:tcPr>
            <w:tcW w:w="26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gridSpan w:val="3"/>
          </w:tcPr>
          <w:p>
            <w:pPr>
              <w:jc w:val="right"/>
              <w:ind w:right="20"/>
              <w:spacing w:after="0"/>
              <w:rPr>
                <w:sz w:val="20"/>
                <w:szCs w:val="20"/>
                <w:color w:val="auto"/>
              </w:rPr>
            </w:pPr>
            <w:r>
              <w:rPr>
                <w:rFonts w:ascii="Arial" w:cs="Arial" w:eastAsia="Arial" w:hAnsi="Arial"/>
                <w:sz w:val="17"/>
                <w:szCs w:val="17"/>
                <w:color w:val="auto"/>
              </w:rPr>
              <w:t>(4,245)</w:t>
            </w:r>
          </w:p>
        </w:tc>
      </w:tr>
      <w:tr>
        <w:trPr>
          <w:trHeight w:val="58"/>
        </w:trPr>
        <w:tc>
          <w:tcPr>
            <w:tcW w:w="590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04"/>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Changes in operating assets and liabilities:</w:t>
            </w:r>
          </w:p>
        </w:tc>
        <w:tc>
          <w:tcPr>
            <w:tcW w:w="2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5900" w:type="dxa"/>
            <w:vAlign w:val="bottom"/>
          </w:tcPr>
          <w:p>
            <w:pPr>
              <w:ind w:left="360"/>
              <w:spacing w:after="0"/>
              <w:rPr>
                <w:sz w:val="20"/>
                <w:szCs w:val="20"/>
                <w:color w:val="auto"/>
              </w:rPr>
            </w:pPr>
            <w:r>
              <w:rPr>
                <w:rFonts w:ascii="Arial" w:cs="Arial" w:eastAsia="Arial" w:hAnsi="Arial"/>
                <w:sz w:val="17"/>
                <w:szCs w:val="17"/>
                <w:color w:val="auto"/>
              </w:rPr>
              <w:t>Accrued expenses</w:t>
            </w:r>
          </w:p>
        </w:tc>
        <w:tc>
          <w:tcPr>
            <w:tcW w:w="25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75"/>
        </w:trPr>
        <w:tc>
          <w:tcPr>
            <w:tcW w:w="590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83"/>
        </w:trPr>
        <w:tc>
          <w:tcPr>
            <w:tcW w:w="5900" w:type="dxa"/>
            <w:vAlign w:val="bottom"/>
            <w:shd w:val="clear" w:color="auto" w:fill="CCEEFF"/>
          </w:tcPr>
          <w:p>
            <w:pPr>
              <w:ind w:left="360"/>
              <w:spacing w:after="0"/>
              <w:rPr>
                <w:sz w:val="20"/>
                <w:szCs w:val="20"/>
                <w:color w:val="auto"/>
              </w:rPr>
            </w:pPr>
            <w:r>
              <w:rPr>
                <w:rFonts w:ascii="Arial" w:cs="Arial" w:eastAsia="Arial" w:hAnsi="Arial"/>
                <w:sz w:val="17"/>
                <w:szCs w:val="17"/>
                <w:b w:val="1"/>
                <w:bCs w:val="1"/>
                <w:color w:val="auto"/>
              </w:rPr>
              <w:t>Net cash used in operating activities</w:t>
            </w:r>
          </w:p>
        </w:tc>
        <w:tc>
          <w:tcPr>
            <w:tcW w:w="2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r>
      <w:tr>
        <w:trPr>
          <w:trHeight w:val="74"/>
        </w:trPr>
        <w:tc>
          <w:tcPr>
            <w:tcW w:w="5900" w:type="dxa"/>
            <w:vAlign w:val="bottom"/>
            <w:tcBorders>
              <w:top w:val="single" w:sz="8" w:color="CCEEFF"/>
            </w:tcBorders>
            <w:shd w:val="clear" w:color="auto" w:fill="CCEEFF"/>
          </w:tcPr>
          <w:p>
            <w:pPr>
              <w:spacing w:after="0"/>
              <w:rPr>
                <w:sz w:val="6"/>
                <w:szCs w:val="6"/>
                <w:color w:val="auto"/>
              </w:rPr>
            </w:pPr>
          </w:p>
        </w:tc>
        <w:tc>
          <w:tcPr>
            <w:tcW w:w="25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351"/>
        </w:trPr>
        <w:tc>
          <w:tcPr>
            <w:tcW w:w="5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change in cash</w:t>
            </w:r>
          </w:p>
        </w:tc>
        <w:tc>
          <w:tcPr>
            <w:tcW w:w="2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r>
      <w:tr>
        <w:trPr>
          <w:trHeight w:val="324"/>
        </w:trPr>
        <w:tc>
          <w:tcPr>
            <w:tcW w:w="5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5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 beginning of the period</w:t>
            </w:r>
          </w:p>
        </w:tc>
        <w:tc>
          <w:tcPr>
            <w:tcW w:w="2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r>
      <w:tr>
        <w:trPr>
          <w:trHeight w:val="74"/>
        </w:trPr>
        <w:tc>
          <w:tcPr>
            <w:tcW w:w="5900" w:type="dxa"/>
            <w:vAlign w:val="bottom"/>
            <w:tcBorders>
              <w:top w:val="single" w:sz="8" w:color="CCEEFF"/>
            </w:tcBorders>
            <w:shd w:val="clear" w:color="auto" w:fill="CCEEFF"/>
          </w:tcPr>
          <w:p>
            <w:pPr>
              <w:spacing w:after="0"/>
              <w:rPr>
                <w:sz w:val="6"/>
                <w:szCs w:val="6"/>
                <w:color w:val="auto"/>
              </w:rPr>
            </w:pPr>
          </w:p>
        </w:tc>
        <w:tc>
          <w:tcPr>
            <w:tcW w:w="25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83"/>
        </w:trPr>
        <w:tc>
          <w:tcPr>
            <w:tcW w:w="5900" w:type="dxa"/>
            <w:vAlign w:val="bottom"/>
          </w:tcPr>
          <w:p>
            <w:pPr>
              <w:spacing w:after="0"/>
              <w:rPr>
                <w:sz w:val="20"/>
                <w:szCs w:val="20"/>
                <w:color w:val="auto"/>
              </w:rPr>
            </w:pPr>
            <w:r>
              <w:rPr>
                <w:rFonts w:ascii="Arial" w:cs="Arial" w:eastAsia="Arial" w:hAnsi="Arial"/>
                <w:sz w:val="17"/>
                <w:szCs w:val="17"/>
                <w:b w:val="1"/>
                <w:bCs w:val="1"/>
                <w:color w:val="auto"/>
              </w:rPr>
              <w:t>Cash - end of the period</w:t>
            </w:r>
          </w:p>
        </w:tc>
        <w:tc>
          <w:tcPr>
            <w:tcW w:w="26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r>
      <w:tr>
        <w:trPr>
          <w:trHeight w:val="21"/>
        </w:trPr>
        <w:tc>
          <w:tcPr>
            <w:tcW w:w="5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
        </w:trPr>
        <w:tc>
          <w:tcPr>
            <w:tcW w:w="59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64"/>
        </w:trPr>
        <w:tc>
          <w:tcPr>
            <w:tcW w:w="59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Deferred offering costs paid by Sponsor in exchange for issuance of Class B ordinary shares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$25,000</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ARYA SCIENCES ACQUISITION CORP III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Organization and Business Operations</w:t>
      </w:r>
    </w:p>
    <w:p>
      <w:pPr>
        <w:spacing w:after="0" w:line="176"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ARYA Sciences Acquisition Corp III (the “Company”) was incorporated as a Cayman Islands exempted company on March 27, 2020.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63"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As of April 2, 2020, the Company had not commenced any operations. All activity for the period from March 27, 2020 (inception) through April 2, 2020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16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Company’s sponsor is ARYA Sciences Holdings III, a Cayman Islands exempted limited company (the “Sponsor”). The Company’s ability to commence operations is contingent upon obtaining adequate financial resources through a proposed public offering (the “Proposed Public Offering”) of 13,000,000 Class A ordinary shares (each, a “Public Share” and collectively, the “Public Shares”) at $10.00 per Public Share (or 14,950,000 Public Shares if the underwriters’ over-allotment option is exercised in full), which is discussed in Note 3, and the sale of 460,000 Class A ordinary shares (or 499,000 Class A ordinary shares if the underwriters’ over-allotment option is exercised in full) (each, a “Private Placement Share” and collectively, the “Private Placement Shares”), at a price of $10.00 per Private Placement Share in a private placement to the Sponsor that will close simultaneously with the Proposed Public Offering.</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(excluding the amount of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Upon the closing of the Proposed Public Offering, management has agreed that an amount equal to at least $10.00 per Public Share sold in the Proposed Public Offering, including the proceeds from the sale of the Private Placement Shares, will be held in a trust account (“Trust Account”), located in the United States at J.P. Morgan Chase Bank, N.A., with Continental Stock Transfer &amp; Trust Company acting as trustee, and will be invested only in U.S. government securities, within the meaning set forth in Section 2(a)(16) of the Investment Company Act, with a maturity of 185 days or less or in money market fund meeting the conditions of paragraphs (d)(1), (d)(2), (d)(3) and (d)(4) of Rule 2a-7 of the Investment Company Act, as determined by the Company, until the earlier of: (i) the completion of a Business Combination and (ii) the distribution of the Trust Account as described below.</w:t>
      </w:r>
    </w:p>
    <w:p>
      <w:pPr>
        <w:spacing w:after="0" w:line="2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Company will provide the holders (the “Public Shareholders”) of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the underwriters (as discussed in Note 5).</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These Public Shares will be classified as temporary equity upon the completion of the Proposed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which the Company will adopt upon the consummation of the Proposed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have agreed to vote their Founder Shares (as defined below in Note 4) and any Public Shares purchased during or after the Proposed Public Offering in favor of a Business Combination. Subsequent to the consummation of the Proposed Public Offering, the Company will adopt an insider trading policy which will require insiders to: (i) refrain from purchasing shares during certain blackout periods and when they are in possession of any material non-public information and (ii) to clear all trades with the Company’s legal counsel prior to execution. In addition, the initial shareholders have agreed to waive their redemption rights with respect to their Founder Shares, Private Placement Shares and Public Shares in connection with the completion of a Business Combination.</w:t>
      </w:r>
    </w:p>
    <w:p>
      <w:pPr>
        <w:spacing w:after="0" w:line="17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Notwithstanding the foregoing, if the Company seeks shareholder approval of its Business Combination and does not conduct redemptions in connection with its Business Combination pursuant to the tender offer rules,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Class A ordinary shares sold in the Proposed Public Offering, without the prior consent of the Company.</w:t>
      </w:r>
    </w:p>
    <w:p>
      <w:pPr>
        <w:spacing w:after="0" w:line="16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Company’s Sponsor, officers and directors (the “initial shareholders”) have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Proposed Public Offering (the “Combination Period”) or with respect to any other provision relating to the rights of Public Shareholders, unless the Company provides the Public Shareholders with the opportunity to redeem their Class A ordinary shares in conjunction with any such amendment.</w:t>
      </w:r>
    </w:p>
    <w:p>
      <w:pPr>
        <w:spacing w:after="0" w:line="151"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w:t>
      </w:r>
    </w:p>
    <w:p>
      <w:pPr>
        <w:ind w:right="120" w:firstLine="8"/>
        <w:spacing w:after="0" w:line="236" w:lineRule="auto"/>
        <w:tabs>
          <w:tab w:leader="none" w:pos="275" w:val="left"/>
        </w:tabs>
        <w:numPr>
          <w:ilvl w:val="0"/>
          <w:numId w:val="38"/>
        </w:numPr>
        <w:rPr>
          <w:rFonts w:ascii="Arial" w:cs="Arial" w:eastAsia="Arial" w:hAnsi="Arial"/>
          <w:sz w:val="17"/>
          <w:szCs w:val="17"/>
          <w:color w:val="auto"/>
        </w:rPr>
      </w:pPr>
      <w:r>
        <w:rPr>
          <w:rFonts w:ascii="Arial" w:cs="Arial" w:eastAsia="Arial" w:hAnsi="Arial"/>
          <w:sz w:val="17"/>
          <w:szCs w:val="17"/>
          <w:color w:val="auto"/>
        </w:rPr>
        <w:t>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w:t>
      </w:r>
    </w:p>
    <w:p>
      <w:pPr>
        <w:spacing w:after="0" w:line="163"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The initial shareholders have agreed to waive their liquidation rights with respect to the Founder Shares and Private Placement Shares held by them if the Company fails to complete a Business Combination within the Combination Period. However, if the initial shareholders acquire Public Shares in or after the Proposed Public Offering, they will be entitled 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w:t>
      </w:r>
    </w:p>
    <w:p>
      <w:pPr>
        <w:ind w:right="80" w:firstLine="8"/>
        <w:spacing w:after="0" w:line="235" w:lineRule="auto"/>
        <w:tabs>
          <w:tab w:leader="none" w:pos="199" w:val="left"/>
        </w:tabs>
        <w:numPr>
          <w:ilvl w:val="0"/>
          <w:numId w:val="39"/>
        </w:numPr>
        <w:rPr>
          <w:rFonts w:ascii="Arial" w:cs="Arial" w:eastAsia="Arial" w:hAnsi="Arial"/>
          <w:sz w:val="17"/>
          <w:szCs w:val="17"/>
          <w:color w:val="auto"/>
        </w:rPr>
      </w:pPr>
      <w:r>
        <w:rPr>
          <w:rFonts w:ascii="Arial" w:cs="Arial" w:eastAsia="Arial" w:hAnsi="Arial"/>
          <w:sz w:val="17"/>
          <w:szCs w:val="17"/>
          <w:color w:val="auto"/>
        </w:rPr>
        <w:t>$10.00 per Public Share and (ii) the actual amount per Public Share held in the Trust Account as of the date of the liquidation of the Trust Account if less than $10.00 per Public Share due to reductions in the value of the trust assets. This liability will not apply with respect to any claims by a third party who executed a waiver of any right, title, interest or claim of any kind in or to any monies held in the Trust Account or to any claims under the Company’s indemnity of the underwriters of the Proposed Public Offering against certain liabilities, including liabilities under the Securities Act of 1933, as amended (the “Securities Act”).</w:t>
      </w:r>
    </w:p>
    <w:p>
      <w:pPr>
        <w:spacing w:after="0" w:line="16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54"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44"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The Company does not have sufficient liquidity to meet its anticipated obligations over the next year from the date of issuance of these financial statements. In connection with the Company’s assessment of going concern considerations in accordance with FASB’s Accounting Standards Update (“ASU”) 2014-15, “Disclosures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at which time the Company will have sufficient working capital, or one year from the issuance of these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54"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Ordinary Share</w:t>
      </w:r>
    </w:p>
    <w:p>
      <w:pPr>
        <w:spacing w:after="0" w:line="54"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Net loss per share is computed by dividing net loss by the weighted average number of ordinary shares outstanding during the period. At April 2, 2020, the Company did not have any dilutive securities and other contracts that could, potentially, be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exercised or converted into ordinary shares and then share in the earnings of the Company. As a result, diluted loss per share is the same as basic loss per share for the period presented.</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5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Instruments</w:t>
      </w:r>
    </w:p>
    <w:p>
      <w:pPr>
        <w:spacing w:after="0" w:line="54"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the FASB ASC 820, “Fair Value Measurements and Disclosures,” approximates the carrying amounts represented in the balance sheet.</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 Associated with the Proposed Public Offering</w:t>
      </w:r>
    </w:p>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Deferred offering costs consist of legal, accounting, underwriting fees and other costs incurred through the balance sheet date that are directly related to the Proposed Public Offering and that will be charged to shareholder’s equity upon the completion of the Proposed Public Offering. Should the Proposed Public Offering prove to be unsuccessful, these deferred costs, as well as additional expenses to be incurred, will be charged to operations.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54"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63"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April 2, 2020.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for the period from March 27, 2020 (inception) through April 2, 2020. The Company is currently not aware of any issues under review that could result in significant payments, accruals or material deviation from its position. The Company is subject to income tax examinations by major taxing authorities since inception. There is currently no taxation imposed on income by the Government of the Cayman Islands. In accordance with Cayman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54"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Management does not believe that any recently issued, but not yet effective, accounting standards if currently adopted would have a material effect on the accompanying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Proposed Public Offering</w:t>
      </w:r>
    </w:p>
    <w:p>
      <w:pPr>
        <w:spacing w:after="0" w:line="189"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Pursuant to the Proposed Public Offering, the Company intends to offer for sale 13,000,000 Public Shares (or 14,950,000 Public Shares if the underwriter’s over-allotment option is exercised in full) at a price of $10.00 per Public Share.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Related Party Transactions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Founder Shares</w:t>
      </w:r>
    </w:p>
    <w:p>
      <w:pPr>
        <w:spacing w:after="0" w:line="5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On April 2, 2020, the Sponsor paid $25,000 to cover certain offering costs of the Company in consideration of 3,593,750 Class B ordinary shares, par value $0.0001, (the “Founder Shares”). In July 2020, the Sponsor transferred an aggregate of 90,000 Founder Shares to the Company’s independent director nominees. On August 6, 2020, the Company effected a share capitalization resulting in the initial shareholders holding 3,737,500 Founder Shares. All shares and the associated amounts have been retroactively restated to reflect the share capitalization. The Sponsor has agreed to forfeit up to 487,500 Founder Shares to the extent that the over-allotment option is not exercised in full by the underwriters. The forfeiture will be adjusted to the extent that the over-allotment option is not exercised in full by the underwriters so that the Founder Shares will represent 20.0% of the Company’s issued and outstanding ordinary shares (excluding the Private Placement Shares and assuming the initial shareholders do not purchase any Public Shares in the Proposed Public Offering) after the Proposed Public Offering. The initial shareholders will agree, subject to limited exceptions, not to transfer, assign or sell any of their Founder Shares until the earlier to occur of: (A) one year after the completion of the initial Business Combination and (B) subsequent to the initial Business Combination, (x) if the closing price of the Company’s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Private Placement Share</w:t>
      </w:r>
    </w:p>
    <w:p>
      <w:pPr>
        <w:spacing w:after="0" w:line="54"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Sponsor will agree to purchase an aggregate of 460,000 Private Placement Shares (or 499,000 Private Placement Shares if the underwriters’ over-allotment option is exercised in full), at a price of $10.00 per Private Placement Share ($4.6 million in the aggregate, or $4.99 million if the underwriters’ over-allotment option is exercised in full) in a private placement that will occur simultaneously with the closing of the Proposed Public Offering. The Private Placement Shares will not be transferable or salable until 30 days after the completion of the initial Business Combination.</w:t>
      </w:r>
    </w:p>
    <w:p>
      <w:pPr>
        <w:spacing w:after="0" w:line="16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proceeds from the Private Placement Shares will be added to the proceeds from the Proposed Public Offering to be held in the Trust Account. If the Company does not complete a Business Combination within the Combination Period, the Private Placement Shares</w:t>
      </w:r>
    </w:p>
    <w:p>
      <w:pPr>
        <w:spacing w:after="0" w:line="14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Sponsor and the Company’s officers and directors will agree, subject to limited exceptions, not to transfer, assign or sell any of their Private Placement Shares until 30 days after the completion of the initial Business Combination.</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Loans</w:t>
      </w:r>
    </w:p>
    <w:p>
      <w:pPr>
        <w:spacing w:after="0" w:line="5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On April 2, 2020, the Sponsor agreed to loan the Company an aggregate of up to $300,000 to cover for expenses related to the Proposed Public Offering pursuant to a promissory note (the “Note”). This loan is non-interest bearing and payable on the earlier of December 31, 2020 and the completion of the Proposed Public Offering. As of April 2, 2020, the Company has not borrowed any amount under the Note. Subsequent to April 2, 2020, the Company borrowed $200,000 under the Note.</w:t>
      </w:r>
    </w:p>
    <w:p>
      <w:pPr>
        <w:spacing w:after="0" w:line="150"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shares of the post Business Combination entity at a price of $10.00 per share. The shares would be identical to the Private Placement Shares. To date, the Company had no outstanding borrowings under the Working Capital Loans.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Administrative Support Agreement</w:t>
      </w:r>
    </w:p>
    <w:p>
      <w:pPr>
        <w:spacing w:after="0" w:line="5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Commencing on the date that the Company’s securities are first listed on the Nasdaq through the earlier of consummation of the initial Business Combination and the Company’s liquidation, the Company will reimburse the Sponsor for office space, secretarial and administrative services provided to the Company in the amount of $10,000 per month.</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 Purchase Arrangement</w:t>
      </w:r>
    </w:p>
    <w:p>
      <w:pPr>
        <w:spacing w:after="0" w:line="4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Sponsor has indicated an interest to purchase up to an aggregate of $25 million of the Company’s ordinary shares in a private placement that would occur concurrently with the consummation of the initial Business Combination. However, because indications of interest are not binding agreements or commitments to purchase, the Sponsor may determine not to purchase any such shares, or to purchase fewer shares than it has indicated an interest in purchasing. Furthermore, the Company is not under any obligation to sell any such shares.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Commitments &amp; Contingencies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w:t>
      </w:r>
    </w:p>
    <w:p>
      <w:pPr>
        <w:spacing w:after="0" w:line="5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holders of Founder Shares, Private Placement Shares and Private Placement Shares that may be issued upon conversion of working capital loans, will be entitled to registration rights pursuant to a registration and shareholder rights agreement to be signed upon consummation of the Proposed Public Offering.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its Business Combination. However, the registration and shareholder rights agreement provides that the Company will not permit any registration statement filed under the Securities Act to become effective until termination of the applicable lock-up period, which occurs (i) in the case of the Founder Shares, in accordance with the letter agreement the Company’s initial shareholders entered into and (ii) in the case of the Private Placement Shares, 30 days after the completion of the Company’ s Business Combination. The Company will bear the expenses incurred in connection with the filing of any such registration statements.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Underwriting Agreement</w:t>
      </w:r>
    </w:p>
    <w:p>
      <w:pPr>
        <w:spacing w:after="0" w:line="41"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The Company will grant the underwriters a 45-day option from the final prospectus relating to the Proposed Public Offering to purchase up to 1,950,000 additional Public Shares to cover over-allotments, if any, at the Proposed Public Offering price less the underwriting discounts and commissions.</w:t>
      </w:r>
    </w:p>
    <w:p>
      <w:pPr>
        <w:spacing w:after="0" w:line="16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underwriters will be entitled to an underwriting discount of $0.20 per Public Share, or $2.6 million in the aggregate (or $2.99 million in the aggregate if the underwriters’ over-allotment option is exercised in full), payable upon the closing of the Proposed Public Offering. In addition, $0.35 per Public Share, or approximately $4.55 million in the aggregate (or approximately $5.23 million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Shareholder’s Equity</w:t>
      </w:r>
    </w:p>
    <w:p>
      <w:pPr>
        <w:spacing w:after="0" w:line="156"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b w:val="1"/>
          <w:bCs w:val="1"/>
          <w:i w:val="1"/>
          <w:iCs w:val="1"/>
          <w:color w:val="auto"/>
        </w:rPr>
        <w:t xml:space="preserve">Class A Ordinary Shares — </w:t>
      </w:r>
      <w:r>
        <w:rPr>
          <w:rFonts w:ascii="Arial" w:cs="Arial" w:eastAsia="Arial" w:hAnsi="Arial"/>
          <w:sz w:val="17"/>
          <w:szCs w:val="17"/>
          <w:color w:val="auto"/>
        </w:rPr>
        <w:t>The Company is authorized to issue 479,000,000 Class A ordinary shares with a par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of $0.0001 per share. As of April 2, 2020, there were no Class A ordinary shares issued or outstanding.</w:t>
      </w:r>
    </w:p>
    <w:p>
      <w:pPr>
        <w:spacing w:after="0" w:line="119"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b w:val="1"/>
          <w:bCs w:val="1"/>
          <w:i w:val="1"/>
          <w:iCs w:val="1"/>
          <w:color w:val="auto"/>
        </w:rPr>
        <w:t xml:space="preserve">Class B Ordinary Shares — </w:t>
      </w:r>
      <w:r>
        <w:rPr>
          <w:rFonts w:ascii="Arial" w:cs="Arial" w:eastAsia="Arial" w:hAnsi="Arial"/>
          <w:sz w:val="17"/>
          <w:szCs w:val="17"/>
          <w:color w:val="auto"/>
        </w:rPr>
        <w:t>The Company is authorized to issue 20,000,000 Class B ordinary shares with a par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$0.0001 per share. On April 2, 2020, the Company issued 3,593,750 Class B ordinary shares. On August 6, 2020, the Company effected a share capitalization resulting in the initial shareholders holding 3,737,500 Founder Shares, of</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which up to 487,500 shares are subject to forfeiture to the Company by the Sponsor for no consideration to the extent that the underwriter’s over-allotment option is not exercised in full or in part, so that the initial shareholders will collectively own 20% of the Company’s issued and outstanding ordinary shares (excluding the Private Placement Shares and assuming the initial shareholders do not purchase any shares in the Proposed Public Offering) (See Note 4). All shares and the associated amounts have ben retroactively restated to reflect the share capitalization.</w:t>
      </w:r>
    </w:p>
    <w:p>
      <w:pPr>
        <w:spacing w:after="0" w:line="16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Holders of the Class A ordinary shares and holders of the Class B ordinary shares will vote together as a single class on all matters submitted to a vote of our shareholders, except as required by law or stock exchange rule; provided that only holders of the Class B ordinary shares have the right to vote on the election of the Company’s directors prior to the initial Business Combination and holders of a majority of the Company’s Class B ordinary shares may remove a member of the board of directors for any reason.</w:t>
      </w:r>
    </w:p>
    <w:p>
      <w:pPr>
        <w:spacing w:after="0" w:line="163"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The Class B ordinary shares will automatically convert into Class A ordinary shares on the first business day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the consummation of the Proposed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the Sponsor, members of the Company’s management team or any of their affiliates upon conversion of Working Capital Loans. In no event will the Class B ordinary shares convert into Class A ordinary shares at a rate of less than one-to one.</w:t>
      </w:r>
    </w:p>
    <w:p>
      <w:pPr>
        <w:spacing w:after="0" w:line="13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b w:val="1"/>
          <w:bCs w:val="1"/>
          <w:i w:val="1"/>
          <w:iCs w:val="1"/>
          <w:color w:val="auto"/>
        </w:rPr>
        <w:t xml:space="preserve">Preference Shares — </w:t>
      </w:r>
      <w:r>
        <w:rPr>
          <w:rFonts w:ascii="Arial" w:cs="Arial" w:eastAsia="Arial" w:hAnsi="Arial"/>
          <w:sz w:val="17"/>
          <w:szCs w:val="17"/>
          <w:color w:val="auto"/>
        </w:rPr>
        <w:t>The Company is authorized to issue 1,000,000 preference shares with such designations,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other rights and preferences as may be determined from time to time by the Company’s board of directors. As of April 2, 2020, there were no preference shares issued or outstanding.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Subsequent Events</w:t>
      </w:r>
    </w:p>
    <w:p>
      <w:pPr>
        <w:spacing w:after="0" w:line="176"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dates up to August 10, 2020, the date that the financial statements were available to be issued. Other than as described below, the Company did not identify any subsequent events that would have required adjustment or disclosure in the financial statements.</w:t>
      </w:r>
    </w:p>
    <w:p>
      <w:pPr>
        <w:spacing w:after="0" w:line="16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Subsequent to April 2, 2020, the Company borrowed $200,000 under the Note. In July 2020, the Sponsor transferred an aggregate of 90,000 Founder Shares to the Company’s independent director nominees. On August 6, 2020, the Company effected a share capitalization resulting in the initial shareholders holding 3,737,500 Founder Shares, of which up to an aggregate of 487,500 shares are subject to forfeiture. All share and per-share amounts have been retroactively restated to reflect the share capitalization.</w:t>
      </w:r>
    </w:p>
    <w:p>
      <w:pPr>
        <w:spacing w:after="0" w:line="163" w:lineRule="exact"/>
        <w:rPr>
          <w:sz w:val="20"/>
          <w:szCs w:val="20"/>
          <w:color w:val="auto"/>
        </w:rPr>
      </w:pPr>
    </w:p>
    <w:p>
      <w:pPr>
        <w:ind w:right="520"/>
        <w:spacing w:after="0" w:line="243" w:lineRule="auto"/>
        <w:rPr>
          <w:sz w:val="20"/>
          <w:szCs w:val="20"/>
          <w:color w:val="auto"/>
        </w:rPr>
      </w:pPr>
      <w:r>
        <w:rPr>
          <w:rFonts w:ascii="Arial" w:cs="Arial" w:eastAsia="Arial" w:hAnsi="Arial"/>
          <w:sz w:val="17"/>
          <w:szCs w:val="17"/>
          <w:color w:val="auto"/>
        </w:rPr>
        <w:t>As a result of the execution of the underwriting agreement on August 6, 2020, the financial statements have been modified to reflect the final terms of the agreement.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76072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607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57607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13,000,000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36"/>
          <w:szCs w:val="36"/>
          <w:b w:val="1"/>
          <w:bCs w:val="1"/>
          <w:color w:val="auto"/>
        </w:rPr>
        <w:t>ARYA SCIENCES ACQUISITION CORP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796290</wp:posOffset>
            </wp:positionV>
            <wp:extent cx="192024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740"/>
        <w:spacing w:after="0"/>
        <w:rPr>
          <w:sz w:val="20"/>
          <w:szCs w:val="20"/>
          <w:color w:val="auto"/>
        </w:rPr>
      </w:pPr>
      <w:r>
        <w:rPr>
          <w:rFonts w:ascii="Arial" w:cs="Arial" w:eastAsia="Arial" w:hAnsi="Arial"/>
          <w:sz w:val="23"/>
          <w:szCs w:val="23"/>
          <w:b w:val="1"/>
          <w:bCs w:val="1"/>
          <w:color w:val="auto"/>
        </w:rPr>
        <w:t>PROSPECTUS</w:t>
      </w:r>
    </w:p>
    <w:p>
      <w:pPr>
        <w:spacing w:after="0" w:line="235" w:lineRule="exact"/>
        <w:rPr>
          <w:sz w:val="20"/>
          <w:szCs w:val="20"/>
          <w:color w:val="auto"/>
        </w:rPr>
      </w:pPr>
    </w:p>
    <w:p>
      <w:pPr>
        <w:ind w:left="3720"/>
        <w:spacing w:after="0"/>
        <w:rPr>
          <w:sz w:val="20"/>
          <w:szCs w:val="20"/>
          <w:color w:val="auto"/>
        </w:rPr>
      </w:pPr>
      <w:r>
        <w:rPr>
          <w:rFonts w:ascii="Arial" w:cs="Arial" w:eastAsia="Arial" w:hAnsi="Arial"/>
          <w:sz w:val="23"/>
          <w:szCs w:val="23"/>
          <w:b w:val="1"/>
          <w:bCs w:val="1"/>
          <w:color w:val="auto"/>
        </w:rPr>
        <w:t>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121285</wp:posOffset>
            </wp:positionV>
            <wp:extent cx="192024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Joint Book-Running Managers</w:t>
      </w:r>
    </w:p>
    <w:p>
      <w:pPr>
        <w:spacing w:after="0" w:line="262" w:lineRule="exact"/>
        <w:rPr>
          <w:sz w:val="20"/>
          <w:szCs w:val="20"/>
          <w:color w:val="auto"/>
        </w:rPr>
      </w:pPr>
    </w:p>
    <w:p>
      <w:pPr>
        <w:jc w:val="both"/>
        <w:ind w:left="1560"/>
        <w:spacing w:after="0"/>
        <w:tabs>
          <w:tab w:leader="none" w:pos="4800" w:val="left"/>
        </w:tabs>
        <w:rPr>
          <w:sz w:val="20"/>
          <w:szCs w:val="20"/>
          <w:color w:val="auto"/>
        </w:rPr>
      </w:pPr>
      <w:r>
        <w:rPr>
          <w:rFonts w:ascii="Arial" w:cs="Arial" w:eastAsia="Arial" w:hAnsi="Arial"/>
          <w:sz w:val="32"/>
          <w:szCs w:val="32"/>
          <w:b w:val="1"/>
          <w:bCs w:val="1"/>
          <w:color w:val="auto"/>
        </w:rPr>
        <w:t>Jefferies</w:t>
      </w:r>
      <w:r>
        <w:rPr>
          <w:sz w:val="20"/>
          <w:szCs w:val="20"/>
          <w:color w:val="auto"/>
        </w:rPr>
        <w:tab/>
      </w:r>
      <w:r>
        <w:rPr>
          <w:rFonts w:ascii="Arial" w:cs="Arial" w:eastAsia="Arial" w:hAnsi="Arial"/>
          <w:sz w:val="32"/>
          <w:szCs w:val="32"/>
          <w:b w:val="1"/>
          <w:bCs w:val="1"/>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39"/>
        <w:spacing w:after="0" w:line="236" w:lineRule="auto"/>
        <w:rPr>
          <w:sz w:val="20"/>
          <w:szCs w:val="20"/>
          <w:color w:val="auto"/>
        </w:rPr>
      </w:pPr>
      <w:r>
        <w:rPr>
          <w:rFonts w:ascii="Arial" w:cs="Arial" w:eastAsia="Arial" w:hAnsi="Arial"/>
          <w:sz w:val="17"/>
          <w:szCs w:val="17"/>
          <w:color w:val="auto"/>
        </w:rPr>
        <w:t>Until August 31, 2020 (25 days after the date of this prospectus), all dealers that buy, sell or trade our 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57607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5760720"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sectPr>
      <w:pgSz w:w="11900" w:h="16838" w:orient="portrait"/>
      <w:cols w:equalWidth="0" w:num="1">
        <w:col w:w="9059"/>
      </w:cols>
      <w:pgMar w:left="140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upperLetter"/>
      <w:start w:val="1"/>
    </w:lvl>
  </w:abstractNum>
  <w:abstractNum w:abstractNumId="4">
    <w:nsid w:val="721DA317"/>
    <w:multiLevelType w:val="hybridMultilevel"/>
    <w:lvl w:ilvl="0">
      <w:lvlJc w:val="left"/>
      <w:lvlText w:val="(%1)"/>
      <w:numFmt w:val="lowerRoman"/>
      <w:start w:val="2"/>
    </w:lvl>
  </w:abstractNum>
  <w:abstractNum w:abstractNumId="5">
    <w:nsid w:val="2443A858"/>
    <w:multiLevelType w:val="hybridMultilevel"/>
    <w:lvl w:ilvl="0">
      <w:lvlJc w:val="left"/>
      <w:lvlText w:val="(%1)"/>
      <w:numFmt w:val="lowerRoman"/>
      <w:start w:val="3"/>
    </w:lvl>
  </w:abstractNum>
  <w:abstractNum w:abstractNumId="6">
    <w:nsid w:val="2D1D5AE9"/>
    <w:multiLevelType w:val="hybridMultilevel"/>
    <w:lvl w:ilvl="0">
      <w:lvlJc w:val="left"/>
      <w:lvlText w:val="(%1)"/>
      <w:numFmt w:val="lowerRoman"/>
      <w:start w:val="3"/>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4"/>
    </w:lvl>
  </w:abstractNum>
  <w:abstractNum w:abstractNumId="9">
    <w:nsid w:val="8EDBDAB"/>
    <w:multiLevelType w:val="hybridMultilevel"/>
    <w:lvl w:ilvl="0">
      <w:lvlJc w:val="left"/>
      <w:lvlText w:val="(%1)"/>
      <w:numFmt w:val="upperLetter"/>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lowerRoman"/>
      <w:start w:val="2"/>
    </w:lvl>
  </w:abstractNum>
  <w:abstractNum w:abstractNumId="14">
    <w:nsid w:val="54E49EB4"/>
    <w:multiLevelType w:val="hybridMultilevel"/>
    <w:lvl w:ilvl="0">
      <w:lvlJc w:val="left"/>
      <w:lvlText w:val="%1"/>
      <w:numFmt w:val="upperLetter"/>
      <w:start w:val="35"/>
    </w:lvl>
  </w:abstractNum>
  <w:abstractNum w:abstractNumId="15">
    <w:nsid w:val="71F32454"/>
    <w:multiLevelType w:val="hybridMultilevel"/>
    <w:lvl w:ilvl="0">
      <w:lvlJc w:val="left"/>
      <w:lvlText w:val="(%1)"/>
      <w:numFmt w:val="lowerLetter"/>
      <w:start w:val="2"/>
    </w:lvl>
  </w:abstractNum>
  <w:abstractNum w:abstractNumId="16">
    <w:nsid w:val="2CA88611"/>
    <w:multiLevelType w:val="hybridMultilevel"/>
    <w:lvl w:ilvl="0">
      <w:lvlJc w:val="left"/>
      <w:lvlText w:val="(%1)"/>
      <w:numFmt w:val="lowerRoman"/>
      <w:start w:val="2"/>
    </w:lvl>
  </w:abstractNum>
  <w:abstractNum w:abstractNumId="17">
    <w:nsid w:val="836C40E"/>
    <w:multiLevelType w:val="hybridMultilevel"/>
    <w:lvl w:ilvl="0">
      <w:lvlJc w:val="left"/>
      <w:lvlText w:val="(%1)"/>
      <w:numFmt w:val="upperLetter"/>
      <w:start w:val="2"/>
    </w:lvl>
  </w:abstractNum>
  <w:abstractNum w:abstractNumId="18">
    <w:nsid w:val="2901D82"/>
    <w:multiLevelType w:val="hybridMultilevel"/>
    <w:lvl w:ilvl="0">
      <w:lvlJc w:val="left"/>
      <w:lvlText w:val="(%1)"/>
      <w:numFmt w:val="lowerRoman"/>
      <w:start w:val="1"/>
    </w:lvl>
  </w:abstractNum>
  <w:abstractNum w:abstractNumId="19">
    <w:nsid w:val="3A95F874"/>
    <w:multiLevelType w:val="hybridMultilevel"/>
    <w:lvl w:ilvl="0">
      <w:lvlJc w:val="left"/>
      <w:lvlText w:val="(%1)"/>
      <w:numFmt w:val="lowerLetter"/>
      <w:start w:val="3"/>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upperLetter"/>
      <w:start w:val="1"/>
    </w:lvl>
  </w:abstractNum>
  <w:abstractNum w:abstractNumId="23">
    <w:nsid w:val="737B8DDC"/>
    <w:multiLevelType w:val="hybridMultilevel"/>
    <w:lvl w:ilvl="0">
      <w:lvlJc w:val="left"/>
      <w:lvlText w:val="(%1)"/>
      <w:numFmt w:val="lowerLetter"/>
      <w:start w:val="4"/>
    </w:lvl>
  </w:abstractNum>
  <w:abstractNum w:abstractNumId="24">
    <w:nsid w:val="6CEAF087"/>
    <w:multiLevelType w:val="hybridMultilevel"/>
    <w:lvl w:ilvl="0">
      <w:lvlJc w:val="left"/>
      <w:lvlText w:val="(%1)"/>
      <w:numFmt w:val="upperLetter"/>
      <w:start w:val="2"/>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8"/>
    </w:lvl>
  </w:abstractNum>
  <w:abstractNum w:abstractNumId="28">
    <w:nsid w:val="614FD4A1"/>
    <w:multiLevelType w:val="hybridMultilevel"/>
    <w:lvl w:ilvl="0">
      <w:lvlJc w:val="left"/>
      <w:lvlText w:val="(%1)"/>
      <w:numFmt w:val="upperLetter"/>
      <w:start w:val="2"/>
    </w:lvl>
  </w:abstractNum>
  <w:abstractNum w:abstractNumId="29">
    <w:nsid w:val="419AC241"/>
    <w:multiLevelType w:val="hybridMultilevel"/>
    <w:lvl w:ilvl="0">
      <w:lvlJc w:val="left"/>
      <w:lvlText w:val="%1."/>
      <w:numFmt w:val="decimal"/>
      <w:start w:val="2"/>
    </w:lvl>
  </w:abstractNum>
  <w:abstractNum w:abstractNumId="30">
    <w:nsid w:val="5577F8E1"/>
    <w:multiLevelType w:val="hybridMultilevel"/>
    <w:lvl w:ilvl="0">
      <w:lvlJc w:val="left"/>
      <w:lvlText w:val="(%1)"/>
      <w:numFmt w:val="lowerRoman"/>
      <w:start w:val="2"/>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lowerRoman"/>
      <w:start w:val="2"/>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lowerRoman"/>
      <w:start w:val="3"/>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2020-08-10T16:23:05Z</dcterms:created>
  <dcterms:modified xsi:type="dcterms:W3CDTF">2020-08-10T16:23:05Z</dcterms:modified>
</cp:coreProperties>
</file>