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_____________________________________________________________________</w:t>
      </w:r>
    </w:p>
    <w:p>
      <w:pPr>
        <w:pStyle w:val="TextBody"/>
        <w:bidi w:val="0"/>
        <w:spacing w:lineRule="auto" w:line="333" w:before="100" w:after="283"/>
        <w:jc w:val="center"/>
        <w:rPr>
          <w:rFonts w:ascii="Times New Roman;serif" w:hAnsi="Times New Roman;serif"/>
          <w:b/>
          <w:color w:val="000000"/>
          <w:sz w:val="32"/>
        </w:rPr>
      </w:pPr>
      <w:r>
        <w:rPr>
          <w:rFonts w:ascii="Times New Roman;serif" w:hAnsi="Times New Roman;serif"/>
          <w:b/>
          <w:color w:val="000000"/>
          <w:sz w:val="32"/>
        </w:rPr>
        <w:t>SCHEDULE 14A</w:t>
      </w:r>
    </w:p>
    <w:p>
      <w:pPr>
        <w:pStyle w:val="TextBody"/>
        <w:bidi w:val="0"/>
        <w:spacing w:lineRule="auto" w:line="333" w:before="120" w:after="283"/>
        <w:jc w:val="center"/>
        <w:rPr>
          <w:rFonts w:ascii="Times New Roman;serif" w:hAnsi="Times New Roman;serif"/>
          <w:b/>
          <w:color w:val="000000"/>
          <w:sz w:val="24"/>
        </w:rPr>
      </w:pPr>
      <w:r>
        <w:rPr>
          <w:rFonts w:ascii="Times New Roman;serif" w:hAnsi="Times New Roman;serif"/>
          <w:b/>
          <w:color w:val="000000"/>
          <w:sz w:val="24"/>
        </w:rPr>
        <w:t>Proxy Statement Pursuant to Section 14(a) of the</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333" w:before="0" w:after="0"/>
        <w:jc w:val="center"/>
        <w:rPr>
          <w:rFonts w:ascii="Times New Roman;serif" w:hAnsi="Times New Roman;serif"/>
          <w:b/>
          <w:color w:val="000000"/>
          <w:sz w:val="14"/>
        </w:rPr>
      </w:pPr>
      <w:r>
        <w:rPr>
          <w:rFonts w:ascii="Times New Roman;serif" w:hAnsi="Times New Roman;serif"/>
          <w:b/>
          <w:color w:val="000000"/>
          <w:sz w:val="14"/>
        </w:rPr>
        <w:t>_____________________________________________________________________</w:t>
      </w:r>
    </w:p>
    <w:tbl>
      <w:tblPr>
        <w:tblW w:w="4077" w:type="dxa"/>
        <w:jc w:val="left"/>
        <w:tblInd w:w="0" w:type="dxa"/>
        <w:tblLayout w:type="fixed"/>
        <w:tblCellMar>
          <w:top w:w="28" w:type="dxa"/>
          <w:left w:w="28" w:type="dxa"/>
          <w:bottom w:w="28" w:type="dxa"/>
          <w:right w:w="28" w:type="dxa"/>
        </w:tblCellMar>
      </w:tblPr>
      <w:tblGrid>
        <w:gridCol w:w="1342"/>
        <w:gridCol w:w="1179"/>
        <w:gridCol w:w="1184"/>
        <w:gridCol w:w="109"/>
        <w:gridCol w:w="109"/>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Filed by the Registrant </w:t>
            </w:r>
            <w:r>
              <w:rPr>
                <w:rFonts w:ascii="Wingdings;sans-serif" w:hAnsi="Wingdings;sans-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Filed by a Party other than the Registrant </w:t>
            </w: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964" w:type="dxa"/>
        <w:jc w:val="left"/>
        <w:tblInd w:w="0" w:type="dxa"/>
        <w:tblLayout w:type="fixed"/>
        <w:tblCellMar>
          <w:top w:w="28" w:type="dxa"/>
          <w:left w:w="28" w:type="dxa"/>
          <w:bottom w:w="28" w:type="dxa"/>
          <w:right w:w="28" w:type="dxa"/>
        </w:tblCellMar>
      </w:tblPr>
      <w:tblGrid>
        <w:gridCol w:w="413"/>
        <w:gridCol w:w="363"/>
        <w:gridCol w:w="363"/>
        <w:gridCol w:w="1991"/>
        <w:gridCol w:w="1991"/>
        <w:gridCol w:w="2843"/>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r>
      <w:tr>
        <w:trPr/>
        <w:tc>
          <w:tcPr>
            <w:tcW w:w="79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NAUTILUS BIOTECHNOLOGY, INC.</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(Name of Registrant as Specified In Its Charter)</w:t>
      </w:r>
    </w:p>
    <w:p>
      <w:pPr>
        <w:pStyle w:val="TextBody"/>
        <w:bidi w:val="0"/>
        <w:spacing w:lineRule="auto" w:line="333" w:before="240" w:after="283"/>
        <w:jc w:val="center"/>
        <w:rPr>
          <w:rFonts w:ascii="Times New Roman;serif" w:hAnsi="Times New Roman;serif"/>
          <w:b/>
          <w:color w:val="000000"/>
          <w:sz w:val="16"/>
        </w:rPr>
      </w:pPr>
      <w:r>
        <w:rPr>
          <w:rFonts w:ascii="Times New Roman;serif" w:hAnsi="Times New Roman;serif"/>
          <w:b/>
          <w:color w:val="000000"/>
          <w:sz w:val="16"/>
        </w:rPr>
        <w:t>(Name of Person(s) Filing Proxy Statement, if other than the Registrant)</w:t>
      </w:r>
    </w:p>
    <w:tbl>
      <w:tblPr>
        <w:tblW w:w="9839" w:type="dxa"/>
        <w:jc w:val="left"/>
        <w:tblInd w:w="0" w:type="dxa"/>
        <w:tblLayout w:type="fixed"/>
        <w:tblCellMar>
          <w:top w:w="28" w:type="dxa"/>
          <w:left w:w="28" w:type="dxa"/>
          <w:bottom w:w="28" w:type="dxa"/>
          <w:right w:w="28" w:type="dxa"/>
        </w:tblCellMar>
      </w:tblPr>
      <w:tblGrid>
        <w:gridCol w:w="518"/>
        <w:gridCol w:w="455"/>
        <w:gridCol w:w="455"/>
        <w:gridCol w:w="1311"/>
        <w:gridCol w:w="1311"/>
        <w:gridCol w:w="1311"/>
        <w:gridCol w:w="1311"/>
        <w:gridCol w:w="1311"/>
        <w:gridCol w:w="1856"/>
      </w:tblGrid>
      <w:tr>
        <w:trPr/>
        <w:tc>
          <w:tcPr>
            <w:tcW w:w="5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9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84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t>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Your Vote Counts! Smartphone users Point your camera here and vote without entering a control number For complete information and to vote, visit www.ProxyVote.com Control # V92016-P46878 *Please check the meeting materials for any special requirements for meeting attendance. NAUTILUS BIOTECHNOLOGY, INC. 2026 Annual Meeting Vote by June 16, 2026 11:59 PM ET NAUTILUS BIOTECHNOLOGY, INC. 2701 EASTLAKE AVE EAST SEATTLE, WA 98102-4188 You invested in NAUTILUS BIOTECHNOLOGY, INC. and it’s time to vote! You have the right to vote on proposals being presented at the Annual Meeting. This is an important notice regarding the availability of proxy materials for the stockholder meeting to be held on June 17, 2026. Vote Virtually at the Meeting* June 17, 2026 10:00 AM PDT Virtually at: www.virtualshareholdermeeting.com/NAUT2026 Get informed before you vote View the Notice and Proxy Statement and Annual Report on Form 10-K online OR you can receive a free paper or email copy of the material(s) by requesting prior to June 3,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Vote at www.ProxyVote.com Prefer to receive an email instead? While voting on www.ProxyVote.com, be sure to click “Delivery Settings”. Voting Items Board Recommends V92017-P46878 THIS IS NOT A VOTABLE BALLOT This is an overview of the proposals being presented at the upcoming stockholder meeting. Please follow the instructions on the reverse side to vote these important matters. 1.</w:t>
        <w:tab/>
        <w:t xml:space="preserve"> Election of Class II Directors For</w:t>
        <w:tab/>
        <w:t xml:space="preserve"> Nominees: 01)</w:t>
        <w:tab/>
        <w:t xml:space="preserve"> Parag Mallick 02)</w:t>
        <w:tab/>
        <w:t xml:space="preserve"> Farzad Nazem 2.</w:t>
        <w:tab/>
        <w:t xml:space="preserve"> Ratification of the appointment of PricewaterhouseCoopers, LLP as our independent registered public accounting firm for the year ended December 31, 2026. For 3.</w:t>
        <w:tab/>
        <w:t xml:space="preserve"> Approval on an advisory basis of the compensation of our named executive officers for the fiscal year ended December 31, 2025 (the “Say on Pay Vote”). For 4.</w:t>
        <w:tab/>
        <w:t xml:space="preserve"> Approval on an advisory basis of the frequency of future Say on Pay Votes. 1 Year NOTE: In their discretion, the proxyholders will vote on such other business as may properly come before the meeting or any adjournment or postponement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519</Words>
  <Characters>2917</Characters>
  <CharactersWithSpaces>3418</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