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298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2988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Posard Matthew L.</w:t>
              </w:r>
            </w:hyperlink>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bottom w:val="single" w:sz="8" w:color="0000EE"/>
            </w:tcBorders>
            <w:gridSpan w:val="2"/>
            <w:vMerge w:val="continue"/>
          </w:tcPr>
          <w:p>
            <w:pPr>
              <w:spacing w:after="0"/>
              <w:rPr>
                <w:sz w:val="9"/>
                <w:szCs w:val="9"/>
                <w:color w:val="auto"/>
              </w:rPr>
            </w:pPr>
          </w:p>
        </w:tc>
        <w:tc>
          <w:tcPr>
            <w:tcW w:w="7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7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Arial" w:cs="Arial" w:eastAsia="Arial" w:hAnsi="Arial"/>
                <w:sz w:val="13"/>
                <w:szCs w:val="13"/>
                <w:color w:val="0000FF"/>
              </w:rPr>
              <w:t>C/O NAUTILUS BIOTECHNOLOGY, INC.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425 PONTIUS AVE N, STE 202</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3"/>
                <w:szCs w:val="13"/>
                <w:color w:val="0000FF"/>
              </w:rPr>
              <w:t>SEATTLE</w:t>
            </w:r>
          </w:p>
        </w:tc>
        <w:tc>
          <w:tcPr>
            <w:tcW w:w="1200" w:type="dxa"/>
            <w:vAlign w:val="bottom"/>
            <w:gridSpan w:val="2"/>
          </w:tcPr>
          <w:p>
            <w:pPr>
              <w:ind w:left="240"/>
              <w:spacing w:after="0"/>
              <w:rPr>
                <w:sz w:val="20"/>
                <w:szCs w:val="20"/>
                <w:color w:val="auto"/>
              </w:rPr>
            </w:pPr>
            <w:r>
              <w:rPr>
                <w:rFonts w:ascii="Arial" w:cs="Arial" w:eastAsia="Arial" w:hAnsi="Arial"/>
                <w:sz w:val="13"/>
                <w:szCs w:val="13"/>
                <w:color w:val="0000FF"/>
              </w:rPr>
              <w:t>WA</w:t>
            </w:r>
          </w:p>
        </w:tc>
        <w:tc>
          <w:tcPr>
            <w:tcW w:w="1140" w:type="dxa"/>
            <w:vAlign w:val="bottom"/>
          </w:tcPr>
          <w:p>
            <w:pPr>
              <w:ind w:left="100"/>
              <w:spacing w:after="0"/>
              <w:rPr>
                <w:sz w:val="20"/>
                <w:szCs w:val="20"/>
                <w:color w:val="auto"/>
              </w:rPr>
            </w:pPr>
            <w:r>
              <w:rPr>
                <w:rFonts w:ascii="Arial" w:cs="Arial" w:eastAsia="Arial" w:hAnsi="Arial"/>
                <w:sz w:val="13"/>
                <w:szCs w:val="13"/>
                <w:color w:val="0000FF"/>
              </w:rPr>
              <w:t>98109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Nautilus Biotechnology,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NAUT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440" w:type="dxa"/>
            <w:vAlign w:val="bottom"/>
            <w:tcBorders>
              <w:top w:val="single" w:sz="8" w:color="0000EE"/>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ind w:left="700"/>
              <w:spacing w:after="0"/>
              <w:rPr>
                <w:sz w:val="20"/>
                <w:szCs w:val="20"/>
                <w:color w:val="auto"/>
              </w:rPr>
            </w:pPr>
            <w:r>
              <w:rPr>
                <w:rFonts w:ascii="Arial" w:cs="Arial" w:eastAsia="Arial" w:hAnsi="Arial"/>
                <w:sz w:val="13"/>
                <w:szCs w:val="13"/>
                <w:color w:val="0000FF"/>
              </w:rPr>
              <w:t>100,000</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1560" w:type="dxa"/>
            <w:vAlign w:val="bottom"/>
            <w:tcBorders>
              <w:bottom w:val="single" w:sz="8" w:color="2C2C2C"/>
            </w:tcBorders>
            <w:gridSpan w:val="2"/>
          </w:tcPr>
          <w:p>
            <w:pPr>
              <w:ind w:left="4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(1)</w:t>
            </w: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02/28/2029</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166,891</w:t>
            </w:r>
          </w:p>
        </w:tc>
        <w:tc>
          <w:tcPr>
            <w:tcW w:w="720" w:type="dxa"/>
            <w:vAlign w:val="bottom"/>
          </w:tcPr>
          <w:p>
            <w:pPr>
              <w:jc w:val="center"/>
              <w:ind w:left="4"/>
              <w:spacing w:after="0"/>
              <w:rPr>
                <w:sz w:val="20"/>
                <w:szCs w:val="20"/>
                <w:color w:val="auto"/>
              </w:rPr>
            </w:pPr>
            <w:r>
              <w:rPr>
                <w:rFonts w:ascii="Arial" w:cs="Arial" w:eastAsia="Arial" w:hAnsi="Arial"/>
                <w:sz w:val="13"/>
                <w:szCs w:val="13"/>
                <w:color w:val="0000FF"/>
                <w:w w:val="86"/>
              </w:rPr>
              <w:t>0.43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10/15/2030</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65,305</w:t>
            </w:r>
          </w:p>
        </w:tc>
        <w:tc>
          <w:tcPr>
            <w:tcW w:w="720" w:type="dxa"/>
            <w:vAlign w:val="bottom"/>
          </w:tcPr>
          <w:p>
            <w:pPr>
              <w:jc w:val="center"/>
              <w:ind w:left="4"/>
              <w:spacing w:after="0"/>
              <w:rPr>
                <w:sz w:val="20"/>
                <w:szCs w:val="20"/>
                <w:color w:val="auto"/>
              </w:rPr>
            </w:pPr>
            <w:r>
              <w:rPr>
                <w:rFonts w:ascii="Arial" w:cs="Arial" w:eastAsia="Arial" w:hAnsi="Arial"/>
                <w:sz w:val="13"/>
                <w:szCs w:val="13"/>
                <w:color w:val="0000FF"/>
                <w:w w:val="86"/>
              </w:rPr>
              <w:t>1.14</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01/31/2031</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36,280</w:t>
            </w:r>
          </w:p>
        </w:tc>
        <w:tc>
          <w:tcPr>
            <w:tcW w:w="720" w:type="dxa"/>
            <w:vAlign w:val="bottom"/>
          </w:tcPr>
          <w:p>
            <w:pPr>
              <w:jc w:val="center"/>
              <w:ind w:left="4"/>
              <w:spacing w:after="0"/>
              <w:rPr>
                <w:sz w:val="20"/>
                <w:szCs w:val="20"/>
                <w:color w:val="auto"/>
              </w:rPr>
            </w:pPr>
            <w:r>
              <w:rPr>
                <w:rFonts w:ascii="Arial" w:cs="Arial" w:eastAsia="Arial" w:hAnsi="Arial"/>
                <w:sz w:val="13"/>
                <w:szCs w:val="13"/>
                <w:color w:val="0000FF"/>
                <w:w w:val="96"/>
              </w:rPr>
              <w:t>10</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held by the Matthew and Elizabeth Posard Trust. The reporting person is the Trustee of the Matthew and Elizabeth Posard Trust.</w:t>
      </w:r>
    </w:p>
    <w:p>
      <w:pPr>
        <w:spacing w:after="0" w:line="35" w:lineRule="exact"/>
        <w:rPr>
          <w:rFonts w:ascii="Arial" w:cs="Arial" w:eastAsia="Arial" w:hAnsi="Arial"/>
          <w:sz w:val="10"/>
          <w:szCs w:val="10"/>
          <w:color w:val="008000"/>
        </w:rPr>
      </w:pPr>
    </w:p>
    <w:p>
      <w:pPr>
        <w:ind w:left="40" w:right="100" w:hanging="10"/>
        <w:spacing w:after="0" w:line="282"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Nautilus Subsidiary, Inc. 2017 Equity Incentive Plan (the "Plan")) through each vesting date, one thirty-sixth (1/36th) of the shares subject to the Option shall vest monthly over the next thirty-six (36) months on the same day of the month as the Vesting Commencement Date (as defined below). Notwithstanding the foregoing, in the event of a Change in Control (as defined in the Plan) that occurs while the reporting person is a Service Provider, 100% of the total number of shares subject to the Option that have not yet vested shall immediately vest and be fully exercisable, effective as of immediately prior to the Change in Control (as defined in the Plan). The Vesting Commencement Date is February 1, 2019.</w:t>
      </w:r>
    </w:p>
    <w:p>
      <w:pPr>
        <w:spacing w:after="0" w:line="5" w:lineRule="exact"/>
        <w:rPr>
          <w:rFonts w:ascii="Arial" w:cs="Arial" w:eastAsia="Arial" w:hAnsi="Arial"/>
          <w:sz w:val="9"/>
          <w:szCs w:val="9"/>
          <w:color w:val="008000"/>
        </w:rPr>
      </w:pPr>
    </w:p>
    <w:p>
      <w:pPr>
        <w:ind w:left="40" w:right="40" w:hanging="10"/>
        <w:spacing w:after="0" w:line="282"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Plan) through each vesting date, one-forty eighth (1/48th) of the shares subject to the Option shall vest monthly over the next forty-eight (48) months on the same day of the month as the Vesting Commencement Date (as defined below). Notwithstanding the foregoing and anything to the contrary in the Plan, in the event of a Change in Control (as defined in the Plan) of the Company, 100% of the total number of shares subject to the Option shall vest and become immediately exercisable; provided that reporting person's continuous status as a "Service Provider" (as defined in the Plan) has not been terminated prior to such time. The Vesting Commencement Date is September 1, 2020.</w:t>
      </w:r>
    </w:p>
    <w:p>
      <w:pPr>
        <w:spacing w:after="0" w:line="5"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Company's 2017 Equity Incentive Plan (the "Plan")) through the applicable vesting date, one hundred percent (100%) of the shares subject to the Option shall vest on the earlier of</w:t>
      </w:r>
    </w:p>
    <w:p>
      <w:pPr>
        <w:spacing w:after="0" w:line="14" w:lineRule="exact"/>
        <w:rPr>
          <w:rFonts w:ascii="Arial" w:cs="Arial" w:eastAsia="Arial" w:hAnsi="Arial"/>
          <w:sz w:val="9"/>
          <w:szCs w:val="9"/>
          <w:color w:val="008000"/>
        </w:rPr>
      </w:pPr>
    </w:p>
    <w:p>
      <w:pPr>
        <w:ind w:left="40" w:right="20"/>
        <w:spacing w:after="0" w:line="239" w:lineRule="auto"/>
        <w:rPr>
          <w:rFonts w:ascii="Arial" w:cs="Arial" w:eastAsia="Arial" w:hAnsi="Arial"/>
          <w:sz w:val="9"/>
          <w:szCs w:val="9"/>
          <w:color w:val="008000"/>
        </w:rPr>
      </w:pPr>
      <w:r>
        <w:rPr>
          <w:rFonts w:ascii="Arial" w:cs="Arial" w:eastAsia="Arial" w:hAnsi="Arial"/>
          <w:sz w:val="10"/>
          <w:szCs w:val="10"/>
          <w:color w:val="008000"/>
        </w:rPr>
        <w:t>(a) the one (1) year anniversary of the Vesting Commencement Date (as defined below) and (b) the day immediately before the date of the next annual meeting of stockholders of the Company (or in the event of a merger or consolidation involving the Company in which the Company is a wholly-owned subsidiary immediately following such merger or consolidation, the next annual meeting of stockholders of the Company's parent). The Vesting Commencement Date is January 31, 2021.</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Matthew Posard</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Matthew Posard</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3792"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2021-06-09T20:45:48Z</dcterms:created>
  <dcterms:modified xsi:type="dcterms:W3CDTF">2021-06-09T20:45:48Z</dcterms:modified>
</cp:coreProperties>
</file>