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February 24, 2022</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9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820" w:firstLine="324"/>
        <w:spacing w:after="0" w:line="308" w:lineRule="auto"/>
        <w:rPr>
          <w:sz w:val="20"/>
          <w:szCs w:val="20"/>
          <w:color w:val="auto"/>
        </w:rPr>
      </w:pPr>
      <w:r>
        <w:rPr>
          <w:rFonts w:ascii="Arial" w:cs="Arial" w:eastAsia="Arial" w:hAnsi="Arial"/>
          <w:sz w:val="17"/>
          <w:szCs w:val="17"/>
          <w:color w:val="auto"/>
        </w:rPr>
        <w:t>On February 24, 2022, Nautilus Biotechnology, Inc. issued a press release reporting its financial results for the quarter and fiscal year ended December 31, 2021. A copy of the press release is furnished herewith as Exhibit 99.1 to this Current Report on Form 8-K.</w:t>
      </w:r>
    </w:p>
    <w:p>
      <w:pPr>
        <w:spacing w:after="0" w:line="14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20"/>
        <w:spacing w:after="0"/>
        <w:tabs>
          <w:tab w:leader="none" w:pos="9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February 24, 2022.</w:t>
        </w:r>
      </w:hyperlink>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2022</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Nautilus Biotechnology Reports Fourth Quarter and Fiscal Year 2021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February 24, 2022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platform, today reported financial results for the fourth quarter and fiscal year ended December 31,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Highlights</w:t>
      </w:r>
    </w:p>
    <w:p>
      <w:pPr>
        <w:spacing w:after="0" w:line="256" w:lineRule="exact"/>
        <w:rPr>
          <w:sz w:val="20"/>
          <w:szCs w:val="20"/>
          <w:color w:val="auto"/>
        </w:rPr>
      </w:pPr>
    </w:p>
    <w:p>
      <w:pPr>
        <w:ind w:left="660" w:right="34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completed a business combination transaction with ARYA Sciences Acquisition Corp III and became a publicly traded company, with gross proceeds from this transaction totaling approximately $345.5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research collaborations with top tier research partners at both Amgen, and The University of Texas MD Anderson Cancer Center.</w:t>
      </w:r>
    </w:p>
    <w:p>
      <w:pPr>
        <w:spacing w:after="0" w:line="3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18"/>
          <w:szCs w:val="18"/>
          <w:color w:val="auto"/>
        </w:rPr>
        <w:t>Announced a strategic partnership with Abcam for the development and supply of reagents for use on the Nautilus platform.</w:t>
      </w:r>
    </w:p>
    <w:p>
      <w:pPr>
        <w:spacing w:after="0" w:line="1" w:lineRule="exact"/>
        <w:rPr>
          <w:rFonts w:ascii="Arial" w:cs="Arial" w:eastAsia="Arial" w:hAnsi="Arial"/>
          <w:sz w:val="22"/>
          <w:szCs w:val="22"/>
          <w:color w:val="auto"/>
        </w:rPr>
      </w:pPr>
    </w:p>
    <w:p>
      <w:pPr>
        <w:ind w:left="660" w:right="40" w:hanging="328"/>
        <w:spacing w:after="0" w:line="24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make progress against key internal milestones across a range of platform design and science activities in support of planned platform commercialization by the end of 2023.</w:t>
      </w:r>
    </w:p>
    <w:p>
      <w:pPr>
        <w:ind w:left="660" w:right="1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a manuscript that introduces the theoretical foundation for a fundamentally different approach to proteomics, called Protein Identification by Short-epitope Mapping (PrISM).</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“2021 will be remembered as a pivotal year in Nautilus’ history,” said Sujal Patel, CEO of Nautilus. “It was the year we secured the resources necessary to get us through the development and commercialization phase of our journey, signed a number of exciting research collaboration and reagent development and supply partnerships, and made substantial progress on the scientific development required to see more deeply into the proteome than anyone ever has. As we kick off the year, I am incredibly energized by Nautilus’ purpose to change the course of biomedical research and improve the lives and health of millions of people around the world.”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were $50.5 million for the year-ended December 31, 2021, a $34.8 million or 221% increase from $15.7 million for the year ended December 31, 2020. The increase in operating expenses was driven primarily by an increase in headcount to support ongoing development of our products as well as the costs associated with being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Net loss was $50.3 million for the year-ended December 31, 2021, as compared to a net loss of $15.6 million for the corresponding prior year period.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$362.1 million as of December 31, 2021.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Nautilus will host a conference call to discuss the fourth quarter and fiscal year 2021 financial results, business developments and outlook before market open on Tuesday, February 24</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2022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regarding our collaborations and strategic partnerships, including our expectations with respect to the suitability of the Nautilus product platform to investigate proteins and proteoforms, and the ability of our strategic partnership to accelerate technology development and enhance protein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86" w:lineRule="auto"/>
        <w:rPr>
          <w:sz w:val="20"/>
          <w:szCs w:val="20"/>
          <w:color w:val="auto"/>
        </w:rPr>
      </w:pPr>
      <w:r>
        <w:rPr>
          <w:rFonts w:ascii="Arial" w:cs="Arial" w:eastAsia="Arial" w:hAnsi="Arial"/>
          <w:sz w:val="16"/>
          <w:szCs w:val="16"/>
          <w:color w:val="auto"/>
        </w:rPr>
        <w:t>detection; and expectations with respect to the functionality and performance of Nautilus’ product platform, its potential impact on pharmaceutical development and drug discovery.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the Registration Statement on Form S-1 filed with the SEC as well as in our Annual Report on Form 10-K to be filed for the year ended December 31, 2021.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Thermal for Nautilus Biotechnology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Kaustuva Das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Consolidated Balance Sheets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December 31, 2021 and December 31, 2020 (Unaudited)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2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185,619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Liabilities, Redeemable Convertible Preferred Stock, and Stockholders’ Equity (Deficit)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Series Seed redeemable convertible preferred stock</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Series B redeemable convertible preferred stock</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148"/>
        </w:trPr>
        <w:tc>
          <w:tcPr>
            <w:tcW w:w="7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320" w:top="140" w:right="131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Months and Year Ended December 31, 2021 and 2020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December 31,</w:t>
            </w:r>
          </w:p>
        </w:tc>
        <w:tc>
          <w:tcPr>
            <w:tcW w:w="380" w:type="dxa"/>
            <w:vAlign w:val="bottom"/>
          </w:tcPr>
          <w:p>
            <w:pPr>
              <w:spacing w:after="0"/>
              <w:rPr>
                <w:sz w:val="16"/>
                <w:szCs w:val="16"/>
                <w:color w:val="auto"/>
              </w:rPr>
            </w:pPr>
          </w:p>
        </w:tc>
        <w:tc>
          <w:tcPr>
            <w:tcW w:w="282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2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9,893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3,894</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3"/>
        </w:trPr>
        <w:tc>
          <w:tcPr>
            <w:tcW w:w="466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15,744</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w:t>
            </w: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23"/>
        </w:trPr>
        <w:tc>
          <w:tcPr>
            <w:tcW w:w="46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and diluted</w:t>
            </w: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used in computing net loss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6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124,232,794</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31,713,646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203"/>
        </w:trPr>
        <w:tc>
          <w:tcPr>
            <w:tcW w:w="4660" w:type="dxa"/>
            <w:vAlign w:val="bottom"/>
          </w:tcPr>
          <w:p>
            <w:pPr>
              <w:ind w:left="180"/>
              <w:spacing w:after="0" w:line="202" w:lineRule="exact"/>
              <w:rPr>
                <w:sz w:val="20"/>
                <w:szCs w:val="20"/>
                <w:color w:val="auto"/>
              </w:rPr>
            </w:pPr>
            <w:r>
              <w:rPr>
                <w:rFonts w:ascii="Arial" w:cs="Arial" w:eastAsia="Arial" w:hAnsi="Arial"/>
                <w:sz w:val="18"/>
                <w:szCs w:val="18"/>
                <w:color w:val="auto"/>
              </w:rPr>
              <w:t>attributable to common stockholders, basic and 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hanging="332"/>
        <w:spacing w:after="0" w:line="273" w:lineRule="auto"/>
        <w:tabs>
          <w:tab w:leader="none" w:pos="36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 Ended December 31, 2021 and 2020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Year Ended December 31,</w:t>
            </w: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9"/>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85,100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44,001</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(138,964)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335,409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of offering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75,857</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327,447</w:t>
            </w:r>
          </w:p>
        </w:tc>
        <w:tc>
          <w:tcPr>
            <w:tcW w:w="8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75,899</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r>
      <w:tr>
        <w:trPr>
          <w:trHeight w:val="257"/>
        </w:trPr>
        <w:tc>
          <w:tcPr>
            <w:tcW w:w="7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r>
      <w:tr>
        <w:trPr>
          <w:trHeight w:val="20"/>
        </w:trPr>
        <w:tc>
          <w:tcPr>
            <w:tcW w:w="7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sectPr>
      <w:pgSz w:w="11900" w:h="16838" w:orient="portrait"/>
      <w:cols w:equalWidth="0" w:num="1">
        <w:col w:w="10260"/>
      </w:cols>
      <w:pgMar w:left="320" w:top="1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2022-02-24T05:23:59Z</dcterms:created>
  <dcterms:modified xsi:type="dcterms:W3CDTF">2022-02-24T05:23:59Z</dcterms:modified>
</cp:coreProperties>
</file>