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133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1330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line="181" w:lineRule="exact"/>
              <w:rPr>
                <w:rFonts w:ascii="Arial" w:cs="Arial" w:eastAsia="Arial" w:hAnsi="Arial"/>
                <w:sz w:val="16"/>
                <w:szCs w:val="16"/>
                <w:color w:val="0000EE"/>
                <w:w w:val="87"/>
              </w:rPr>
            </w:pPr>
            <w:hyperlink r:id="rId11">
              <w:r>
                <w:rPr>
                  <w:rFonts w:ascii="Arial" w:cs="Arial" w:eastAsia="Arial" w:hAnsi="Arial"/>
                  <w:sz w:val="16"/>
                  <w:szCs w:val="16"/>
                  <w:color w:val="0000EE"/>
                  <w:w w:val="87"/>
                </w:rPr>
                <w:t>Pande Vijay Satyanand</w:t>
              </w:r>
            </w:hyperlink>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Borders>
              <w:bottom w:val="single" w:sz="8" w:color="0000EE"/>
            </w:tcBorders>
            <w:gridSpan w:val="2"/>
            <w:vMerge w:val="continue"/>
          </w:tcPr>
          <w:p>
            <w:pPr>
              <w:spacing w:after="0"/>
              <w:rPr>
                <w:sz w:val="9"/>
                <w:szCs w:val="9"/>
                <w:color w:val="auto"/>
              </w:rPr>
            </w:pPr>
          </w:p>
        </w:tc>
        <w:tc>
          <w:tcPr>
            <w:tcW w:w="52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52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Arial" w:cs="Arial" w:eastAsia="Arial" w:hAnsi="Arial"/>
                <w:sz w:val="13"/>
                <w:szCs w:val="13"/>
                <w:color w:val="0000FF"/>
              </w:rPr>
              <w:t>C/O NAUTILUS BIOTECHNOLOGY, INC.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425 PONTIUS AVE N, STE 202</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Arial" w:cs="Arial" w:eastAsia="Arial" w:hAnsi="Arial"/>
                <w:sz w:val="13"/>
                <w:szCs w:val="13"/>
                <w:color w:val="0000FF"/>
              </w:rPr>
              <w:t>SEATTLE</w:t>
            </w:r>
          </w:p>
        </w:tc>
        <w:tc>
          <w:tcPr>
            <w:tcW w:w="1200" w:type="dxa"/>
            <w:vAlign w:val="bottom"/>
            <w:gridSpan w:val="2"/>
          </w:tcPr>
          <w:p>
            <w:pPr>
              <w:ind w:left="240"/>
              <w:spacing w:after="0"/>
              <w:rPr>
                <w:sz w:val="20"/>
                <w:szCs w:val="20"/>
                <w:color w:val="auto"/>
              </w:rPr>
            </w:pPr>
            <w:r>
              <w:rPr>
                <w:rFonts w:ascii="Arial" w:cs="Arial" w:eastAsia="Arial" w:hAnsi="Arial"/>
                <w:sz w:val="13"/>
                <w:szCs w:val="13"/>
                <w:color w:val="0000FF"/>
              </w:rPr>
              <w:t>WA</w:t>
            </w:r>
          </w:p>
        </w:tc>
        <w:tc>
          <w:tcPr>
            <w:tcW w:w="1140" w:type="dxa"/>
            <w:vAlign w:val="bottom"/>
          </w:tcPr>
          <w:p>
            <w:pPr>
              <w:ind w:left="100"/>
              <w:spacing w:after="0"/>
              <w:rPr>
                <w:sz w:val="20"/>
                <w:szCs w:val="20"/>
                <w:color w:val="auto"/>
              </w:rPr>
            </w:pPr>
            <w:r>
              <w:rPr>
                <w:rFonts w:ascii="Arial" w:cs="Arial" w:eastAsia="Arial" w:hAnsi="Arial"/>
                <w:sz w:val="13"/>
                <w:szCs w:val="13"/>
                <w:color w:val="0000FF"/>
              </w:rPr>
              <w:t>98109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gridSpan w:val="3"/>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240" w:type="dxa"/>
            <w:vAlign w:val="bottom"/>
            <w:gridSpan w:val="5"/>
          </w:tcPr>
          <w:p>
            <w:pPr>
              <w:spacing w:after="0" w:line="167" w:lineRule="exact"/>
              <w:rPr>
                <w:rFonts w:ascii="Arial" w:cs="Arial" w:eastAsia="Arial" w:hAnsi="Arial"/>
                <w:sz w:val="16"/>
                <w:szCs w:val="16"/>
                <w:color w:val="0000EE"/>
              </w:rPr>
            </w:pPr>
            <w:hyperlink r:id="rId12">
              <w:r>
                <w:rPr>
                  <w:rFonts w:ascii="Arial" w:cs="Arial" w:eastAsia="Arial" w:hAnsi="Arial"/>
                  <w:sz w:val="16"/>
                  <w:szCs w:val="16"/>
                  <w:color w:val="0000EE"/>
                </w:rPr>
                <w:t xml:space="preserve">Nautilus Biotechnology,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NAUT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300" w:type="dxa"/>
            <w:vAlign w:val="bottom"/>
            <w:tcBorders>
              <w:top w:val="single" w:sz="8" w:color="0000EE"/>
              <w:bottom w:val="single" w:sz="8" w:color="2C2C2C"/>
            </w:tcBorders>
          </w:tcPr>
          <w:p>
            <w:pPr>
              <w:spacing w:after="0"/>
              <w:rPr>
                <w:sz w:val="24"/>
                <w:szCs w:val="24"/>
                <w:color w:val="auto"/>
              </w:rPr>
            </w:pPr>
          </w:p>
        </w:tc>
        <w:tc>
          <w:tcPr>
            <w:tcW w:w="1440" w:type="dxa"/>
            <w:vAlign w:val="bottom"/>
            <w:tcBorders>
              <w:top w:val="single" w:sz="8" w:color="0000EE"/>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4"/>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060" w:type="dxa"/>
            <w:vAlign w:val="bottom"/>
            <w:gridSpan w:val="4"/>
          </w:tcPr>
          <w:p>
            <w:pPr>
              <w:spacing w:after="0"/>
              <w:rPr>
                <w:sz w:val="20"/>
                <w:szCs w:val="20"/>
                <w:color w:val="auto"/>
              </w:rPr>
            </w:pPr>
            <w:r>
              <w:rPr>
                <w:rFonts w:ascii="Arial" w:cs="Arial" w:eastAsia="Arial" w:hAnsi="Arial"/>
                <w:sz w:val="10"/>
                <w:szCs w:val="10"/>
                <w:color w:val="auto"/>
              </w:rPr>
              <w:t>(Check all applicable)</w:t>
            </w: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180" w:type="dxa"/>
            <w:vAlign w:val="bottom"/>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restart"/>
          </w:tcPr>
          <w:p>
            <w:pPr>
              <w:ind w:left="80"/>
              <w:spacing w:after="0"/>
              <w:rPr>
                <w:sz w:val="20"/>
                <w:szCs w:val="20"/>
                <w:color w:val="auto"/>
              </w:rPr>
            </w:pP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2">
            <w:col w:w="4620" w:space="320"/>
            <w:col w:w="608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jc w:val="right"/>
              <w:ind w:right="842"/>
              <w:spacing w:after="0"/>
              <w:rPr>
                <w:sz w:val="20"/>
                <w:szCs w:val="20"/>
                <w:color w:val="auto"/>
              </w:rPr>
            </w:pPr>
            <w:r>
              <w:rPr>
                <w:rFonts w:ascii="Arial" w:cs="Arial" w:eastAsia="Arial" w:hAnsi="Arial"/>
                <w:sz w:val="13"/>
                <w:szCs w:val="13"/>
                <w:color w:val="0000FF"/>
              </w:rPr>
              <w:t>16,298,006</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3240" w:type="dxa"/>
            <w:vAlign w:val="bottom"/>
            <w:tcBorders>
              <w:bottom w:val="single" w:sz="8" w:color="2C2C2C"/>
            </w:tcBorders>
            <w:gridSpan w:val="3"/>
          </w:tcPr>
          <w:p>
            <w:pPr>
              <w:ind w:left="440"/>
              <w:spacing w:after="0"/>
              <w:rPr>
                <w:sz w:val="20"/>
                <w:szCs w:val="20"/>
                <w:color w:val="auto"/>
              </w:rPr>
            </w:pPr>
            <w:r>
              <w:rPr>
                <w:rFonts w:ascii="Arial" w:cs="Arial" w:eastAsia="Arial" w:hAnsi="Arial"/>
                <w:sz w:val="13"/>
                <w:szCs w:val="13"/>
                <w:color w:val="0000FF"/>
              </w:rPr>
              <w:t>By AH Bio Fund II, L.P.</w:t>
            </w:r>
            <w:r>
              <w:rPr>
                <w:rFonts w:ascii="Arial" w:cs="Arial" w:eastAsia="Arial" w:hAnsi="Arial"/>
                <w:sz w:val="16"/>
                <w:szCs w:val="16"/>
                <w:color w:val="008000"/>
                <w:vertAlign w:val="superscript"/>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right"/>
              <w:ind w:right="882"/>
              <w:spacing w:after="0"/>
              <w:rPr>
                <w:sz w:val="20"/>
                <w:szCs w:val="20"/>
                <w:color w:val="auto"/>
              </w:rPr>
            </w:pPr>
            <w:r>
              <w:rPr>
                <w:rFonts w:ascii="Arial" w:cs="Arial" w:eastAsia="Arial" w:hAnsi="Arial"/>
                <w:sz w:val="13"/>
                <w:szCs w:val="13"/>
                <w:color w:val="0000FF"/>
              </w:rPr>
              <w:t>1,355,911</w:t>
            </w:r>
          </w:p>
        </w:tc>
        <w:tc>
          <w:tcPr>
            <w:tcW w:w="660" w:type="dxa"/>
            <w:vAlign w:val="bottom"/>
            <w:tcBorders>
              <w:bottom w:val="single" w:sz="8" w:color="2C2C2C"/>
            </w:tcBorders>
          </w:tcPr>
          <w:p>
            <w:pPr>
              <w:ind w:left="440"/>
              <w:spacing w:after="0"/>
              <w:rPr>
                <w:sz w:val="20"/>
                <w:szCs w:val="20"/>
                <w:color w:val="auto"/>
              </w:rPr>
            </w:pPr>
            <w:r>
              <w:rPr>
                <w:rFonts w:ascii="Arial" w:cs="Arial" w:eastAsia="Arial" w:hAnsi="Arial"/>
                <w:sz w:val="13"/>
                <w:szCs w:val="13"/>
                <w:color w:val="0000FF"/>
              </w:rPr>
              <w:t>I</w:t>
            </w:r>
          </w:p>
        </w:tc>
        <w:tc>
          <w:tcPr>
            <w:tcW w:w="3260" w:type="dxa"/>
            <w:vAlign w:val="bottom"/>
            <w:tcBorders>
              <w:bottom w:val="single" w:sz="8" w:color="2C2C2C"/>
            </w:tcBorders>
            <w:gridSpan w:val="4"/>
          </w:tcPr>
          <w:p>
            <w:pPr>
              <w:ind w:left="440"/>
              <w:spacing w:after="0"/>
              <w:rPr>
                <w:sz w:val="20"/>
                <w:szCs w:val="20"/>
                <w:color w:val="auto"/>
              </w:rPr>
            </w:pPr>
            <w:r>
              <w:rPr>
                <w:rFonts w:ascii="Arial" w:cs="Arial" w:eastAsia="Arial" w:hAnsi="Arial"/>
                <w:sz w:val="13"/>
                <w:szCs w:val="13"/>
                <w:color w:val="0000FF"/>
              </w:rPr>
              <w:t>By Andreessen Horowitz LSV Fund II, L.P.</w:t>
            </w:r>
            <w:r>
              <w:rPr>
                <w:rFonts w:ascii="Arial" w:cs="Arial" w:eastAsia="Arial" w:hAnsi="Arial"/>
                <w:sz w:val="16"/>
                <w:szCs w:val="16"/>
                <w:color w:val="008000"/>
                <w:vertAlign w:val="superscript"/>
              </w:rPr>
              <w:t>(2)(3)</w:t>
            </w: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5"/>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01/31/2031</w:t>
            </w:r>
          </w:p>
        </w:tc>
        <w:tc>
          <w:tcPr>
            <w:tcW w:w="21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660" w:type="dxa"/>
            <w:vAlign w:val="bottom"/>
          </w:tcPr>
          <w:p>
            <w:pPr>
              <w:ind w:left="160"/>
              <w:spacing w:after="0"/>
              <w:rPr>
                <w:sz w:val="20"/>
                <w:szCs w:val="20"/>
                <w:color w:val="auto"/>
              </w:rPr>
            </w:pPr>
            <w:r>
              <w:rPr>
                <w:rFonts w:ascii="Arial" w:cs="Arial" w:eastAsia="Arial" w:hAnsi="Arial"/>
                <w:sz w:val="13"/>
                <w:szCs w:val="13"/>
                <w:color w:val="0000FF"/>
              </w:rPr>
              <w:t>36,280</w:t>
            </w:r>
          </w:p>
        </w:tc>
        <w:tc>
          <w:tcPr>
            <w:tcW w:w="720" w:type="dxa"/>
            <w:vAlign w:val="bottom"/>
          </w:tcPr>
          <w:p>
            <w:pPr>
              <w:ind w:left="320"/>
              <w:spacing w:after="0"/>
              <w:rPr>
                <w:sz w:val="20"/>
                <w:szCs w:val="20"/>
                <w:color w:val="auto"/>
              </w:rPr>
            </w:pPr>
            <w:r>
              <w:rPr>
                <w:rFonts w:ascii="Arial" w:cs="Arial" w:eastAsia="Arial" w:hAnsi="Arial"/>
                <w:sz w:val="13"/>
                <w:szCs w:val="13"/>
                <w:color w:val="0000FF"/>
              </w:rPr>
              <w:t>10</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right="10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reported securities are held by AH Bio Fund II, L.P., for itself and as nominee for AH Bio Fund II-B, L.P. (collectively, the "AH Bio Fund II Entities"). AH Equity Partners Bio II, L.L.C. ("AH EP Bio II") is the general partner of the AH Bio Fund II Entities and has sole voting and dispositive power with regard to the securities held by the AH Bio Fund II Entities. The managing members of AH EP Bio II are Marc Andreessen and Ben Horowitz. Marc Andreessen and Ben Horowitz share voting and dispositive power with respect to the securities held by the AH Bio Fund II Entities.</w:t>
      </w:r>
    </w:p>
    <w:p>
      <w:pPr>
        <w:spacing w:after="0" w:line="22" w:lineRule="exact"/>
        <w:rPr>
          <w:rFonts w:ascii="Arial" w:cs="Arial" w:eastAsia="Arial" w:hAnsi="Arial"/>
          <w:sz w:val="10"/>
          <w:szCs w:val="10"/>
          <w:color w:val="008000"/>
        </w:rPr>
      </w:pPr>
    </w:p>
    <w:p>
      <w:pPr>
        <w:ind w:left="40" w:right="36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Mr. Pande is a member of the general partners of the AH Bio Fund II Entities and the AH LSV Fund II Entities (as defined herein, together, the "Andreessen Horowitz Entities"), but he disclaims the existence of a "group" and disclaims beneficial ownership of the securities held by the Andreessen Horowitz Entities and this report shall not be deemed an admission that he is the beneficial owner of such securities, except to the extent of his pecuniary interest therein, if any.</w:t>
      </w:r>
    </w:p>
    <w:p>
      <w:pPr>
        <w:spacing w:after="0" w:line="15" w:lineRule="exact"/>
        <w:rPr>
          <w:rFonts w:ascii="Arial" w:cs="Arial" w:eastAsia="Arial" w:hAnsi="Arial"/>
          <w:sz w:val="10"/>
          <w:szCs w:val="10"/>
          <w:color w:val="008000"/>
        </w:rPr>
      </w:pPr>
    </w:p>
    <w:p>
      <w:pPr>
        <w:ind w:left="40" w:right="14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reported securities are held by Andreessen Horowitz LSV Fund II, L.P., for itself and as nominee for Andreessen Horowitz LSV Fund II-B, L.P. and Andreessen Horowitz LSV Fund II-Q, L.P. (collectively, the "AH LSV Fund II Entities"). AH Equity Partners LSV II, L.L.C. ("AH EP LSV II") is the general partner of the AH LSV Fund II Entities and has sole voting and dispositive power with regard to the securities held by the AH LSV Fund II Entities. The managing members of AH EP LSV II are Marc Andreessen and Ben Horowitz. Marc Andreessen and Ben Horowitz share voting and dispositive power with respect to the securities held by the AH LSV Fund II Entities.</w:t>
      </w:r>
    </w:p>
    <w:p>
      <w:pPr>
        <w:spacing w:after="0" w:line="22" w:lineRule="exact"/>
        <w:rPr>
          <w:rFonts w:ascii="Arial" w:cs="Arial" w:eastAsia="Arial" w:hAnsi="Arial"/>
          <w:sz w:val="10"/>
          <w:szCs w:val="10"/>
          <w:color w:val="008000"/>
        </w:rPr>
      </w:pPr>
    </w:p>
    <w:p>
      <w:pPr>
        <w:ind w:left="40" w:right="160" w:hanging="10"/>
        <w:spacing w:after="0" w:line="281"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Subject to reporting person's continuous status as a "Service Provider" (as defined in the Nautilus Subsidiary, Inc. 2017 Equity Incentive Plan (the "Plan")) through the applicable vesting date, one hundred percent (100%) of the shares subject to the Option shall vest on the earlier of (a) the one (1) year anniversary of the Vesting Commencement Date (as defined below) and (b) the day immediately before the date of the next annual meeting of stockholders of the Company (or in the event of a merger or consolidation involving the Company in which the Company is a wholly-owned subsidiary immediately following such merger or consolidation, the next annual meeting of stockholders of the Company's parent). The Vesting Commencement Date is January 31, 2021.</w:t>
      </w: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Vijay Pande</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3"/>
          <w:szCs w:val="13"/>
          <w:color w:val="auto"/>
        </w:rPr>
        <w:t>Vijay Pande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40663"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2021-06-09T20:45:56Z</dcterms:created>
  <dcterms:modified xsi:type="dcterms:W3CDTF">2021-06-09T20:45:56Z</dcterms:modified>
</cp:coreProperties>
</file>