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line="230" w:lineRule="auto"/>
        <w:rPr>
          <w:sz w:val="20"/>
          <w:szCs w:val="20"/>
          <w:color w:val="auto"/>
        </w:rPr>
      </w:pPr>
      <w:r>
        <w:rPr>
          <w:rFonts w:ascii="Arial" w:cs="Arial" w:eastAsia="Arial" w:hAnsi="Arial"/>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833"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833"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06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406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Class A Ordinary Shares, par value $0.0001</w:t>
            </w:r>
          </w:p>
        </w:tc>
        <w:tc>
          <w:tcPr>
            <w:tcW w:w="33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7"/>
              </w:rPr>
              <w:t>ARYA</w:t>
            </w:r>
          </w:p>
        </w:tc>
        <w:tc>
          <w:tcPr>
            <w:tcW w:w="380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The Nasdaq Capital</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per Share</w:t>
            </w:r>
          </w:p>
        </w:tc>
        <w:tc>
          <w:tcPr>
            <w:tcW w:w="3380" w:type="dxa"/>
            <w:vAlign w:val="bottom"/>
          </w:tcPr>
          <w:p>
            <w:pPr>
              <w:spacing w:after="0"/>
              <w:rPr>
                <w:sz w:val="20"/>
                <w:szCs w:val="20"/>
                <w:color w:val="auto"/>
              </w:rPr>
            </w:pPr>
          </w:p>
        </w:tc>
        <w:tc>
          <w:tcPr>
            <w:tcW w:w="3800" w:type="dxa"/>
            <w:vAlign w:val="bottom"/>
          </w:tcPr>
          <w:p>
            <w:pPr>
              <w:jc w:val="center"/>
              <w:ind w:left="70"/>
              <w:spacing w:after="0"/>
              <w:rPr>
                <w:sz w:val="20"/>
                <w:szCs w:val="20"/>
                <w:color w:val="auto"/>
              </w:rPr>
            </w:pPr>
            <w:r>
              <w:rPr>
                <w:rFonts w:ascii="Arial" w:cs="Arial" w:eastAsia="Arial" w:hAnsi="Arial"/>
                <w:sz w:val="18"/>
                <w:szCs w:val="18"/>
                <w:color w:val="auto"/>
                <w:w w:val="94"/>
              </w:rPr>
              <w:t>Market</w:t>
            </w:r>
          </w:p>
        </w:tc>
      </w:tr>
      <w:tr>
        <w:trPr>
          <w:trHeight w:val="216"/>
        </w:trPr>
        <w:tc>
          <w:tcPr>
            <w:tcW w:w="40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3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previously disclosed, on February 7, 2021, ARYA Sciences Acquisition Corp III (“ARYA”) entered into a Business Combination Agreement (the “Business Combination Agreement”) with Nautilus Biotechnology, Inc. (“Nautilus”), among others. A copy of the Business Combination Agreement was attached as Exhibit 2.1 to ARYA’s Current Report on Form 8-K, filed with the Securities and Exchange Commission (“SEC”) on February 8, 2021.</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Following the entry into the Business Combination Agreement, ARYA received four letters (the “Shareholder Letters”) from purported shareholders of ARYA claiming certain allegedly material omissions in its preliminary proxy statement/prospectus filed on March 26, 2021 (as amended, the “Proxy Statement”) in connection with the transactions contemplated by the Business Combination Agreement (together, the “Business Combination”).</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While ARYA believes that the disclosures set forth in the Proxy Statement comply fully with applicable law, in order to moot the plaintiffs’ disclosure claims in the Shareholder Letters, to avoid nuisance, cost and distraction, and to preclude any efforts to delay the closing of the Business Combination, ARYA has determined to voluntarily supplement the Proxy Statement with the supplemental disclosures set forth below (the “Supplemental Disclosures”). Nothing in the Supplemental Disclosures shall be deemed an admission of the legal necessity or materiality under applicable laws of any of the disclosures set forth herein. To the contrary, ARYA specifically denies all allegations in the Shareholder Letters that any additional disclosure was or is required. ARYA believes the Shareholder Letters are without merit.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Disclosures to Proxy Statement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supplemental information should be read in conjunction with the Proxy Statement, which should be read in its entirety. All page references are to pages in the Proxy Statement, and terms used below, unless otherwise defined, have the meanings set forth in the Proxy Statement. Underlined text shows text being added to a referenced disclosure in the Proxy Statement.</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The following disclosure replaces the third paragraph under the heading “Background to the Business Combination” on page 108 of the Proxy Statement.</w:t>
      </w:r>
    </w:p>
    <w:p>
      <w:pPr>
        <w:spacing w:after="0" w:line="202" w:lineRule="exact"/>
        <w:rPr>
          <w:sz w:val="20"/>
          <w:szCs w:val="20"/>
          <w:color w:val="auto"/>
        </w:rPr>
      </w:pPr>
    </w:p>
    <w:p>
      <w:pPr>
        <w:ind w:left="660" w:right="300"/>
        <w:spacing w:after="0" w:line="248" w:lineRule="auto"/>
        <w:rPr>
          <w:sz w:val="20"/>
          <w:szCs w:val="20"/>
          <w:color w:val="auto"/>
        </w:rPr>
      </w:pPr>
      <w:r>
        <w:rPr>
          <w:rFonts w:ascii="Arial" w:cs="Arial" w:eastAsia="Arial" w:hAnsi="Arial"/>
          <w:sz w:val="21"/>
          <w:szCs w:val="21"/>
          <w:color w:val="auto"/>
        </w:rPr>
        <w:t xml:space="preserve">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 </w:t>
      </w:r>
      <w:r>
        <w:rPr>
          <w:rFonts w:ascii="Arial" w:cs="Arial" w:eastAsia="Arial" w:hAnsi="Arial"/>
          <w:sz w:val="21"/>
          <w:szCs w:val="21"/>
          <w:u w:val="single" w:color="auto"/>
          <w:color w:val="auto"/>
        </w:rPr>
        <w:t>Such non-disclosure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contained customary terms for a special purpose acquisition company and a private company target, including confidentiality provisions and use restrictions for information provided by the target and exceptions to such provisions. ARYA did not enter into any other non-disclosure agreements.</w:t>
      </w:r>
    </w:p>
    <w:p>
      <w:pPr>
        <w:spacing w:after="0" w:line="204"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b w:val="1"/>
          <w:bCs w:val="1"/>
          <w:i w:val="1"/>
          <w:iCs w:val="1"/>
          <w:color w:val="auto"/>
        </w:rPr>
        <w:t>The following disclosure replaces the fourth paragraph under the heading “Background to the Business Combination” on page 108 of the Proxy Statement.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December 17, 2020, representatives of ARYA, K&amp;E, Jefferies LLC (“</w:t>
      </w:r>
      <w:r>
        <w:rPr>
          <w:rFonts w:ascii="Arial" w:cs="Arial" w:eastAsia="Arial" w:hAnsi="Arial"/>
          <w:sz w:val="19"/>
          <w:szCs w:val="19"/>
          <w:u w:val="single" w:color="auto"/>
          <w:color w:val="auto"/>
        </w:rPr>
        <w:t>Jefferies</w:t>
      </w:r>
      <w:r>
        <w:rPr>
          <w:rFonts w:ascii="Arial" w:cs="Arial" w:eastAsia="Arial" w:hAnsi="Arial"/>
          <w:sz w:val="19"/>
          <w:szCs w:val="19"/>
          <w:color w:val="auto"/>
        </w:rPr>
        <w:t>”) and Goldman Sachs &amp; Co. LLC</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Goldman</w:t>
      </w:r>
      <w:r>
        <w:rPr>
          <w:rFonts w:ascii="Arial" w:cs="Arial" w:eastAsia="Arial" w:hAnsi="Arial"/>
          <w:sz w:val="21"/>
          <w:szCs w:val="21"/>
          <w:color w:val="auto"/>
        </w:rPr>
        <w:t>”), as placement agents in connection with the PIPE Financing and financial advisors to ARYA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Placement Agents</w:t>
      </w:r>
      <w:r>
        <w:rPr>
          <w:rFonts w:ascii="Arial" w:cs="Arial" w:eastAsia="Arial" w:hAnsi="Arial"/>
          <w:sz w:val="19"/>
          <w:szCs w:val="19"/>
          <w:color w:val="auto"/>
        </w:rPr>
        <w:t>”), Skadden, Arps, Slate Meagher &amp; Flom LLP (“</w:t>
      </w:r>
      <w:r>
        <w:rPr>
          <w:rFonts w:ascii="Arial" w:cs="Arial" w:eastAsia="Arial" w:hAnsi="Arial"/>
          <w:sz w:val="19"/>
          <w:szCs w:val="19"/>
          <w:u w:val="single" w:color="auto"/>
          <w:color w:val="auto"/>
        </w:rPr>
        <w:t>Skadden</w:t>
      </w:r>
      <w:r>
        <w:rPr>
          <w:rFonts w:ascii="Arial" w:cs="Arial" w:eastAsia="Arial" w:hAnsi="Arial"/>
          <w:sz w:val="19"/>
          <w:szCs w:val="19"/>
          <w:color w:val="auto"/>
        </w:rPr>
        <w:t>”), as counsel to Jefferies and Goldman,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Nautilus, Morgan Stanley &amp; Co. LLC (“</w:t>
      </w:r>
      <w:r>
        <w:rPr>
          <w:rFonts w:ascii="Arial" w:cs="Arial" w:eastAsia="Arial" w:hAnsi="Arial"/>
          <w:sz w:val="19"/>
          <w:szCs w:val="19"/>
          <w:u w:val="single" w:color="auto"/>
          <w:color w:val="auto"/>
        </w:rPr>
        <w:t>Morgan Stanley</w:t>
      </w:r>
      <w:r>
        <w:rPr>
          <w:rFonts w:ascii="Arial" w:cs="Arial" w:eastAsia="Arial" w:hAnsi="Arial"/>
          <w:sz w:val="19"/>
          <w:szCs w:val="19"/>
          <w:color w:val="auto"/>
        </w:rPr>
        <w:t>”), as financial advisor to Nautilus, and Wilson Sonsini conducted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meeting telephonically during which the parties and their respective representatives and advisors discussed the timeline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process to signing definitive agreements providing for a potential business combination, and discussed and tentatively</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agreed on a work plan ultimately leading to such definitive agreements in late January or early February 2021.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connection with the consummation of the Business Combination, Jefferies and Goldman will be entitled to (i) </w:t>
      </w:r>
      <w:r>
        <w:rPr>
          <w:rFonts w:ascii="Arial" w:cs="Arial" w:eastAsia="Arial" w:hAnsi="Arial"/>
          <w:sz w:val="21"/>
          <w:szCs w:val="21"/>
          <w:u w:val="single" w:color="auto"/>
          <w:color w:val="auto"/>
        </w:rPr>
        <w:t>an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aggregate of $5,232,500 in</w:t>
      </w:r>
      <w:r>
        <w:rPr>
          <w:rFonts w:ascii="Arial" w:cs="Arial" w:eastAsia="Arial" w:hAnsi="Arial"/>
          <w:sz w:val="19"/>
          <w:szCs w:val="19"/>
          <w:color w:val="auto"/>
        </w:rPr>
        <w:t xml:space="preserve"> deferred underwriting compensation, as set forth in the registration statement for ARYA’s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initial public offering, and (ii) customary fees in connection with the PIPE Financing and Business Combination. These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fees will be paid at the closing of the Business Combination, and are conditioned upon the successful completion of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Business Combination; if the Business Combination does not close, Jefferies and Goldman will not be entitled to such</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fees. </w:t>
      </w:r>
      <w:r>
        <w:rPr>
          <w:rFonts w:ascii="Arial" w:cs="Arial" w:eastAsia="Arial" w:hAnsi="Arial"/>
          <w:sz w:val="21"/>
          <w:szCs w:val="21"/>
          <w:u w:val="single" w:color="auto"/>
          <w:color w:val="auto"/>
        </w:rPr>
        <w:t>Neither of the Placement Agents performed any analyses in connection with the ARYA Board’s review of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300"/>
        <w:spacing w:after="0" w:line="251" w:lineRule="auto"/>
        <w:rPr>
          <w:sz w:val="20"/>
          <w:szCs w:val="20"/>
          <w:color w:val="auto"/>
        </w:rPr>
      </w:pPr>
      <w:r>
        <w:rPr>
          <w:rFonts w:ascii="Arial" w:cs="Arial" w:eastAsia="Arial" w:hAnsi="Arial"/>
          <w:sz w:val="22"/>
          <w:szCs w:val="22"/>
          <w:b w:val="1"/>
          <w:bCs w:val="1"/>
          <w:i w:val="1"/>
          <w:iCs w:val="1"/>
          <w:color w:val="auto"/>
        </w:rPr>
        <w:t>The following disclosure replaces the second paragraph under the heading “Background to the Business Combination” on page 107 of the Proxy Statement.</w:t>
      </w:r>
    </w:p>
    <w:p>
      <w:pPr>
        <w:spacing w:after="0" w:line="200"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 xml:space="preserve">Between December 12, 2020 and December 14, 2020, representatives of ARYA and Kirkland &amp; Ellis LLP (“K&amp;E”), counsel to ARYA, on the one hand, and representatives of Nautilus and Wilson Sonsini Goodrich &amp; Rosati (“Wilson Sonsini”), counsel to Nautilus, on the other hand, held multiple calls and exchanged multiple revised drafts of the term sheet. 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 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 </w:t>
      </w:r>
      <w:r>
        <w:rPr>
          <w:rFonts w:ascii="Arial" w:cs="Arial" w:eastAsia="Arial" w:hAnsi="Arial"/>
          <w:sz w:val="19"/>
          <w:szCs w:val="19"/>
          <w:u w:val="single" w:color="auto"/>
          <w:color w:val="auto"/>
        </w:rPr>
        <w:t>In connection with these negotiations, ARYA and Nautilus also agreed that no current officers of ARYA</w:t>
      </w:r>
      <w:r>
        <w:rPr>
          <w:rFonts w:ascii="Arial" w:cs="Arial" w:eastAsia="Arial" w:hAnsi="Arial"/>
          <w:sz w:val="19"/>
          <w:szCs w:val="19"/>
          <w:color w:val="auto"/>
        </w:rPr>
        <w:t xml:space="preserve"> </w:t>
      </w:r>
      <w:r>
        <w:rPr>
          <w:rFonts w:ascii="Arial" w:cs="Arial" w:eastAsia="Arial" w:hAnsi="Arial"/>
          <w:sz w:val="19"/>
          <w:szCs w:val="19"/>
          <w:u w:val="single" w:color="auto"/>
          <w:color w:val="auto"/>
        </w:rPr>
        <w:t>will serve as officers of the combined company and the current officers of ARYA will not otherwise be employees of the combined company, upon consummation of the Business Combination, and the directors (except for the individual designated by the Sponsor, who may be one of the current directors of ARYA) and officers of ARYA each will resign as a director and/or officer of ARYA, as applicable, in connection with the closing of the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Dial-in Information</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previously announced, the extraordinary general meeting of ARYA shareholders (the “General Meeting”) will be held on Tuesday, June 8, 2021 at 9:00 a.m., New York City Time. On June 1, 2021, ARYA issued a press release announcing that, due to the public health and safety concerns related to the coronavirus (COVID-19) pandemic and recommendations and orders from federal and New York authorities, ARYA shareholders will be able to join the General Meeting remotely by teleconference. The purpose of the General Meeting is to vote on certain proposals relating to the previously announced Business Combination Agreement. A copy of the press release is furnished herewith as Exhibit 99.1 to this Current Report on Form 8-K.</w:t>
      </w:r>
    </w:p>
    <w:p>
      <w:pPr>
        <w:spacing w:after="0" w:line="177"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The General Meeting will be accessible by teleconference by dialing (833) 780-7941 (toll free-North America) or (704) 815-6180 (International) and by using the Conference ID 4491538. Shareholders will be able to ask questions to ARYA’s management via the conference line.</w:t>
      </w:r>
    </w:p>
    <w:p>
      <w:pPr>
        <w:spacing w:after="0" w:line="213" w:lineRule="exact"/>
        <w:rPr>
          <w:sz w:val="20"/>
          <w:szCs w:val="20"/>
          <w:color w:val="auto"/>
        </w:rPr>
      </w:pPr>
    </w:p>
    <w:p>
      <w:pPr>
        <w:ind w:right="780" w:firstLine="441"/>
        <w:spacing w:after="0" w:line="250" w:lineRule="auto"/>
        <w:rPr>
          <w:sz w:val="20"/>
          <w:szCs w:val="20"/>
          <w:color w:val="auto"/>
        </w:rPr>
      </w:pPr>
      <w:r>
        <w:rPr>
          <w:rFonts w:ascii="Arial" w:cs="Arial" w:eastAsia="Arial" w:hAnsi="Arial"/>
          <w:sz w:val="22"/>
          <w:szCs w:val="22"/>
          <w:color w:val="auto"/>
        </w:rPr>
        <w:t xml:space="preserve">All information about the General Meeting, including the definitive proxy statement/final prospectus, is available at </w:t>
      </w:r>
      <w:r>
        <w:rPr>
          <w:rFonts w:ascii="Arial" w:cs="Arial" w:eastAsia="Arial" w:hAnsi="Arial"/>
          <w:sz w:val="22"/>
          <w:szCs w:val="22"/>
          <w:u w:val="single" w:color="auto"/>
          <w:color w:val="auto"/>
        </w:rPr>
        <w:t>https://www.cstproxy.co /aryasciencesacquisitioncorpiii/sm2021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Additional Information</w:t>
      </w:r>
    </w:p>
    <w:p>
      <w:pPr>
        <w:spacing w:after="0" w:line="2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ARYA has filed, and the SEC has declared effective, a Registration Statement on Form S-4, containing a definitive proxy statement/final prospectus relating to the proposed Business Combination. ARYA has mailed the definitive proxy statement/final prospectus and other relevant documents to its shareholders of record. This communication is not a substitute for the definitive proxy statement/final prospectus or any other document that ARYA sent or will send to its shareholders in connection with the Business Combination. </w:t>
      </w:r>
      <w:r>
        <w:rPr>
          <w:rFonts w:ascii="Arial" w:cs="Arial" w:eastAsia="Arial" w:hAnsi="Arial"/>
          <w:sz w:val="19"/>
          <w:szCs w:val="19"/>
          <w:b w:val="1"/>
          <w:bCs w:val="1"/>
          <w:color w:val="auto"/>
        </w:rPr>
        <w:t>Investors and security holders of ARYA are advised to read the definitive proxy statement/final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prospectus in connection with ARYA’s solicitation of proxies for its extraordinary general meeting of shareholders to be held to approve the Business Combination (and related matters) because the definitive proxy statement/final prospectus contains important information about the Business Combination and the parties to the Business Combination. </w:t>
      </w:r>
      <w:r>
        <w:rPr>
          <w:rFonts w:ascii="Arial" w:cs="Arial" w:eastAsia="Arial" w:hAnsi="Arial"/>
          <w:sz w:val="19"/>
          <w:szCs w:val="19"/>
          <w:color w:val="auto"/>
        </w:rPr>
        <w:t>Shareholders are also able to obtain copies of the definitive proxy statement/final prospectus, without charge, at the SEC’s website at www.sec.gov or by directing a request to: 51 Astor Place, 10th Floor, New York, New York 10003.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22"/>
          <w:szCs w:val="22"/>
          <w:color w:val="auto"/>
        </w:rPr>
        <w:t>A list of the names of those directors and executive officers and a description of their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in ARYA is contained in the definitive proxy statement/final prospectus, which was filed with the SEC and is available free of charge at the SEC's website at www.sec.gov, or by directing a request to: 51 Astor Place, 10th Floor, New York, New York 10003.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22"/>
          <w:szCs w:val="22"/>
          <w:i w:val="1"/>
          <w:iCs w:val="1"/>
          <w:color w:val="auto"/>
        </w:rPr>
        <w:t>believe</w:t>
      </w:r>
      <w:r>
        <w:rPr>
          <w:rFonts w:ascii="Arial" w:cs="Arial" w:eastAsia="Arial" w:hAnsi="Arial"/>
          <w:sz w:val="22"/>
          <w:szCs w:val="22"/>
          <w:color w:val="auto"/>
        </w:rPr>
        <w:t>,” “</w:t>
      </w:r>
      <w:r>
        <w:rPr>
          <w:rFonts w:ascii="Arial" w:cs="Arial" w:eastAsia="Arial" w:hAnsi="Arial"/>
          <w:sz w:val="22"/>
          <w:szCs w:val="22"/>
          <w:i w:val="1"/>
          <w:iCs w:val="1"/>
          <w:color w:val="auto"/>
        </w:rPr>
        <w:t>may</w:t>
      </w:r>
      <w:r>
        <w:rPr>
          <w:rFonts w:ascii="Arial" w:cs="Arial" w:eastAsia="Arial" w:hAnsi="Arial"/>
          <w:sz w:val="22"/>
          <w:szCs w:val="22"/>
          <w:color w:val="auto"/>
        </w:rPr>
        <w:t>,” “</w:t>
      </w:r>
      <w:r>
        <w:rPr>
          <w:rFonts w:ascii="Arial" w:cs="Arial" w:eastAsia="Arial" w:hAnsi="Arial"/>
          <w:sz w:val="22"/>
          <w:szCs w:val="22"/>
          <w:i w:val="1"/>
          <w:iCs w:val="1"/>
          <w:color w:val="auto"/>
        </w:rPr>
        <w:t>will</w:t>
      </w:r>
      <w:r>
        <w:rPr>
          <w:rFonts w:ascii="Arial" w:cs="Arial" w:eastAsia="Arial" w:hAnsi="Arial"/>
          <w:sz w:val="22"/>
          <w:szCs w:val="22"/>
          <w:color w:val="auto"/>
        </w:rPr>
        <w:t>,” “</w:t>
      </w:r>
      <w:r>
        <w:rPr>
          <w:rFonts w:ascii="Arial" w:cs="Arial" w:eastAsia="Arial" w:hAnsi="Arial"/>
          <w:sz w:val="22"/>
          <w:szCs w:val="22"/>
          <w:i w:val="1"/>
          <w:iCs w:val="1"/>
          <w:color w:val="auto"/>
        </w:rPr>
        <w:t>estimate</w:t>
      </w:r>
      <w:r>
        <w:rPr>
          <w:rFonts w:ascii="Arial" w:cs="Arial" w:eastAsia="Arial" w:hAnsi="Arial"/>
          <w:sz w:val="22"/>
          <w:szCs w:val="22"/>
          <w:color w:val="auto"/>
        </w:rPr>
        <w:t>,” “</w:t>
      </w:r>
      <w:r>
        <w:rPr>
          <w:rFonts w:ascii="Arial" w:cs="Arial" w:eastAsia="Arial" w:hAnsi="Arial"/>
          <w:sz w:val="22"/>
          <w:szCs w:val="22"/>
          <w:i w:val="1"/>
          <w:iCs w:val="1"/>
          <w:color w:val="auto"/>
        </w:rPr>
        <w:t>continue</w:t>
      </w:r>
      <w:r>
        <w:rPr>
          <w:rFonts w:ascii="Arial" w:cs="Arial" w:eastAsia="Arial" w:hAnsi="Arial"/>
          <w:sz w:val="22"/>
          <w:szCs w:val="22"/>
          <w:color w:val="auto"/>
        </w:rPr>
        <w:t>,” “</w:t>
      </w:r>
      <w:r>
        <w:rPr>
          <w:rFonts w:ascii="Arial" w:cs="Arial" w:eastAsia="Arial" w:hAnsi="Arial"/>
          <w:sz w:val="22"/>
          <w:szCs w:val="22"/>
          <w:i w:val="1"/>
          <w:iCs w:val="1"/>
          <w:color w:val="auto"/>
        </w:rPr>
        <w:t>anticipate</w:t>
      </w:r>
      <w:r>
        <w:rPr>
          <w:rFonts w:ascii="Arial" w:cs="Arial" w:eastAsia="Arial" w:hAnsi="Arial"/>
          <w:sz w:val="22"/>
          <w:szCs w:val="22"/>
          <w:color w:val="auto"/>
        </w:rPr>
        <w:t>,” “</w:t>
      </w:r>
      <w:r>
        <w:rPr>
          <w:rFonts w:ascii="Arial" w:cs="Arial" w:eastAsia="Arial" w:hAnsi="Arial"/>
          <w:sz w:val="22"/>
          <w:szCs w:val="22"/>
          <w:i w:val="1"/>
          <w:iCs w:val="1"/>
          <w:color w:val="auto"/>
        </w:rPr>
        <w:t>intend</w:t>
      </w:r>
      <w:r>
        <w:rPr>
          <w:rFonts w:ascii="Arial" w:cs="Arial" w:eastAsia="Arial" w:hAnsi="Arial"/>
          <w:sz w:val="22"/>
          <w:szCs w:val="22"/>
          <w:color w:val="auto"/>
        </w:rPr>
        <w:t>,” “</w:t>
      </w:r>
      <w:r>
        <w:rPr>
          <w:rFonts w:ascii="Arial" w:cs="Arial" w:eastAsia="Arial" w:hAnsi="Arial"/>
          <w:sz w:val="22"/>
          <w:szCs w:val="22"/>
          <w:i w:val="1"/>
          <w:iCs w:val="1"/>
          <w:color w:val="auto"/>
        </w:rPr>
        <w:t>expect</w:t>
      </w:r>
      <w:r>
        <w:rPr>
          <w:rFonts w:ascii="Arial" w:cs="Arial" w:eastAsia="Arial" w:hAnsi="Arial"/>
          <w:sz w:val="22"/>
          <w:szCs w:val="22"/>
          <w:color w:val="auto"/>
        </w:rPr>
        <w:t>,” “</w:t>
      </w:r>
      <w:r>
        <w:rPr>
          <w:rFonts w:ascii="Arial" w:cs="Arial" w:eastAsia="Arial" w:hAnsi="Arial"/>
          <w:sz w:val="22"/>
          <w:szCs w:val="22"/>
          <w:i w:val="1"/>
          <w:iCs w:val="1"/>
          <w:color w:val="auto"/>
        </w:rPr>
        <w:t>should</w:t>
      </w:r>
      <w:r>
        <w:rPr>
          <w:rFonts w:ascii="Arial" w:cs="Arial" w:eastAsia="Arial" w:hAnsi="Arial"/>
          <w:sz w:val="22"/>
          <w:szCs w:val="22"/>
          <w:color w:val="auto"/>
        </w:rPr>
        <w:t>,” “</w:t>
      </w:r>
      <w:r>
        <w:rPr>
          <w:rFonts w:ascii="Arial" w:cs="Arial" w:eastAsia="Arial" w:hAnsi="Arial"/>
          <w:sz w:val="22"/>
          <w:szCs w:val="22"/>
          <w:i w:val="1"/>
          <w:iCs w:val="1"/>
          <w:color w:val="auto"/>
        </w:rPr>
        <w:t>would</w:t>
      </w:r>
      <w:r>
        <w:rPr>
          <w:rFonts w:ascii="Arial" w:cs="Arial" w:eastAsia="Arial" w:hAnsi="Arial"/>
          <w:sz w:val="22"/>
          <w:szCs w:val="22"/>
          <w:color w:val="auto"/>
        </w:rPr>
        <w:t>,” “</w:t>
      </w:r>
      <w:r>
        <w:rPr>
          <w:rFonts w:ascii="Arial" w:cs="Arial" w:eastAsia="Arial" w:hAnsi="Arial"/>
          <w:sz w:val="22"/>
          <w:szCs w:val="22"/>
          <w:i w:val="1"/>
          <w:iCs w:val="1"/>
          <w:color w:val="auto"/>
        </w:rPr>
        <w:t>plan</w:t>
      </w:r>
      <w:r>
        <w:rPr>
          <w:rFonts w:ascii="Arial" w:cs="Arial" w:eastAsia="Arial" w:hAnsi="Arial"/>
          <w:sz w:val="22"/>
          <w:szCs w:val="22"/>
          <w:color w:val="auto"/>
        </w:rPr>
        <w:t>,” “</w:t>
      </w:r>
      <w:r>
        <w:rPr>
          <w:rFonts w:ascii="Arial" w:cs="Arial" w:eastAsia="Arial" w:hAnsi="Arial"/>
          <w:sz w:val="22"/>
          <w:szCs w:val="22"/>
          <w:i w:val="1"/>
          <w:iCs w:val="1"/>
          <w:color w:val="auto"/>
        </w:rPr>
        <w:t>predict</w:t>
      </w:r>
      <w:r>
        <w:rPr>
          <w:rFonts w:ascii="Arial" w:cs="Arial" w:eastAsia="Arial" w:hAnsi="Arial"/>
          <w:sz w:val="22"/>
          <w:szCs w:val="22"/>
          <w:color w:val="auto"/>
        </w:rPr>
        <w:t>,” “</w:t>
      </w:r>
      <w:r>
        <w:rPr>
          <w:rFonts w:ascii="Arial" w:cs="Arial" w:eastAsia="Arial" w:hAnsi="Arial"/>
          <w:sz w:val="22"/>
          <w:szCs w:val="22"/>
          <w:i w:val="1"/>
          <w:iCs w:val="1"/>
          <w:color w:val="auto"/>
        </w:rPr>
        <w:t>potential</w:t>
      </w:r>
      <w:r>
        <w:rPr>
          <w:rFonts w:ascii="Arial" w:cs="Arial" w:eastAsia="Arial" w:hAnsi="Arial"/>
          <w:sz w:val="22"/>
          <w:szCs w:val="22"/>
          <w:color w:val="auto"/>
        </w:rPr>
        <w:t>,” “</w:t>
      </w:r>
      <w:r>
        <w:rPr>
          <w:rFonts w:ascii="Arial" w:cs="Arial" w:eastAsia="Arial" w:hAnsi="Arial"/>
          <w:sz w:val="22"/>
          <w:szCs w:val="22"/>
          <w:i w:val="1"/>
          <w:iCs w:val="1"/>
          <w:color w:val="auto"/>
        </w:rPr>
        <w:t>seem</w:t>
      </w:r>
      <w:r>
        <w:rPr>
          <w:rFonts w:ascii="Arial" w:cs="Arial" w:eastAsia="Arial" w:hAnsi="Arial"/>
          <w:sz w:val="22"/>
          <w:szCs w:val="22"/>
          <w:color w:val="auto"/>
        </w:rPr>
        <w:t>,” “</w:t>
      </w:r>
      <w:r>
        <w:rPr>
          <w:rFonts w:ascii="Arial" w:cs="Arial" w:eastAsia="Arial" w:hAnsi="Arial"/>
          <w:sz w:val="22"/>
          <w:szCs w:val="22"/>
          <w:i w:val="1"/>
          <w:iCs w:val="1"/>
          <w:color w:val="auto"/>
        </w:rPr>
        <w:t>seek</w:t>
      </w:r>
      <w:r>
        <w:rPr>
          <w:rFonts w:ascii="Arial" w:cs="Arial" w:eastAsia="Arial" w:hAnsi="Arial"/>
          <w:sz w:val="22"/>
          <w:szCs w:val="22"/>
          <w:color w:val="auto"/>
        </w:rPr>
        <w:t>,” “</w:t>
      </w:r>
      <w:r>
        <w:rPr>
          <w:rFonts w:ascii="Arial" w:cs="Arial" w:eastAsia="Arial" w:hAnsi="Arial"/>
          <w:sz w:val="22"/>
          <w:szCs w:val="22"/>
          <w:i w:val="1"/>
          <w:iCs w:val="1"/>
          <w:color w:val="auto"/>
        </w:rPr>
        <w:t>future</w:t>
      </w:r>
      <w:r>
        <w:rPr>
          <w:rFonts w:ascii="Arial" w:cs="Arial" w:eastAsia="Arial" w:hAnsi="Arial"/>
          <w:sz w:val="22"/>
          <w:szCs w:val="22"/>
          <w:color w:val="auto"/>
        </w:rPr>
        <w:t>,” “</w:t>
      </w:r>
      <w:r>
        <w:rPr>
          <w:rFonts w:ascii="Arial" w:cs="Arial" w:eastAsia="Arial" w:hAnsi="Arial"/>
          <w:sz w:val="22"/>
          <w:szCs w:val="22"/>
          <w:i w:val="1"/>
          <w:iCs w:val="1"/>
          <w:color w:val="auto"/>
        </w:rPr>
        <w:t>outlook</w:t>
      </w:r>
      <w:r>
        <w:rPr>
          <w:rFonts w:ascii="Arial" w:cs="Arial" w:eastAsia="Arial" w:hAnsi="Arial"/>
          <w:sz w:val="22"/>
          <w:szCs w:val="22"/>
          <w:color w:val="auto"/>
        </w:rPr>
        <w:t>” and similar expressions that predict or indicate future events or trends or that are not statements of historical matters.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definitive proxy statement/final prospectus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Disclaimer</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filed with this Current Report on Form 8-K.</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5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300"/>
        <w:spacing w:after="0"/>
        <w:tabs>
          <w:tab w:leader="none" w:pos="900" w:val="left"/>
        </w:tabs>
        <w:rPr>
          <w:rFonts w:ascii="Arial" w:cs="Arial" w:eastAsia="Arial" w:hAnsi="Arial"/>
          <w:sz w:val="18"/>
          <w:szCs w:val="18"/>
          <w:color w:val="0000EE"/>
        </w:rPr>
      </w:pPr>
      <w:hyperlink w:anchor="page7">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1" w:right="919" w:bottom="1440" w:gutter="0" w:footer="0" w:header="0"/>
        </w:sectPr>
      </w:pPr>
    </w:p>
    <w:bookmarkStart w:id="6" w:name="page7"/>
    <w:bookmarkEnd w:id="6"/>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 Announces Extraordinary General Meeting Teleconference Details</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NEW YORK, NY, JUNE 1, 2021—ARYA Sciences Acquisition Corp III (“ARYA”) (Nasdaq: ARYA), today announced that, due to the public health and safety concerns related to the coronavirus (COVID-19) pandemic and recommendations and orders from federal and New York authorities, ARYA is strongly encouraging that shareholders attend the extraordinary general meeting of its shareholders on June 8, 2021 at 9:00 a.m., New York City Time (the “General Meeting”) remotely by teleconference rather than in person. The purpose of the General Meeting is to vote on certain proposals relating to the previously announced Business Combination Agreement, dated as of February 7, 2021 (the “Business Combination Agreement”), by and among ARYA, Nautilus Biotechnology, Inc. (“Nautilus”) and on the transactions contemplated thereby (the “Business Combination”).</w:t>
      </w:r>
    </w:p>
    <w:p>
      <w:pPr>
        <w:spacing w:after="0" w:line="173" w:lineRule="exact"/>
        <w:rPr>
          <w:sz w:val="20"/>
          <w:szCs w:val="20"/>
          <w:color w:val="auto"/>
        </w:rPr>
      </w:pPr>
    </w:p>
    <w:p>
      <w:pPr>
        <w:ind w:right="180" w:firstLine="648"/>
        <w:spacing w:after="0" w:line="243" w:lineRule="auto"/>
        <w:rPr>
          <w:sz w:val="20"/>
          <w:szCs w:val="20"/>
          <w:color w:val="auto"/>
        </w:rPr>
      </w:pPr>
      <w:r>
        <w:rPr>
          <w:rFonts w:ascii="Arial" w:cs="Arial" w:eastAsia="Arial" w:hAnsi="Arial"/>
          <w:sz w:val="22"/>
          <w:szCs w:val="22"/>
          <w:color w:val="auto"/>
        </w:rPr>
        <w:t xml:space="preserve">The General Meeting will be accessible by dialing </w:t>
      </w:r>
      <w:r>
        <w:rPr>
          <w:rFonts w:ascii="Arial" w:cs="Arial" w:eastAsia="Arial" w:hAnsi="Arial"/>
          <w:sz w:val="22"/>
          <w:szCs w:val="22"/>
          <w:b w:val="1"/>
          <w:bCs w:val="1"/>
          <w:color w:val="auto"/>
        </w:rPr>
        <w:t>(833) 780-7941</w:t>
      </w:r>
      <w:r>
        <w:rPr>
          <w:rFonts w:ascii="Arial" w:cs="Arial" w:eastAsia="Arial" w:hAnsi="Arial"/>
          <w:sz w:val="22"/>
          <w:szCs w:val="22"/>
          <w:color w:val="auto"/>
        </w:rPr>
        <w:t xml:space="preserve"> (toll free-North America) or </w:t>
      </w:r>
      <w:r>
        <w:rPr>
          <w:rFonts w:ascii="Arial" w:cs="Arial" w:eastAsia="Arial" w:hAnsi="Arial"/>
          <w:sz w:val="22"/>
          <w:szCs w:val="22"/>
          <w:b w:val="1"/>
          <w:bCs w:val="1"/>
          <w:color w:val="auto"/>
        </w:rPr>
        <w:t>(704) 815-6180</w:t>
      </w:r>
      <w:r>
        <w:rPr>
          <w:rFonts w:ascii="Arial" w:cs="Arial" w:eastAsia="Arial" w:hAnsi="Arial"/>
          <w:sz w:val="22"/>
          <w:szCs w:val="22"/>
          <w:color w:val="auto"/>
        </w:rPr>
        <w:t xml:space="preserve"> (International) and by using the Conference ID </w:t>
      </w:r>
      <w:r>
        <w:rPr>
          <w:rFonts w:ascii="Arial" w:cs="Arial" w:eastAsia="Arial" w:hAnsi="Arial"/>
          <w:sz w:val="22"/>
          <w:szCs w:val="22"/>
          <w:b w:val="1"/>
          <w:bCs w:val="1"/>
          <w:color w:val="auto"/>
        </w:rPr>
        <w:t>4491538</w:t>
      </w:r>
      <w:r>
        <w:rPr>
          <w:rFonts w:ascii="Arial" w:cs="Arial" w:eastAsia="Arial" w:hAnsi="Arial"/>
          <w:sz w:val="22"/>
          <w:szCs w:val="22"/>
          <w:color w:val="auto"/>
        </w:rPr>
        <w:t>. Shareholders will be able to ask questions to ARYA’s management via the conference line.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39" w:lineRule="exact"/>
        <w:rPr>
          <w:sz w:val="20"/>
          <w:szCs w:val="20"/>
          <w:color w:val="auto"/>
        </w:rPr>
      </w:pPr>
    </w:p>
    <w:p>
      <w:pPr>
        <w:ind w:right="620" w:firstLine="648"/>
        <w:spacing w:after="0" w:line="274" w:lineRule="auto"/>
        <w:rPr>
          <w:sz w:val="20"/>
          <w:szCs w:val="20"/>
          <w:color w:val="auto"/>
        </w:rPr>
      </w:pPr>
      <w:r>
        <w:rPr>
          <w:rFonts w:ascii="Arial" w:cs="Arial" w:eastAsia="Arial" w:hAnsi="Arial"/>
          <w:sz w:val="21"/>
          <w:szCs w:val="21"/>
          <w:color w:val="auto"/>
        </w:rPr>
        <w:t xml:space="preserve">All information about the General Meeting, including the definitive proxy statement/final prospectus relating to the Business Combination, is available at </w:t>
      </w:r>
      <w:r>
        <w:rPr>
          <w:rFonts w:ascii="Arial" w:cs="Arial" w:eastAsia="Arial" w:hAnsi="Arial"/>
          <w:sz w:val="21"/>
          <w:szCs w:val="21"/>
          <w:u w:val="single" w:color="auto"/>
          <w:color w:val="auto"/>
        </w:rPr>
        <w:t>https://www.cstproxy.com/aryasciencesacquisitioncorpiii/sm2021</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ARYA has filed, and the Securities and Exchange Commission (“SEC”) has declared effective, a Registration Statement on Form S-4, containing a definitive proxy statement/final prospectus relating to the proposed Business Combination. ARYA has mailed the definitive proxy statement/final prospectus and other relevant documents to its shareholders of record. This communication is not a substitute for the definitive proxy statement/final prospectus or any other document that ARYA sent or will send to its shareholders in connection with the Business Combination. </w:t>
      </w:r>
      <w:r>
        <w:rPr>
          <w:rFonts w:ascii="Arial" w:cs="Arial" w:eastAsia="Arial" w:hAnsi="Arial"/>
          <w:sz w:val="21"/>
          <w:szCs w:val="21"/>
          <w:b w:val="1"/>
          <w:bCs w:val="1"/>
          <w:color w:val="auto"/>
        </w:rPr>
        <w:t>Investors and security holders of ARYA are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advised to read the definitive proxy statement/final prospectus in connection with ARYA’s solicitation of proxies for its extraordinary general meeting of shareholders to be held to approve the Business Combination (and related matters) because the definitive proxy statement/final prospectus contains important information about the Business Combination and the parties to the Business Combination. </w:t>
      </w:r>
      <w:r>
        <w:rPr>
          <w:rFonts w:ascii="Arial" w:cs="Arial" w:eastAsia="Arial" w:hAnsi="Arial"/>
          <w:sz w:val="21"/>
          <w:szCs w:val="21"/>
          <w:color w:val="auto"/>
        </w:rPr>
        <w:t>Shareholders are also able to obtain copies of the definitive proxy</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statement/final prospectus, without charge, at the SEC’s website at www.sec.gov or by directing a request to: 51 Astor Place, 10th Floor, New York, New York 10003.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8"/>
          <w:szCs w:val="18"/>
          <w:color w:val="auto"/>
        </w:rPr>
        <w:t>A list of the names</w:t>
      </w:r>
      <w:r>
        <w:rPr>
          <w:rFonts w:ascii="Arial" w:cs="Arial" w:eastAsia="Arial" w:hAnsi="Arial"/>
          <w:sz w:val="18"/>
          <w:szCs w:val="18"/>
          <w:b w:val="1"/>
          <w:bCs w:val="1"/>
          <w:color w:val="auto"/>
        </w:rPr>
        <w:t xml:space="preserve"> </w:t>
      </w:r>
      <w:r>
        <w:rPr>
          <w:rFonts w:ascii="Arial" w:cs="Arial" w:eastAsia="Arial" w:hAnsi="Arial"/>
          <w:sz w:val="18"/>
          <w:szCs w:val="18"/>
          <w:color w:val="auto"/>
        </w:rPr>
        <w:t>of those directors and executive officers and a description of their interests in ARYA is contained in the definitive proxy statement/final prospectus, which was filed with the SEC and is available free of charge at the SEC's website at www.sec.gov, or by directing a request to: 51 Astor Place, 10th Floor, New York, New York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 Looking Statements</w:t>
      </w:r>
    </w:p>
    <w:p>
      <w:pPr>
        <w:spacing w:after="0" w:line="2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9"/>
          <w:szCs w:val="19"/>
          <w:i w:val="1"/>
          <w:iCs w:val="1"/>
          <w:color w:val="auto"/>
        </w:rPr>
        <w:t>believe</w:t>
      </w:r>
      <w:r>
        <w:rPr>
          <w:rFonts w:ascii="Arial" w:cs="Arial" w:eastAsia="Arial" w:hAnsi="Arial"/>
          <w:sz w:val="19"/>
          <w:szCs w:val="19"/>
          <w:color w:val="auto"/>
        </w:rPr>
        <w:t>,” “</w:t>
      </w:r>
      <w:r>
        <w:rPr>
          <w:rFonts w:ascii="Arial" w:cs="Arial" w:eastAsia="Arial" w:hAnsi="Arial"/>
          <w:sz w:val="19"/>
          <w:szCs w:val="19"/>
          <w:i w:val="1"/>
          <w:iCs w:val="1"/>
          <w:color w:val="auto"/>
        </w:rPr>
        <w:t>may</w:t>
      </w:r>
      <w:r>
        <w:rPr>
          <w:rFonts w:ascii="Arial" w:cs="Arial" w:eastAsia="Arial" w:hAnsi="Arial"/>
          <w:sz w:val="19"/>
          <w:szCs w:val="19"/>
          <w:color w:val="auto"/>
        </w:rPr>
        <w:t>,” “</w:t>
      </w:r>
      <w:r>
        <w:rPr>
          <w:rFonts w:ascii="Arial" w:cs="Arial" w:eastAsia="Arial" w:hAnsi="Arial"/>
          <w:sz w:val="19"/>
          <w:szCs w:val="19"/>
          <w:i w:val="1"/>
          <w:iCs w:val="1"/>
          <w:color w:val="auto"/>
        </w:rPr>
        <w:t>will</w:t>
      </w:r>
      <w:r>
        <w:rPr>
          <w:rFonts w:ascii="Arial" w:cs="Arial" w:eastAsia="Arial" w:hAnsi="Arial"/>
          <w:sz w:val="19"/>
          <w:szCs w:val="19"/>
          <w:color w:val="auto"/>
        </w:rPr>
        <w:t>,” “</w:t>
      </w:r>
      <w:r>
        <w:rPr>
          <w:rFonts w:ascii="Arial" w:cs="Arial" w:eastAsia="Arial" w:hAnsi="Arial"/>
          <w:sz w:val="19"/>
          <w:szCs w:val="19"/>
          <w:i w:val="1"/>
          <w:iCs w:val="1"/>
          <w:color w:val="auto"/>
        </w:rPr>
        <w:t>estimate</w:t>
      </w:r>
      <w:r>
        <w:rPr>
          <w:rFonts w:ascii="Arial" w:cs="Arial" w:eastAsia="Arial" w:hAnsi="Arial"/>
          <w:sz w:val="19"/>
          <w:szCs w:val="19"/>
          <w:color w:val="auto"/>
        </w:rPr>
        <w:t>,” “</w:t>
      </w:r>
      <w:r>
        <w:rPr>
          <w:rFonts w:ascii="Arial" w:cs="Arial" w:eastAsia="Arial" w:hAnsi="Arial"/>
          <w:sz w:val="19"/>
          <w:szCs w:val="19"/>
          <w:i w:val="1"/>
          <w:iCs w:val="1"/>
          <w:color w:val="auto"/>
        </w:rPr>
        <w:t>continue</w:t>
      </w:r>
      <w:r>
        <w:rPr>
          <w:rFonts w:ascii="Arial" w:cs="Arial" w:eastAsia="Arial" w:hAnsi="Arial"/>
          <w:sz w:val="19"/>
          <w:szCs w:val="19"/>
          <w:color w:val="auto"/>
        </w:rPr>
        <w:t>,” “</w:t>
      </w:r>
      <w:r>
        <w:rPr>
          <w:rFonts w:ascii="Arial" w:cs="Arial" w:eastAsia="Arial" w:hAnsi="Arial"/>
          <w:sz w:val="19"/>
          <w:szCs w:val="19"/>
          <w:i w:val="1"/>
          <w:iCs w:val="1"/>
          <w:color w:val="auto"/>
        </w:rPr>
        <w:t>anticipate</w:t>
      </w:r>
      <w:r>
        <w:rPr>
          <w:rFonts w:ascii="Arial" w:cs="Arial" w:eastAsia="Arial" w:hAnsi="Arial"/>
          <w:sz w:val="19"/>
          <w:szCs w:val="19"/>
          <w:color w:val="auto"/>
        </w:rPr>
        <w:t>,” “</w:t>
      </w:r>
      <w:r>
        <w:rPr>
          <w:rFonts w:ascii="Arial" w:cs="Arial" w:eastAsia="Arial" w:hAnsi="Arial"/>
          <w:sz w:val="19"/>
          <w:szCs w:val="19"/>
          <w:i w:val="1"/>
          <w:iCs w:val="1"/>
          <w:color w:val="auto"/>
        </w:rPr>
        <w:t>intend</w:t>
      </w:r>
      <w:r>
        <w:rPr>
          <w:rFonts w:ascii="Arial" w:cs="Arial" w:eastAsia="Arial" w:hAnsi="Arial"/>
          <w:sz w:val="19"/>
          <w:szCs w:val="19"/>
          <w:color w:val="auto"/>
        </w:rPr>
        <w:t>,” “</w:t>
      </w:r>
      <w:r>
        <w:rPr>
          <w:rFonts w:ascii="Arial" w:cs="Arial" w:eastAsia="Arial" w:hAnsi="Arial"/>
          <w:sz w:val="19"/>
          <w:szCs w:val="19"/>
          <w:i w:val="1"/>
          <w:iCs w:val="1"/>
          <w:color w:val="auto"/>
        </w:rPr>
        <w:t>expect</w:t>
      </w:r>
      <w:r>
        <w:rPr>
          <w:rFonts w:ascii="Arial" w:cs="Arial" w:eastAsia="Arial" w:hAnsi="Arial"/>
          <w:sz w:val="19"/>
          <w:szCs w:val="19"/>
          <w:color w:val="auto"/>
        </w:rPr>
        <w:t>,” “</w:t>
      </w:r>
      <w:r>
        <w:rPr>
          <w:rFonts w:ascii="Arial" w:cs="Arial" w:eastAsia="Arial" w:hAnsi="Arial"/>
          <w:sz w:val="19"/>
          <w:szCs w:val="19"/>
          <w:i w:val="1"/>
          <w:iCs w:val="1"/>
          <w:color w:val="auto"/>
        </w:rPr>
        <w:t>should</w:t>
      </w:r>
      <w:r>
        <w:rPr>
          <w:rFonts w:ascii="Arial" w:cs="Arial" w:eastAsia="Arial" w:hAnsi="Arial"/>
          <w:sz w:val="19"/>
          <w:szCs w:val="19"/>
          <w:color w:val="auto"/>
        </w:rPr>
        <w:t>,” “</w:t>
      </w:r>
      <w:r>
        <w:rPr>
          <w:rFonts w:ascii="Arial" w:cs="Arial" w:eastAsia="Arial" w:hAnsi="Arial"/>
          <w:sz w:val="19"/>
          <w:szCs w:val="19"/>
          <w:i w:val="1"/>
          <w:iCs w:val="1"/>
          <w:color w:val="auto"/>
        </w:rPr>
        <w:t>would</w:t>
      </w:r>
      <w:r>
        <w:rPr>
          <w:rFonts w:ascii="Arial" w:cs="Arial" w:eastAsia="Arial" w:hAnsi="Arial"/>
          <w:sz w:val="19"/>
          <w:szCs w:val="19"/>
          <w:color w:val="auto"/>
        </w:rPr>
        <w:t>,” “</w:t>
      </w:r>
      <w:r>
        <w:rPr>
          <w:rFonts w:ascii="Arial" w:cs="Arial" w:eastAsia="Arial" w:hAnsi="Arial"/>
          <w:sz w:val="19"/>
          <w:szCs w:val="19"/>
          <w:i w:val="1"/>
          <w:iCs w:val="1"/>
          <w:color w:val="auto"/>
        </w:rPr>
        <w:t>plan</w:t>
      </w:r>
      <w:r>
        <w:rPr>
          <w:rFonts w:ascii="Arial" w:cs="Arial" w:eastAsia="Arial" w:hAnsi="Arial"/>
          <w:sz w:val="19"/>
          <w:szCs w:val="19"/>
          <w:color w:val="auto"/>
        </w:rPr>
        <w:t>,” “</w:t>
      </w:r>
      <w:r>
        <w:rPr>
          <w:rFonts w:ascii="Arial" w:cs="Arial" w:eastAsia="Arial" w:hAnsi="Arial"/>
          <w:sz w:val="19"/>
          <w:szCs w:val="19"/>
          <w:i w:val="1"/>
          <w:iCs w:val="1"/>
          <w:color w:val="auto"/>
        </w:rPr>
        <w:t>predict</w:t>
      </w:r>
      <w:r>
        <w:rPr>
          <w:rFonts w:ascii="Arial" w:cs="Arial" w:eastAsia="Arial" w:hAnsi="Arial"/>
          <w:sz w:val="19"/>
          <w:szCs w:val="19"/>
          <w:color w:val="auto"/>
        </w:rPr>
        <w:t>,” “</w:t>
      </w:r>
      <w:r>
        <w:rPr>
          <w:rFonts w:ascii="Arial" w:cs="Arial" w:eastAsia="Arial" w:hAnsi="Arial"/>
          <w:sz w:val="19"/>
          <w:szCs w:val="19"/>
          <w:i w:val="1"/>
          <w:iCs w:val="1"/>
          <w:color w:val="auto"/>
        </w:rPr>
        <w:t>potential</w:t>
      </w:r>
      <w:r>
        <w:rPr>
          <w:rFonts w:ascii="Arial" w:cs="Arial" w:eastAsia="Arial" w:hAnsi="Arial"/>
          <w:sz w:val="19"/>
          <w:szCs w:val="19"/>
          <w:color w:val="auto"/>
        </w:rPr>
        <w:t>,” “</w:t>
      </w:r>
      <w:r>
        <w:rPr>
          <w:rFonts w:ascii="Arial" w:cs="Arial" w:eastAsia="Arial" w:hAnsi="Arial"/>
          <w:sz w:val="19"/>
          <w:szCs w:val="19"/>
          <w:i w:val="1"/>
          <w:iCs w:val="1"/>
          <w:color w:val="auto"/>
        </w:rPr>
        <w:t>seem</w:t>
      </w:r>
      <w:r>
        <w:rPr>
          <w:rFonts w:ascii="Arial" w:cs="Arial" w:eastAsia="Arial" w:hAnsi="Arial"/>
          <w:sz w:val="19"/>
          <w:szCs w:val="19"/>
          <w:color w:val="auto"/>
        </w:rPr>
        <w:t>,” “</w:t>
      </w:r>
      <w:r>
        <w:rPr>
          <w:rFonts w:ascii="Arial" w:cs="Arial" w:eastAsia="Arial" w:hAnsi="Arial"/>
          <w:sz w:val="19"/>
          <w:szCs w:val="19"/>
          <w:i w:val="1"/>
          <w:iCs w:val="1"/>
          <w:color w:val="auto"/>
        </w:rPr>
        <w:t>seek</w:t>
      </w:r>
      <w:r>
        <w:rPr>
          <w:rFonts w:ascii="Arial" w:cs="Arial" w:eastAsia="Arial" w:hAnsi="Arial"/>
          <w:sz w:val="19"/>
          <w:szCs w:val="19"/>
          <w:color w:val="auto"/>
        </w:rPr>
        <w:t>,” “</w:t>
      </w:r>
      <w:r>
        <w:rPr>
          <w:rFonts w:ascii="Arial" w:cs="Arial" w:eastAsia="Arial" w:hAnsi="Arial"/>
          <w:sz w:val="19"/>
          <w:szCs w:val="19"/>
          <w:i w:val="1"/>
          <w:iCs w:val="1"/>
          <w:color w:val="auto"/>
        </w:rPr>
        <w:t>future</w:t>
      </w:r>
      <w:r>
        <w:rPr>
          <w:rFonts w:ascii="Arial" w:cs="Arial" w:eastAsia="Arial" w:hAnsi="Arial"/>
          <w:sz w:val="19"/>
          <w:szCs w:val="19"/>
          <w:color w:val="auto"/>
        </w:rPr>
        <w:t>,” “</w:t>
      </w:r>
      <w:r>
        <w:rPr>
          <w:rFonts w:ascii="Arial" w:cs="Arial" w:eastAsia="Arial" w:hAnsi="Arial"/>
          <w:sz w:val="19"/>
          <w:szCs w:val="19"/>
          <w:i w:val="1"/>
          <w:iCs w:val="1"/>
          <w:color w:val="auto"/>
        </w:rPr>
        <w:t>outlook</w:t>
      </w:r>
      <w:r>
        <w:rPr>
          <w:rFonts w:ascii="Arial" w:cs="Arial" w:eastAsia="Arial" w:hAnsi="Arial"/>
          <w:sz w:val="19"/>
          <w:szCs w:val="19"/>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definitive proxy statement/final prospectus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Disclaimer</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Michael Altman</w:t>
      </w:r>
    </w:p>
    <w:p>
      <w:pPr>
        <w:spacing w:after="0" w:line="238" w:lineRule="auto"/>
        <w:rPr>
          <w:sz w:val="20"/>
          <w:szCs w:val="20"/>
          <w:color w:val="auto"/>
        </w:rPr>
      </w:pPr>
      <w:r>
        <w:rPr>
          <w:rFonts w:ascii="Arial" w:cs="Arial" w:eastAsia="Arial" w:hAnsi="Arial"/>
          <w:sz w:val="22"/>
          <w:szCs w:val="22"/>
          <w:color w:val="auto"/>
        </w:rPr>
        <w:t>Chief Financial Officer of ARYA Sciences Acquisition Corp III</w:t>
      </w:r>
    </w:p>
    <w:p>
      <w:pPr>
        <w:spacing w:after="0" w:line="230" w:lineRule="auto"/>
        <w:rPr>
          <w:sz w:val="20"/>
          <w:szCs w:val="20"/>
          <w:color w:val="auto"/>
        </w:rPr>
      </w:pPr>
      <w:r>
        <w:rPr>
          <w:rFonts w:ascii="Arial" w:cs="Arial" w:eastAsia="Arial" w:hAnsi="Arial"/>
          <w:sz w:val="22"/>
          <w:szCs w:val="22"/>
          <w:color w:val="auto"/>
        </w:rPr>
        <w:t>646-205-5300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arya3@perceptivelife.com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2021-06-01T16:08:06Z</dcterms:created>
  <dcterms:modified xsi:type="dcterms:W3CDTF">2021-06-01T16:08:06Z</dcterms:modified>
</cp:coreProperties>
</file>