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17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0"/>
          <w:szCs w:val="40"/>
          <w:b w:val="1"/>
          <w:bCs w:val="1"/>
          <w:color w:val="auto"/>
        </w:rPr>
        <w:t>Nautilus Biotechnology, Inc.</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1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63909J 108</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2"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Sujal Patel</w:t>
      </w:r>
    </w:p>
    <w:p>
      <w:pPr>
        <w:ind w:left="4600"/>
        <w:spacing w:after="0" w:line="210" w:lineRule="auto"/>
        <w:rPr>
          <w:sz w:val="20"/>
          <w:szCs w:val="20"/>
          <w:color w:val="auto"/>
        </w:rPr>
      </w:pPr>
      <w:r>
        <w:rPr>
          <w:rFonts w:ascii="Times New Roman" w:cs="Times New Roman" w:eastAsia="Times New Roman" w:hAnsi="Times New Roman"/>
          <w:sz w:val="18"/>
          <w:szCs w:val="18"/>
          <w:b w:val="1"/>
          <w:bCs w:val="1"/>
          <w:color w:val="auto"/>
        </w:rPr>
        <w:t>2701 Eastlake Avenue East</w:t>
      </w:r>
    </w:p>
    <w:p>
      <w:pPr>
        <w:jc w:val="center"/>
        <w:ind w:right="-39"/>
        <w:spacing w:after="0" w:line="203" w:lineRule="auto"/>
        <w:rPr>
          <w:sz w:val="20"/>
          <w:szCs w:val="20"/>
          <w:color w:val="auto"/>
        </w:rPr>
      </w:pPr>
      <w:r>
        <w:rPr>
          <w:rFonts w:ascii="Times New Roman" w:cs="Times New Roman" w:eastAsia="Times New Roman" w:hAnsi="Times New Roman"/>
          <w:sz w:val="18"/>
          <w:szCs w:val="18"/>
          <w:b w:val="1"/>
          <w:bCs w:val="1"/>
          <w:color w:val="auto"/>
        </w:rPr>
        <w:t>Seattle, Washington 98102</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(206) 333-2001</w:t>
      </w:r>
    </w:p>
    <w:p>
      <w:pPr>
        <w:spacing w:after="0" w:line="9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15"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Robert F. Kornegay</w:t>
      </w:r>
    </w:p>
    <w:p>
      <w:pPr>
        <w:jc w:val="center"/>
        <w:ind w:right="120"/>
        <w:spacing w:after="0" w:line="219" w:lineRule="auto"/>
        <w:rPr>
          <w:sz w:val="20"/>
          <w:szCs w:val="20"/>
          <w:color w:val="auto"/>
        </w:rPr>
      </w:pPr>
      <w:r>
        <w:rPr>
          <w:rFonts w:ascii="Times New Roman" w:cs="Times New Roman" w:eastAsia="Times New Roman" w:hAnsi="Times New Roman"/>
          <w:sz w:val="18"/>
          <w:szCs w:val="18"/>
          <w:b w:val="1"/>
          <w:bCs w:val="1"/>
          <w:color w:val="auto"/>
        </w:rPr>
        <w:t>Wilson Sonsini Goodrich &amp; Rosati, P.C.</w:t>
      </w:r>
    </w:p>
    <w:p>
      <w:pPr>
        <w:jc w:val="center"/>
        <w:ind w:right="120"/>
        <w:spacing w:after="0" w:line="203" w:lineRule="auto"/>
        <w:rPr>
          <w:sz w:val="20"/>
          <w:szCs w:val="20"/>
          <w:color w:val="auto"/>
        </w:rPr>
      </w:pPr>
      <w:r>
        <w:rPr>
          <w:rFonts w:ascii="Times New Roman" w:cs="Times New Roman" w:eastAsia="Times New Roman" w:hAnsi="Times New Roman"/>
          <w:sz w:val="18"/>
          <w:szCs w:val="18"/>
          <w:b w:val="1"/>
          <w:bCs w:val="1"/>
          <w:color w:val="auto"/>
        </w:rPr>
        <w:t>650 Page Mill Road</w:t>
      </w:r>
    </w:p>
    <w:p>
      <w:pPr>
        <w:jc w:val="center"/>
        <w:ind w:right="120"/>
        <w:spacing w:after="0" w:line="204" w:lineRule="auto"/>
        <w:rPr>
          <w:sz w:val="20"/>
          <w:szCs w:val="20"/>
          <w:color w:val="auto"/>
        </w:rPr>
      </w:pPr>
      <w:r>
        <w:rPr>
          <w:rFonts w:ascii="Times New Roman" w:cs="Times New Roman" w:eastAsia="Times New Roman" w:hAnsi="Times New Roman"/>
          <w:sz w:val="18"/>
          <w:szCs w:val="18"/>
          <w:b w:val="1"/>
          <w:bCs w:val="1"/>
          <w:color w:val="auto"/>
        </w:rPr>
        <w:t>Palo Alto, California 94304</w:t>
      </w: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(650) 493-9300</w:t>
      </w:r>
    </w:p>
    <w:p>
      <w:pPr>
        <w:spacing w:after="0" w:line="2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February 27, 2023</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192" w:lineRule="exact"/>
        <w:rPr>
          <w:sz w:val="24"/>
          <w:szCs w:val="24"/>
          <w:color w:val="auto"/>
        </w:rPr>
      </w:pPr>
    </w:p>
    <w:p>
      <w:pPr>
        <w:ind w:right="380"/>
        <w:spacing w:after="0" w:line="206"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2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9" w:lineRule="exact"/>
        <w:rPr>
          <w:sz w:val="24"/>
          <w:szCs w:val="24"/>
          <w:color w:val="auto"/>
        </w:rPr>
      </w:pPr>
    </w:p>
    <w:p>
      <w:pPr>
        <w:ind w:left="480" w:right="240" w:hanging="454"/>
        <w:spacing w:after="0" w:line="237" w:lineRule="auto"/>
        <w:tabs>
          <w:tab w:leader="none" w:pos="4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w:t>
      </w:r>
    </w:p>
    <w:p>
      <w:pPr>
        <w:spacing w:after="0" w:line="2" w:lineRule="exact"/>
        <w:rPr>
          <w:sz w:val="24"/>
          <w:szCs w:val="24"/>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Act of 1934 (“Act”) or otherwise subject to the liabilities of that section of the Act but shall be subject to all other provisions of the Act (however, see the Notes).</w:t>
      </w:r>
    </w:p>
    <w:p>
      <w:pPr>
        <w:sectPr>
          <w:pgSz w:w="11900" w:h="16838" w:orient="portrait"/>
          <w:cols w:equalWidth="0" w:num="1">
            <w:col w:w="11220"/>
          </w:cols>
          <w:pgMar w:left="320" w:top="1440" w:right="359" w:bottom="1440" w:gutter="0" w:footer="0" w:header="0"/>
        </w:sectPr>
      </w:pPr>
    </w:p>
    <w:bookmarkStart w:id="1" w:name="page2"/>
    <w:bookmarkEnd w:id="1"/>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CUSIP No. 63909J 108</w:t>
      </w:r>
    </w:p>
    <w:p>
      <w:pPr>
        <w:spacing w:after="0" w:line="38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20" w:type="dxa"/>
            <w:vAlign w:val="bottom"/>
            <w:tcBorders>
              <w:top w:val="single" w:sz="8" w:color="auto"/>
              <w:left w:val="single" w:sz="8" w:color="auto"/>
            </w:tcBorders>
          </w:tcPr>
          <w:p>
            <w:pPr>
              <w:ind w:left="140"/>
              <w:spacing w:after="0" w:line="203" w:lineRule="exact"/>
              <w:rPr>
                <w:sz w:val="20"/>
                <w:szCs w:val="20"/>
                <w:color w:val="auto"/>
              </w:rPr>
            </w:pPr>
            <w:r>
              <w:rPr>
                <w:rFonts w:ascii="Times New Roman" w:cs="Times New Roman" w:eastAsia="Times New Roman" w:hAnsi="Times New Roman"/>
                <w:sz w:val="20"/>
                <w:szCs w:val="20"/>
                <w:color w:val="auto"/>
              </w:rPr>
              <w:t>1</w:t>
            </w:r>
          </w:p>
        </w:tc>
        <w:tc>
          <w:tcPr>
            <w:tcW w:w="560" w:type="dxa"/>
            <w:vAlign w:val="bottom"/>
            <w:tcBorders>
              <w:top w:val="single" w:sz="8" w:color="auto"/>
              <w:right w:val="single" w:sz="8" w:color="auto"/>
            </w:tcBorders>
          </w:tcPr>
          <w:p>
            <w:pPr>
              <w:spacing w:after="0"/>
              <w:rPr>
                <w:sz w:val="17"/>
                <w:szCs w:val="17"/>
                <w:color w:val="auto"/>
              </w:rPr>
            </w:pPr>
          </w:p>
        </w:tc>
        <w:tc>
          <w:tcPr>
            <w:tcW w:w="10280" w:type="dxa"/>
            <w:vAlign w:val="bottom"/>
            <w:tcBorders>
              <w:top w:val="single" w:sz="8" w:color="auto"/>
              <w:right w:val="single" w:sz="8" w:color="auto"/>
            </w:tcBorders>
            <w:gridSpan w:val="4"/>
          </w:tcPr>
          <w:p>
            <w:pPr>
              <w:ind w:left="220"/>
              <w:spacing w:after="0" w:line="203" w:lineRule="exact"/>
              <w:rPr>
                <w:sz w:val="20"/>
                <w:szCs w:val="20"/>
                <w:color w:val="auto"/>
              </w:rPr>
            </w:pPr>
            <w:r>
              <w:rPr>
                <w:rFonts w:ascii="Times New Roman" w:cs="Times New Roman" w:eastAsia="Times New Roman" w:hAnsi="Times New Roman"/>
                <w:sz w:val="20"/>
                <w:szCs w:val="20"/>
                <w:color w:val="auto"/>
              </w:rPr>
              <w:t>NAMES OF REPORTING PERSON</w:t>
            </w:r>
          </w:p>
        </w:tc>
        <w:tc>
          <w:tcPr>
            <w:tcW w:w="0" w:type="dxa"/>
            <w:vAlign w:val="bottom"/>
          </w:tcPr>
          <w:p>
            <w:pPr>
              <w:spacing w:after="0"/>
              <w:rPr>
                <w:sz w:val="1"/>
                <w:szCs w:val="1"/>
                <w:color w:val="auto"/>
              </w:rPr>
            </w:pPr>
          </w:p>
        </w:tc>
      </w:tr>
      <w:tr>
        <w:trPr>
          <w:trHeight w:val="258"/>
        </w:trPr>
        <w:tc>
          <w:tcPr>
            <w:tcW w:w="420" w:type="dxa"/>
            <w:vAlign w:val="bottom"/>
            <w:tcBorders>
              <w:left w:val="single" w:sz="8" w:color="auto"/>
            </w:tcBorders>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Sujal Patel</w:t>
            </w:r>
          </w:p>
        </w:tc>
        <w:tc>
          <w:tcPr>
            <w:tcW w:w="400" w:type="dxa"/>
            <w:vAlign w:val="bottom"/>
          </w:tcPr>
          <w:p>
            <w:pPr>
              <w:spacing w:after="0"/>
              <w:rPr>
                <w:sz w:val="22"/>
                <w:szCs w:val="22"/>
                <w:color w:val="auto"/>
              </w:rPr>
            </w:pPr>
          </w:p>
        </w:tc>
        <w:tc>
          <w:tcPr>
            <w:tcW w:w="8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4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028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20" w:type="dxa"/>
            <w:vAlign w:val="bottom"/>
            <w:tcBorders>
              <w:left w:val="single" w:sz="8" w:color="auto"/>
            </w:tcBorders>
          </w:tcPr>
          <w:p>
            <w:pPr>
              <w:ind w:left="140"/>
              <w:spacing w:after="0" w:line="183" w:lineRule="exact"/>
              <w:rPr>
                <w:sz w:val="20"/>
                <w:szCs w:val="20"/>
                <w:color w:val="auto"/>
              </w:rPr>
            </w:pPr>
            <w:r>
              <w:rPr>
                <w:rFonts w:ascii="Times New Roman" w:cs="Times New Roman" w:eastAsia="Times New Roman" w:hAnsi="Times New Roman"/>
                <w:sz w:val="20"/>
                <w:szCs w:val="20"/>
                <w:color w:val="auto"/>
              </w:rPr>
              <w:t>2</w:t>
            </w:r>
          </w:p>
        </w:tc>
        <w:tc>
          <w:tcPr>
            <w:tcW w:w="560" w:type="dxa"/>
            <w:vAlign w:val="bottom"/>
            <w:tcBorders>
              <w:right w:val="single" w:sz="8" w:color="auto"/>
            </w:tcBorders>
          </w:tcPr>
          <w:p>
            <w:pPr>
              <w:spacing w:after="0"/>
              <w:rPr>
                <w:sz w:val="15"/>
                <w:szCs w:val="15"/>
                <w:color w:val="auto"/>
              </w:rPr>
            </w:pPr>
          </w:p>
        </w:tc>
        <w:tc>
          <w:tcPr>
            <w:tcW w:w="10280" w:type="dxa"/>
            <w:vAlign w:val="bottom"/>
            <w:tcBorders>
              <w:right w:val="single" w:sz="8" w:color="auto"/>
            </w:tcBorders>
            <w:gridSpan w:val="4"/>
          </w:tcPr>
          <w:p>
            <w:pPr>
              <w:ind w:left="220"/>
              <w:spacing w:after="0" w:line="183" w:lineRule="exact"/>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0" w:type="dxa"/>
            <w:vAlign w:val="bottom"/>
          </w:tcPr>
          <w:p>
            <w:pPr>
              <w:spacing w:after="0"/>
              <w:rPr>
                <w:sz w:val="1"/>
                <w:szCs w:val="1"/>
                <w:color w:val="auto"/>
              </w:rPr>
            </w:pPr>
          </w:p>
        </w:tc>
      </w:tr>
      <w:tr>
        <w:trPr>
          <w:trHeight w:val="256"/>
        </w:trPr>
        <w:tc>
          <w:tcPr>
            <w:tcW w:w="420" w:type="dxa"/>
            <w:vAlign w:val="bottom"/>
            <w:tcBorders>
              <w:left w:val="single" w:sz="8" w:color="auto"/>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1440" w:type="dxa"/>
            <w:vAlign w:val="bottom"/>
            <w:tcBorders>
              <w:bottom w:val="single" w:sz="8" w:color="auto"/>
            </w:tcBorders>
            <w:gridSpan w:val="2"/>
          </w:tcPr>
          <w:p>
            <w:pPr>
              <w:ind w:left="220"/>
              <w:spacing w:after="0" w:line="230"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 </w:t>
            </w:r>
            <w:r>
              <w:rPr>
                <w:rFonts w:ascii="MS PGothic" w:cs="MS PGothic" w:eastAsia="MS PGothic" w:hAnsi="MS PGothic"/>
                <w:sz w:val="20"/>
                <w:szCs w:val="20"/>
                <w:color w:val="auto"/>
              </w:rPr>
              <w:t>☐</w:t>
            </w:r>
          </w:p>
        </w:tc>
        <w:tc>
          <w:tcPr>
            <w:tcW w:w="400" w:type="dxa"/>
            <w:vAlign w:val="bottom"/>
            <w:tcBorders>
              <w:bottom w:val="single" w:sz="8" w:color="auto"/>
            </w:tcBorders>
          </w:tcPr>
          <w:p>
            <w:pPr>
              <w:spacing w:after="0"/>
              <w:rPr>
                <w:sz w:val="22"/>
                <w:szCs w:val="22"/>
                <w:color w:val="auto"/>
              </w:rPr>
            </w:pPr>
          </w:p>
        </w:tc>
        <w:tc>
          <w:tcPr>
            <w:tcW w:w="84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3</w:t>
            </w:r>
          </w:p>
        </w:tc>
        <w:tc>
          <w:tcPr>
            <w:tcW w:w="560" w:type="dxa"/>
            <w:vAlign w:val="bottom"/>
            <w:tcBorders>
              <w:bottom w:val="single" w:sz="8" w:color="auto"/>
              <w:right w:val="single" w:sz="8" w:color="auto"/>
            </w:tcBorders>
          </w:tcPr>
          <w:p>
            <w:pPr>
              <w:spacing w:after="0"/>
              <w:rPr>
                <w:sz w:val="21"/>
                <w:szCs w:val="21"/>
                <w:color w:val="auto"/>
              </w:rPr>
            </w:pPr>
          </w:p>
        </w:tc>
        <w:tc>
          <w:tcPr>
            <w:tcW w:w="18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20"/>
                <w:szCs w:val="20"/>
                <w:color w:val="auto"/>
              </w:rPr>
              <w:t>SEC USE ONLY</w:t>
            </w:r>
          </w:p>
        </w:tc>
        <w:tc>
          <w:tcPr>
            <w:tcW w:w="8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20" w:type="dxa"/>
            <w:vAlign w:val="bottom"/>
            <w:tcBorders>
              <w:left w:val="single" w:sz="8" w:color="auto"/>
            </w:tcBorders>
          </w:tcPr>
          <w:p>
            <w:pPr>
              <w:ind w:left="140"/>
              <w:spacing w:after="0" w:line="183" w:lineRule="exact"/>
              <w:rPr>
                <w:sz w:val="20"/>
                <w:szCs w:val="20"/>
                <w:color w:val="auto"/>
              </w:rPr>
            </w:pPr>
            <w:r>
              <w:rPr>
                <w:rFonts w:ascii="Times New Roman" w:cs="Times New Roman" w:eastAsia="Times New Roman" w:hAnsi="Times New Roman"/>
                <w:sz w:val="20"/>
                <w:szCs w:val="20"/>
                <w:color w:val="auto"/>
              </w:rPr>
              <w:t>4</w:t>
            </w:r>
          </w:p>
        </w:tc>
        <w:tc>
          <w:tcPr>
            <w:tcW w:w="560" w:type="dxa"/>
            <w:vAlign w:val="bottom"/>
            <w:tcBorders>
              <w:right w:val="single" w:sz="8" w:color="auto"/>
            </w:tcBorders>
          </w:tcPr>
          <w:p>
            <w:pPr>
              <w:spacing w:after="0"/>
              <w:rPr>
                <w:sz w:val="15"/>
                <w:szCs w:val="15"/>
                <w:color w:val="auto"/>
              </w:rPr>
            </w:pPr>
          </w:p>
        </w:tc>
        <w:tc>
          <w:tcPr>
            <w:tcW w:w="10280" w:type="dxa"/>
            <w:vAlign w:val="bottom"/>
            <w:tcBorders>
              <w:right w:val="single" w:sz="8" w:color="auto"/>
            </w:tcBorders>
            <w:gridSpan w:val="4"/>
          </w:tcPr>
          <w:p>
            <w:pPr>
              <w:ind w:left="220"/>
              <w:spacing w:after="0" w:line="183" w:lineRule="exact"/>
              <w:rPr>
                <w:sz w:val="20"/>
                <w:szCs w:val="20"/>
                <w:color w:val="auto"/>
              </w:rPr>
            </w:pPr>
            <w:r>
              <w:rPr>
                <w:rFonts w:ascii="Times New Roman" w:cs="Times New Roman" w:eastAsia="Times New Roman" w:hAnsi="Times New Roman"/>
                <w:sz w:val="20"/>
                <w:szCs w:val="20"/>
                <w:color w:val="auto"/>
              </w:rPr>
              <w:t>SOURCE OF FUNDS (See Instructions)</w:t>
            </w:r>
          </w:p>
        </w:tc>
        <w:tc>
          <w:tcPr>
            <w:tcW w:w="0" w:type="dxa"/>
            <w:vAlign w:val="bottom"/>
          </w:tcPr>
          <w:p>
            <w:pPr>
              <w:spacing w:after="0"/>
              <w:rPr>
                <w:sz w:val="1"/>
                <w:szCs w:val="1"/>
                <w:color w:val="auto"/>
              </w:rPr>
            </w:pPr>
          </w:p>
        </w:tc>
      </w:tr>
      <w:tr>
        <w:trPr>
          <w:trHeight w:val="258"/>
        </w:trPr>
        <w:tc>
          <w:tcPr>
            <w:tcW w:w="420" w:type="dxa"/>
            <w:vAlign w:val="bottom"/>
            <w:tcBorders>
              <w:left w:val="single" w:sz="8" w:color="auto"/>
            </w:tcBorders>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PF</w:t>
            </w:r>
          </w:p>
        </w:tc>
        <w:tc>
          <w:tcPr>
            <w:tcW w:w="400" w:type="dxa"/>
            <w:vAlign w:val="bottom"/>
          </w:tcPr>
          <w:p>
            <w:pPr>
              <w:spacing w:after="0"/>
              <w:rPr>
                <w:sz w:val="22"/>
                <w:szCs w:val="22"/>
                <w:color w:val="auto"/>
              </w:rPr>
            </w:pPr>
          </w:p>
        </w:tc>
        <w:tc>
          <w:tcPr>
            <w:tcW w:w="8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4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028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20" w:type="dxa"/>
            <w:vAlign w:val="bottom"/>
            <w:tcBorders>
              <w:left w:val="single" w:sz="8" w:color="auto"/>
            </w:tcBorders>
          </w:tcPr>
          <w:p>
            <w:pPr>
              <w:ind w:left="140"/>
              <w:spacing w:after="0" w:line="183" w:lineRule="exact"/>
              <w:rPr>
                <w:sz w:val="20"/>
                <w:szCs w:val="20"/>
                <w:color w:val="auto"/>
              </w:rPr>
            </w:pPr>
            <w:r>
              <w:rPr>
                <w:rFonts w:ascii="Times New Roman" w:cs="Times New Roman" w:eastAsia="Times New Roman" w:hAnsi="Times New Roman"/>
                <w:sz w:val="20"/>
                <w:szCs w:val="20"/>
                <w:color w:val="auto"/>
              </w:rPr>
              <w:t>5</w:t>
            </w:r>
          </w:p>
        </w:tc>
        <w:tc>
          <w:tcPr>
            <w:tcW w:w="560" w:type="dxa"/>
            <w:vAlign w:val="bottom"/>
            <w:tcBorders>
              <w:right w:val="single" w:sz="8" w:color="auto"/>
            </w:tcBorders>
          </w:tcPr>
          <w:p>
            <w:pPr>
              <w:spacing w:after="0"/>
              <w:rPr>
                <w:sz w:val="15"/>
                <w:szCs w:val="15"/>
                <w:color w:val="auto"/>
              </w:rPr>
            </w:pPr>
          </w:p>
        </w:tc>
        <w:tc>
          <w:tcPr>
            <w:tcW w:w="10280" w:type="dxa"/>
            <w:vAlign w:val="bottom"/>
            <w:tcBorders>
              <w:right w:val="single" w:sz="8" w:color="auto"/>
            </w:tcBorders>
            <w:gridSpan w:val="4"/>
          </w:tcPr>
          <w:p>
            <w:pPr>
              <w:ind w:left="220"/>
              <w:spacing w:after="0" w:line="183" w:lineRule="exact"/>
              <w:rPr>
                <w:sz w:val="20"/>
                <w:szCs w:val="20"/>
                <w:color w:val="auto"/>
              </w:rPr>
            </w:pPr>
            <w:r>
              <w:rPr>
                <w:rFonts w:ascii="Times New Roman" w:cs="Times New Roman" w:eastAsia="Times New Roman" w:hAnsi="Times New Roman"/>
                <w:sz w:val="20"/>
                <w:szCs w:val="20"/>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gridSpan w:val="2"/>
          </w:tcPr>
          <w:p>
            <w:pPr>
              <w:ind w:left="220"/>
              <w:spacing w:after="0" w:line="201" w:lineRule="exact"/>
              <w:rPr>
                <w:sz w:val="20"/>
                <w:szCs w:val="20"/>
                <w:color w:val="auto"/>
              </w:rPr>
            </w:pPr>
            <w:r>
              <w:rPr>
                <w:rFonts w:ascii="MS PGothic" w:cs="MS PGothic" w:eastAsia="MS PGothic" w:hAnsi="MS PGothic"/>
                <w:sz w:val="20"/>
                <w:szCs w:val="20"/>
                <w:color w:val="auto"/>
              </w:rPr>
              <w:t>☐</w:t>
            </w:r>
          </w:p>
        </w:tc>
        <w:tc>
          <w:tcPr>
            <w:tcW w:w="400" w:type="dxa"/>
            <w:vAlign w:val="bottom"/>
            <w:tcBorders>
              <w:bottom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20" w:type="dxa"/>
            <w:vAlign w:val="bottom"/>
            <w:tcBorders>
              <w:left w:val="single" w:sz="8" w:color="auto"/>
            </w:tcBorders>
          </w:tcPr>
          <w:p>
            <w:pPr>
              <w:ind w:left="140"/>
              <w:spacing w:after="0" w:line="183" w:lineRule="exact"/>
              <w:rPr>
                <w:sz w:val="20"/>
                <w:szCs w:val="20"/>
                <w:color w:val="auto"/>
              </w:rPr>
            </w:pPr>
            <w:r>
              <w:rPr>
                <w:rFonts w:ascii="Times New Roman" w:cs="Times New Roman" w:eastAsia="Times New Roman" w:hAnsi="Times New Roman"/>
                <w:sz w:val="20"/>
                <w:szCs w:val="20"/>
                <w:color w:val="auto"/>
              </w:rPr>
              <w:t>6</w:t>
            </w:r>
          </w:p>
        </w:tc>
        <w:tc>
          <w:tcPr>
            <w:tcW w:w="560" w:type="dxa"/>
            <w:vAlign w:val="bottom"/>
            <w:tcBorders>
              <w:right w:val="single" w:sz="8" w:color="auto"/>
            </w:tcBorders>
          </w:tcPr>
          <w:p>
            <w:pPr>
              <w:spacing w:after="0"/>
              <w:rPr>
                <w:sz w:val="15"/>
                <w:szCs w:val="15"/>
                <w:color w:val="auto"/>
              </w:rPr>
            </w:pPr>
          </w:p>
        </w:tc>
        <w:tc>
          <w:tcPr>
            <w:tcW w:w="10280" w:type="dxa"/>
            <w:vAlign w:val="bottom"/>
            <w:tcBorders>
              <w:right w:val="single" w:sz="8" w:color="auto"/>
            </w:tcBorders>
            <w:gridSpan w:val="4"/>
          </w:tcPr>
          <w:p>
            <w:pPr>
              <w:ind w:left="220"/>
              <w:spacing w:after="0" w:line="183" w:lineRule="exact"/>
              <w:rPr>
                <w:sz w:val="20"/>
                <w:szCs w:val="20"/>
                <w:color w:val="auto"/>
              </w:rPr>
            </w:pPr>
            <w:r>
              <w:rPr>
                <w:rFonts w:ascii="Times New Roman" w:cs="Times New Roman" w:eastAsia="Times New Roman" w:hAnsi="Times New Roman"/>
                <w:sz w:val="20"/>
                <w:szCs w:val="20"/>
                <w:color w:val="auto"/>
              </w:rPr>
              <w:t>CITIZENSHIP OR PLACE OF ORGANIZATION</w:t>
            </w:r>
          </w:p>
        </w:tc>
        <w:tc>
          <w:tcPr>
            <w:tcW w:w="0" w:type="dxa"/>
            <w:vAlign w:val="bottom"/>
          </w:tcPr>
          <w:p>
            <w:pPr>
              <w:spacing w:after="0"/>
              <w:rPr>
                <w:sz w:val="1"/>
                <w:szCs w:val="1"/>
                <w:color w:val="auto"/>
              </w:rPr>
            </w:pPr>
          </w:p>
        </w:tc>
      </w:tr>
      <w:tr>
        <w:trPr>
          <w:trHeight w:val="258"/>
        </w:trPr>
        <w:tc>
          <w:tcPr>
            <w:tcW w:w="420" w:type="dxa"/>
            <w:vAlign w:val="bottom"/>
            <w:tcBorders>
              <w:left w:val="single" w:sz="8" w:color="auto"/>
            </w:tcBorders>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USA</w:t>
            </w:r>
          </w:p>
        </w:tc>
        <w:tc>
          <w:tcPr>
            <w:tcW w:w="400" w:type="dxa"/>
            <w:vAlign w:val="bottom"/>
          </w:tcPr>
          <w:p>
            <w:pPr>
              <w:spacing w:after="0"/>
              <w:rPr>
                <w:sz w:val="22"/>
                <w:szCs w:val="22"/>
                <w:color w:val="auto"/>
              </w:rPr>
            </w:pPr>
          </w:p>
        </w:tc>
        <w:tc>
          <w:tcPr>
            <w:tcW w:w="8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4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20" w:type="dxa"/>
            <w:vAlign w:val="bottom"/>
            <w:tcBorders>
              <w:lef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Borders>
              <w:right w:val="single" w:sz="8" w:color="auto"/>
            </w:tcBorders>
          </w:tcPr>
          <w:p>
            <w:pPr>
              <w:ind w:left="40"/>
              <w:spacing w:after="0" w:line="183" w:lineRule="exact"/>
              <w:rPr>
                <w:sz w:val="20"/>
                <w:szCs w:val="20"/>
                <w:color w:val="auto"/>
              </w:rPr>
            </w:pPr>
            <w:r>
              <w:rPr>
                <w:rFonts w:ascii="Times New Roman" w:cs="Times New Roman" w:eastAsia="Times New Roman" w:hAnsi="Times New Roman"/>
                <w:sz w:val="20"/>
                <w:szCs w:val="20"/>
                <w:color w:val="auto"/>
              </w:rPr>
              <w:t>7</w:t>
            </w:r>
          </w:p>
        </w:tc>
        <w:tc>
          <w:tcPr>
            <w:tcW w:w="844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20"/>
                <w:szCs w:val="20"/>
                <w:color w:val="auto"/>
              </w:rPr>
              <w:t>SOLE VOTING POWER</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spacing w:after="0"/>
              <w:rPr>
                <w:sz w:val="24"/>
                <w:szCs w:val="24"/>
                <w:color w:val="auto"/>
              </w:rPr>
            </w:pPr>
          </w:p>
        </w:tc>
        <w:tc>
          <w:tcPr>
            <w:tcW w:w="1940" w:type="dxa"/>
            <w:vAlign w:val="bottom"/>
            <w:tcBorders>
              <w:right w:val="single" w:sz="8" w:color="auto"/>
            </w:tcBorders>
            <w:gridSpan w:val="2"/>
          </w:tcPr>
          <w:p>
            <w:pPr>
              <w:jc w:val="center"/>
              <w:ind w:right="321"/>
              <w:spacing w:after="0"/>
              <w:rPr>
                <w:sz w:val="20"/>
                <w:szCs w:val="20"/>
                <w:color w:val="auto"/>
              </w:rPr>
            </w:pPr>
            <w:r>
              <w:rPr>
                <w:rFonts w:ascii="Times New Roman" w:cs="Times New Roman" w:eastAsia="Times New Roman" w:hAnsi="Times New Roman"/>
                <w:sz w:val="20"/>
                <w:szCs w:val="20"/>
                <w:color w:val="auto"/>
                <w:w w:val="99"/>
              </w:rPr>
              <w:t>NUMBER OF</w:t>
            </w: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ind w:left="100"/>
              <w:spacing w:after="0" w:line="283" w:lineRule="exact"/>
              <w:rPr>
                <w:sz w:val="20"/>
                <w:szCs w:val="20"/>
                <w:color w:val="auto"/>
              </w:rPr>
            </w:pPr>
            <w:r>
              <w:rPr>
                <w:rFonts w:ascii="Times New Roman" w:cs="Times New Roman" w:eastAsia="Times New Roman" w:hAnsi="Times New Roman"/>
                <w:sz w:val="20"/>
                <w:szCs w:val="20"/>
                <w:color w:val="auto"/>
              </w:rPr>
              <w:t xml:space="preserve">17,133,697 </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183"/>
        </w:trPr>
        <w:tc>
          <w:tcPr>
            <w:tcW w:w="420" w:type="dxa"/>
            <w:vAlign w:val="bottom"/>
            <w:tcBorders>
              <w:left w:val="single" w:sz="8" w:color="auto"/>
            </w:tcBorders>
          </w:tcPr>
          <w:p>
            <w:pPr>
              <w:spacing w:after="0"/>
              <w:rPr>
                <w:sz w:val="15"/>
                <w:szCs w:val="15"/>
                <w:color w:val="auto"/>
              </w:rPr>
            </w:pPr>
          </w:p>
        </w:tc>
        <w:tc>
          <w:tcPr>
            <w:tcW w:w="1940" w:type="dxa"/>
            <w:vAlign w:val="bottom"/>
            <w:tcBorders>
              <w:right w:val="single" w:sz="8" w:color="auto"/>
            </w:tcBorders>
            <w:gridSpan w:val="2"/>
          </w:tcPr>
          <w:p>
            <w:pPr>
              <w:jc w:val="center"/>
              <w:ind w:right="321"/>
              <w:spacing w:after="0" w:line="183" w:lineRule="exact"/>
              <w:rPr>
                <w:sz w:val="20"/>
                <w:szCs w:val="20"/>
                <w:color w:val="auto"/>
              </w:rPr>
            </w:pPr>
            <w:r>
              <w:rPr>
                <w:rFonts w:ascii="Times New Roman" w:cs="Times New Roman" w:eastAsia="Times New Roman" w:hAnsi="Times New Roman"/>
                <w:sz w:val="20"/>
                <w:szCs w:val="20"/>
                <w:color w:val="auto"/>
                <w:w w:val="99"/>
              </w:rPr>
              <w:t>SHARES</w:t>
            </w:r>
          </w:p>
        </w:tc>
        <w:tc>
          <w:tcPr>
            <w:tcW w:w="60" w:type="dxa"/>
            <w:vAlign w:val="bottom"/>
          </w:tcPr>
          <w:p>
            <w:pPr>
              <w:spacing w:after="0"/>
              <w:rPr>
                <w:sz w:val="15"/>
                <w:szCs w:val="15"/>
                <w:color w:val="auto"/>
              </w:rPr>
            </w:pPr>
          </w:p>
        </w:tc>
        <w:tc>
          <w:tcPr>
            <w:tcW w:w="400" w:type="dxa"/>
            <w:vAlign w:val="bottom"/>
            <w:tcBorders>
              <w:right w:val="single" w:sz="8" w:color="auto"/>
            </w:tcBorders>
          </w:tcPr>
          <w:p>
            <w:pPr>
              <w:ind w:left="40"/>
              <w:spacing w:after="0" w:line="183" w:lineRule="exact"/>
              <w:rPr>
                <w:sz w:val="20"/>
                <w:szCs w:val="20"/>
                <w:color w:val="auto"/>
              </w:rPr>
            </w:pPr>
            <w:r>
              <w:rPr>
                <w:rFonts w:ascii="Times New Roman" w:cs="Times New Roman" w:eastAsia="Times New Roman" w:hAnsi="Times New Roman"/>
                <w:sz w:val="20"/>
                <w:szCs w:val="20"/>
                <w:color w:val="auto"/>
              </w:rPr>
              <w:t>8</w:t>
            </w:r>
          </w:p>
        </w:tc>
        <w:tc>
          <w:tcPr>
            <w:tcW w:w="844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20"/>
                <w:szCs w:val="20"/>
                <w:color w:val="auto"/>
              </w:rPr>
              <w:t>SHARED VOTING POWER</w:t>
            </w:r>
          </w:p>
        </w:tc>
        <w:tc>
          <w:tcPr>
            <w:tcW w:w="0" w:type="dxa"/>
            <w:vAlign w:val="bottom"/>
          </w:tcPr>
          <w:p>
            <w:pPr>
              <w:spacing w:after="0"/>
              <w:rPr>
                <w:sz w:val="1"/>
                <w:szCs w:val="1"/>
                <w:color w:val="auto"/>
              </w:rPr>
            </w:pPr>
          </w:p>
        </w:tc>
      </w:tr>
      <w:tr>
        <w:trPr>
          <w:trHeight w:val="207"/>
        </w:trPr>
        <w:tc>
          <w:tcPr>
            <w:tcW w:w="420" w:type="dxa"/>
            <w:vAlign w:val="bottom"/>
            <w:tcBorders>
              <w:left w:val="single" w:sz="8" w:color="auto"/>
            </w:tcBorders>
          </w:tcPr>
          <w:p>
            <w:pPr>
              <w:spacing w:after="0"/>
              <w:rPr>
                <w:sz w:val="17"/>
                <w:szCs w:val="17"/>
                <w:color w:val="auto"/>
              </w:rPr>
            </w:pPr>
          </w:p>
        </w:tc>
        <w:tc>
          <w:tcPr>
            <w:tcW w:w="1940" w:type="dxa"/>
            <w:vAlign w:val="bottom"/>
            <w:tcBorders>
              <w:right w:val="single" w:sz="8" w:color="auto"/>
            </w:tcBorders>
            <w:gridSpan w:val="2"/>
          </w:tcPr>
          <w:p>
            <w:pPr>
              <w:jc w:val="center"/>
              <w:ind w:right="321"/>
              <w:spacing w:after="0" w:line="207" w:lineRule="exact"/>
              <w:rPr>
                <w:sz w:val="20"/>
                <w:szCs w:val="20"/>
                <w:color w:val="auto"/>
              </w:rPr>
            </w:pPr>
            <w:r>
              <w:rPr>
                <w:rFonts w:ascii="Times New Roman" w:cs="Times New Roman" w:eastAsia="Times New Roman" w:hAnsi="Times New Roman"/>
                <w:sz w:val="20"/>
                <w:szCs w:val="20"/>
                <w:color w:val="auto"/>
                <w:w w:val="97"/>
              </w:rPr>
              <w:t>BENEFICIALLY</w:t>
            </w:r>
          </w:p>
        </w:tc>
        <w:tc>
          <w:tcPr>
            <w:tcW w:w="6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8440" w:type="dxa"/>
            <w:vAlign w:val="bottom"/>
            <w:tcBorders>
              <w:right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1,814,035</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77"/>
        </w:trPr>
        <w:tc>
          <w:tcPr>
            <w:tcW w:w="420" w:type="dxa"/>
            <w:vAlign w:val="bottom"/>
            <w:tcBorders>
              <w:left w:val="single" w:sz="8" w:color="auto"/>
            </w:tcBorders>
          </w:tcPr>
          <w:p>
            <w:pPr>
              <w:spacing w:after="0"/>
              <w:rPr>
                <w:sz w:val="6"/>
                <w:szCs w:val="6"/>
                <w:color w:val="auto"/>
              </w:rPr>
            </w:pPr>
          </w:p>
        </w:tc>
        <w:tc>
          <w:tcPr>
            <w:tcW w:w="1940" w:type="dxa"/>
            <w:vAlign w:val="bottom"/>
            <w:tcBorders>
              <w:right w:val="single" w:sz="8" w:color="auto"/>
            </w:tcBorders>
            <w:gridSpan w:val="2"/>
            <w:vMerge w:val="restart"/>
          </w:tcPr>
          <w:p>
            <w:pPr>
              <w:jc w:val="center"/>
              <w:ind w:right="301"/>
              <w:spacing w:after="0"/>
              <w:rPr>
                <w:sz w:val="20"/>
                <w:szCs w:val="20"/>
                <w:color w:val="auto"/>
              </w:rPr>
            </w:pPr>
            <w:r>
              <w:rPr>
                <w:rFonts w:ascii="Times New Roman" w:cs="Times New Roman" w:eastAsia="Times New Roman" w:hAnsi="Times New Roman"/>
                <w:sz w:val="20"/>
                <w:szCs w:val="20"/>
                <w:color w:val="auto"/>
                <w:w w:val="98"/>
              </w:rPr>
              <w:t>OWNED BY</w:t>
            </w:r>
          </w:p>
        </w:tc>
        <w:tc>
          <w:tcPr>
            <w:tcW w:w="60" w:type="dxa"/>
            <w:vAlign w:val="bottom"/>
            <w:tcBorders>
              <w:bottom w:val="single" w:sz="8" w:color="auto"/>
            </w:tcBorders>
          </w:tcPr>
          <w:p>
            <w:pPr>
              <w:spacing w:after="0"/>
              <w:rPr>
                <w:sz w:val="6"/>
                <w:szCs w:val="6"/>
                <w:color w:val="auto"/>
              </w:rPr>
            </w:pPr>
          </w:p>
        </w:tc>
        <w:tc>
          <w:tcPr>
            <w:tcW w:w="400" w:type="dxa"/>
            <w:vAlign w:val="bottom"/>
            <w:tcBorders>
              <w:bottom w:val="single" w:sz="8" w:color="auto"/>
              <w:right w:val="single" w:sz="8" w:color="auto"/>
            </w:tcBorders>
          </w:tcPr>
          <w:p>
            <w:pPr>
              <w:spacing w:after="0"/>
              <w:rPr>
                <w:sz w:val="6"/>
                <w:szCs w:val="6"/>
                <w:color w:val="auto"/>
              </w:rPr>
            </w:pPr>
          </w:p>
        </w:tc>
        <w:tc>
          <w:tcPr>
            <w:tcW w:w="84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420" w:type="dxa"/>
            <w:vAlign w:val="bottom"/>
            <w:tcBorders>
              <w:left w:val="single" w:sz="8" w:color="auto"/>
            </w:tcBorders>
          </w:tcPr>
          <w:p>
            <w:pPr>
              <w:spacing w:after="0"/>
              <w:rPr>
                <w:sz w:val="15"/>
                <w:szCs w:val="15"/>
                <w:color w:val="auto"/>
              </w:rPr>
            </w:pPr>
          </w:p>
        </w:tc>
        <w:tc>
          <w:tcPr>
            <w:tcW w:w="194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Borders>
              <w:right w:val="single" w:sz="8" w:color="auto"/>
            </w:tcBorders>
          </w:tcPr>
          <w:p>
            <w:pPr>
              <w:ind w:left="40"/>
              <w:spacing w:after="0" w:line="183" w:lineRule="exact"/>
              <w:rPr>
                <w:sz w:val="20"/>
                <w:szCs w:val="20"/>
                <w:color w:val="auto"/>
              </w:rPr>
            </w:pPr>
            <w:r>
              <w:rPr>
                <w:rFonts w:ascii="Times New Roman" w:cs="Times New Roman" w:eastAsia="Times New Roman" w:hAnsi="Times New Roman"/>
                <w:sz w:val="20"/>
                <w:szCs w:val="20"/>
                <w:color w:val="auto"/>
              </w:rPr>
              <w:t>9</w:t>
            </w:r>
          </w:p>
        </w:tc>
        <w:tc>
          <w:tcPr>
            <w:tcW w:w="8440" w:type="dxa"/>
            <w:vAlign w:val="bottom"/>
            <w:tcBorders>
              <w:right w:val="single" w:sz="8" w:color="auto"/>
            </w:tcBorders>
          </w:tcPr>
          <w:p>
            <w:pPr>
              <w:ind w:left="100"/>
              <w:spacing w:after="0" w:line="183" w:lineRule="exact"/>
              <w:rPr>
                <w:sz w:val="20"/>
                <w:szCs w:val="20"/>
                <w:color w:val="auto"/>
              </w:rPr>
            </w:pPr>
            <w:r>
              <w:rPr>
                <w:rFonts w:ascii="Times New Roman" w:cs="Times New Roman" w:eastAsia="Times New Roman" w:hAnsi="Times New Roman"/>
                <w:sz w:val="20"/>
                <w:szCs w:val="20"/>
                <w:color w:val="auto"/>
              </w:rPr>
              <w:t>SOLE DISPOSITIVE POWER</w:t>
            </w:r>
          </w:p>
        </w:tc>
        <w:tc>
          <w:tcPr>
            <w:tcW w:w="0" w:type="dxa"/>
            <w:vAlign w:val="bottom"/>
          </w:tcPr>
          <w:p>
            <w:pPr>
              <w:spacing w:after="0"/>
              <w:rPr>
                <w:sz w:val="1"/>
                <w:szCs w:val="1"/>
                <w:color w:val="auto"/>
              </w:rPr>
            </w:pPr>
          </w:p>
        </w:tc>
      </w:tr>
      <w:tr>
        <w:trPr>
          <w:trHeight w:val="189"/>
        </w:trPr>
        <w:tc>
          <w:tcPr>
            <w:tcW w:w="420" w:type="dxa"/>
            <w:vAlign w:val="bottom"/>
            <w:tcBorders>
              <w:left w:val="single" w:sz="8" w:color="auto"/>
            </w:tcBorders>
          </w:tcPr>
          <w:p>
            <w:pPr>
              <w:spacing w:after="0"/>
              <w:rPr>
                <w:sz w:val="16"/>
                <w:szCs w:val="16"/>
                <w:color w:val="auto"/>
              </w:rPr>
            </w:pPr>
          </w:p>
        </w:tc>
        <w:tc>
          <w:tcPr>
            <w:tcW w:w="1940" w:type="dxa"/>
            <w:vAlign w:val="bottom"/>
            <w:tcBorders>
              <w:right w:val="single" w:sz="8" w:color="auto"/>
            </w:tcBorders>
            <w:gridSpan w:val="2"/>
          </w:tcPr>
          <w:p>
            <w:pPr>
              <w:jc w:val="center"/>
              <w:ind w:right="301"/>
              <w:spacing w:after="0" w:line="189" w:lineRule="exact"/>
              <w:rPr>
                <w:sz w:val="20"/>
                <w:szCs w:val="20"/>
                <w:color w:val="auto"/>
              </w:rPr>
            </w:pPr>
            <w:r>
              <w:rPr>
                <w:rFonts w:ascii="Times New Roman" w:cs="Times New Roman" w:eastAsia="Times New Roman" w:hAnsi="Times New Roman"/>
                <w:sz w:val="20"/>
                <w:szCs w:val="20"/>
                <w:color w:val="auto"/>
                <w:w w:val="99"/>
              </w:rPr>
              <w:t>EACH</w:t>
            </w:r>
          </w:p>
        </w:tc>
        <w:tc>
          <w:tcPr>
            <w:tcW w:w="6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844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7"/>
                <w:szCs w:val="17"/>
                <w:color w:val="auto"/>
              </w:rPr>
              <w:t>17,133,697</w:t>
            </w:r>
            <w:r>
              <w:rPr>
                <w:rFonts w:ascii="Times New Roman" w:cs="Times New Roman" w:eastAsia="Times New Roman" w:hAnsi="Times New Roman"/>
                <w:sz w:val="21"/>
                <w:szCs w:val="21"/>
                <w:color w:val="auto"/>
                <w:vertAlign w:val="superscript"/>
              </w:rPr>
              <w:t>(1)</w:t>
            </w:r>
          </w:p>
        </w:tc>
        <w:tc>
          <w:tcPr>
            <w:tcW w:w="0" w:type="dxa"/>
            <w:vAlign w:val="bottom"/>
          </w:tcPr>
          <w:p>
            <w:pPr>
              <w:spacing w:after="0"/>
              <w:rPr>
                <w:sz w:val="1"/>
                <w:szCs w:val="1"/>
                <w:color w:val="auto"/>
              </w:rPr>
            </w:pPr>
          </w:p>
        </w:tc>
      </w:tr>
      <w:tr>
        <w:trPr>
          <w:trHeight w:val="94"/>
        </w:trPr>
        <w:tc>
          <w:tcPr>
            <w:tcW w:w="420" w:type="dxa"/>
            <w:vAlign w:val="bottom"/>
            <w:tcBorders>
              <w:left w:val="single" w:sz="8" w:color="auto"/>
            </w:tcBorders>
          </w:tcPr>
          <w:p>
            <w:pPr>
              <w:spacing w:after="0"/>
              <w:rPr>
                <w:sz w:val="8"/>
                <w:szCs w:val="8"/>
                <w:color w:val="auto"/>
              </w:rPr>
            </w:pPr>
          </w:p>
        </w:tc>
        <w:tc>
          <w:tcPr>
            <w:tcW w:w="1940" w:type="dxa"/>
            <w:vAlign w:val="bottom"/>
            <w:tcBorders>
              <w:right w:val="single" w:sz="8" w:color="auto"/>
            </w:tcBorders>
            <w:gridSpan w:val="2"/>
          </w:tcPr>
          <w:p>
            <w:pPr>
              <w:jc w:val="center"/>
              <w:ind w:right="301"/>
              <w:spacing w:after="0" w:line="95" w:lineRule="exact"/>
              <w:rPr>
                <w:sz w:val="20"/>
                <w:szCs w:val="20"/>
                <w:color w:val="auto"/>
              </w:rPr>
            </w:pPr>
            <w:r>
              <w:rPr>
                <w:rFonts w:ascii="Times New Roman" w:cs="Times New Roman" w:eastAsia="Times New Roman" w:hAnsi="Times New Roman"/>
                <w:sz w:val="10"/>
                <w:szCs w:val="10"/>
                <w:color w:val="auto"/>
              </w:rPr>
              <w:t>REPORTING</w:t>
            </w: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8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2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321"/>
              <w:spacing w:after="0" w:line="209" w:lineRule="exact"/>
              <w:rPr>
                <w:sz w:val="20"/>
                <w:szCs w:val="20"/>
                <w:color w:val="auto"/>
              </w:rPr>
            </w:pPr>
            <w:r>
              <w:rPr>
                <w:rFonts w:ascii="Times New Roman" w:cs="Times New Roman" w:eastAsia="Times New Roman" w:hAnsi="Times New Roman"/>
                <w:sz w:val="20"/>
                <w:szCs w:val="20"/>
                <w:color w:val="auto"/>
                <w:w w:val="99"/>
              </w:rPr>
              <w:t>PERSON</w:t>
            </w:r>
          </w:p>
        </w:tc>
        <w:tc>
          <w:tcPr>
            <w:tcW w:w="60" w:type="dxa"/>
            <w:vAlign w:val="bottom"/>
          </w:tcPr>
          <w:p>
            <w:pPr>
              <w:spacing w:after="0"/>
              <w:rPr>
                <w:sz w:val="18"/>
                <w:szCs w:val="18"/>
                <w:color w:val="auto"/>
              </w:rPr>
            </w:pPr>
          </w:p>
        </w:tc>
        <w:tc>
          <w:tcPr>
            <w:tcW w:w="400" w:type="dxa"/>
            <w:vAlign w:val="bottom"/>
            <w:tcBorders>
              <w:right w:val="single" w:sz="8" w:color="auto"/>
            </w:tcBorders>
          </w:tcPr>
          <w:p>
            <w:pPr>
              <w:ind w:left="40"/>
              <w:spacing w:after="0" w:line="209" w:lineRule="exact"/>
              <w:rPr>
                <w:sz w:val="20"/>
                <w:szCs w:val="20"/>
                <w:color w:val="auto"/>
              </w:rPr>
            </w:pPr>
            <w:r>
              <w:rPr>
                <w:rFonts w:ascii="Times New Roman" w:cs="Times New Roman" w:eastAsia="Times New Roman" w:hAnsi="Times New Roman"/>
                <w:sz w:val="20"/>
                <w:szCs w:val="20"/>
                <w:color w:val="auto"/>
              </w:rPr>
              <w:t>10</w:t>
            </w:r>
          </w:p>
        </w:tc>
        <w:tc>
          <w:tcPr>
            <w:tcW w:w="84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0"/>
                <w:szCs w:val="20"/>
                <w:color w:val="auto"/>
              </w:rPr>
              <w:t>SHARED DISPOSITIVE POWER</w:t>
            </w:r>
          </w:p>
        </w:tc>
        <w:tc>
          <w:tcPr>
            <w:tcW w:w="0" w:type="dxa"/>
            <w:vAlign w:val="bottom"/>
          </w:tcPr>
          <w:p>
            <w:pPr>
              <w:spacing w:after="0"/>
              <w:rPr>
                <w:sz w:val="1"/>
                <w:szCs w:val="1"/>
                <w:color w:val="auto"/>
              </w:rPr>
            </w:pPr>
          </w:p>
        </w:tc>
      </w:tr>
      <w:tr>
        <w:trPr>
          <w:trHeight w:val="256"/>
        </w:trPr>
        <w:tc>
          <w:tcPr>
            <w:tcW w:w="420" w:type="dxa"/>
            <w:vAlign w:val="bottom"/>
            <w:tcBorders>
              <w:left w:val="single" w:sz="8" w:color="auto"/>
              <w:bottom w:val="single" w:sz="8" w:color="auto"/>
            </w:tcBorders>
          </w:tcPr>
          <w:p>
            <w:pPr>
              <w:spacing w:after="0"/>
              <w:rPr>
                <w:sz w:val="22"/>
                <w:szCs w:val="22"/>
                <w:color w:val="auto"/>
              </w:rPr>
            </w:pPr>
          </w:p>
        </w:tc>
        <w:tc>
          <w:tcPr>
            <w:tcW w:w="1940" w:type="dxa"/>
            <w:vAlign w:val="bottom"/>
            <w:tcBorders>
              <w:bottom w:val="single" w:sz="8" w:color="auto"/>
              <w:right w:val="single" w:sz="8" w:color="auto"/>
            </w:tcBorders>
            <w:gridSpan w:val="2"/>
          </w:tcPr>
          <w:p>
            <w:pPr>
              <w:jc w:val="center"/>
              <w:ind w:right="321"/>
              <w:spacing w:after="0"/>
              <w:rPr>
                <w:sz w:val="20"/>
                <w:szCs w:val="20"/>
                <w:color w:val="auto"/>
              </w:rPr>
            </w:pPr>
            <w:r>
              <w:rPr>
                <w:rFonts w:ascii="Times New Roman" w:cs="Times New Roman" w:eastAsia="Times New Roman" w:hAnsi="Times New Roman"/>
                <w:sz w:val="20"/>
                <w:szCs w:val="20"/>
                <w:color w:val="auto"/>
                <w:w w:val="99"/>
              </w:rPr>
              <w:t>WITH</w:t>
            </w: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c>
          <w:tcPr>
            <w:tcW w:w="8440" w:type="dxa"/>
            <w:vAlign w:val="bottom"/>
            <w:tcBorders>
              <w:bottom w:val="single" w:sz="8" w:color="auto"/>
              <w:right w:val="single" w:sz="8" w:color="auto"/>
            </w:tcBorders>
          </w:tcPr>
          <w:p>
            <w:pPr>
              <w:ind w:left="100"/>
              <w:spacing w:after="0" w:line="257" w:lineRule="exact"/>
              <w:rPr>
                <w:sz w:val="20"/>
                <w:szCs w:val="20"/>
                <w:color w:val="auto"/>
              </w:rPr>
            </w:pPr>
            <w:r>
              <w:rPr>
                <w:rFonts w:ascii="Times New Roman" w:cs="Times New Roman" w:eastAsia="Times New Roman" w:hAnsi="Times New Roman"/>
                <w:sz w:val="20"/>
                <w:szCs w:val="20"/>
                <w:color w:val="auto"/>
              </w:rPr>
              <w:t>1,814,035</w:t>
            </w:r>
            <w:r>
              <w:rPr>
                <w:rFonts w:ascii="Times New Roman" w:cs="Times New Roman" w:eastAsia="Times New Roman" w:hAnsi="Times New Roman"/>
                <w:sz w:val="25"/>
                <w:szCs w:val="25"/>
                <w:color w:val="auto"/>
                <w:vertAlign w:val="superscript"/>
              </w:rPr>
              <w:t>(2)</w:t>
            </w:r>
          </w:p>
        </w:tc>
        <w:tc>
          <w:tcPr>
            <w:tcW w:w="0" w:type="dxa"/>
            <w:vAlign w:val="bottom"/>
          </w:tcPr>
          <w:p>
            <w:pPr>
              <w:spacing w:after="0"/>
              <w:rPr>
                <w:sz w:val="1"/>
                <w:szCs w:val="1"/>
                <w:color w:val="auto"/>
              </w:rPr>
            </w:pPr>
          </w:p>
        </w:tc>
      </w:tr>
      <w:tr>
        <w:trPr>
          <w:trHeight w:val="183"/>
        </w:trPr>
        <w:tc>
          <w:tcPr>
            <w:tcW w:w="420" w:type="dxa"/>
            <w:vAlign w:val="bottom"/>
            <w:tcBorders>
              <w:left w:val="single" w:sz="8" w:color="auto"/>
            </w:tcBorders>
          </w:tcPr>
          <w:p>
            <w:pPr>
              <w:ind w:left="140"/>
              <w:spacing w:after="0" w:line="183" w:lineRule="exact"/>
              <w:rPr>
                <w:sz w:val="20"/>
                <w:szCs w:val="20"/>
                <w:color w:val="auto"/>
              </w:rPr>
            </w:pPr>
            <w:r>
              <w:rPr>
                <w:rFonts w:ascii="Times New Roman" w:cs="Times New Roman" w:eastAsia="Times New Roman" w:hAnsi="Times New Roman"/>
                <w:sz w:val="20"/>
                <w:szCs w:val="20"/>
                <w:color w:val="auto"/>
              </w:rPr>
              <w:t>11</w:t>
            </w:r>
          </w:p>
        </w:tc>
        <w:tc>
          <w:tcPr>
            <w:tcW w:w="560" w:type="dxa"/>
            <w:vAlign w:val="bottom"/>
            <w:tcBorders>
              <w:right w:val="single" w:sz="8" w:color="auto"/>
            </w:tcBorders>
          </w:tcPr>
          <w:p>
            <w:pPr>
              <w:spacing w:after="0"/>
              <w:rPr>
                <w:sz w:val="15"/>
                <w:szCs w:val="15"/>
                <w:color w:val="auto"/>
              </w:rPr>
            </w:pPr>
          </w:p>
        </w:tc>
        <w:tc>
          <w:tcPr>
            <w:tcW w:w="10280" w:type="dxa"/>
            <w:vAlign w:val="bottom"/>
            <w:tcBorders>
              <w:right w:val="single" w:sz="8" w:color="auto"/>
            </w:tcBorders>
            <w:gridSpan w:val="4"/>
          </w:tcPr>
          <w:p>
            <w:pPr>
              <w:ind w:left="220"/>
              <w:spacing w:after="0" w:line="183" w:lineRule="exact"/>
              <w:rPr>
                <w:sz w:val="20"/>
                <w:szCs w:val="20"/>
                <w:color w:val="auto"/>
              </w:rPr>
            </w:pPr>
            <w:r>
              <w:rPr>
                <w:rFonts w:ascii="Times New Roman" w:cs="Times New Roman" w:eastAsia="Times New Roman" w:hAnsi="Times New Roman"/>
                <w:sz w:val="20"/>
                <w:szCs w:val="20"/>
                <w:color w:val="auto"/>
              </w:rPr>
              <w:t>AGGREGATE AMOUNT BENEFICIALLY OWNED BY EACH REPORTING PERSON</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gridSpan w:val="2"/>
          </w:tcPr>
          <w:p>
            <w:pPr>
              <w:ind w:left="220"/>
              <w:spacing w:after="0" w:line="283" w:lineRule="exact"/>
              <w:rPr>
                <w:sz w:val="20"/>
                <w:szCs w:val="20"/>
                <w:color w:val="auto"/>
              </w:rPr>
            </w:pPr>
            <w:r>
              <w:rPr>
                <w:rFonts w:ascii="Times New Roman" w:cs="Times New Roman" w:eastAsia="Times New Roman" w:hAnsi="Times New Roman"/>
                <w:sz w:val="20"/>
                <w:szCs w:val="20"/>
                <w:color w:val="auto"/>
                <w:w w:val="93"/>
              </w:rPr>
              <w:t>18,947,732</w:t>
            </w:r>
            <w:r>
              <w:rPr>
                <w:rFonts w:ascii="Times New Roman" w:cs="Times New Roman" w:eastAsia="Times New Roman" w:hAnsi="Times New Roman"/>
                <w:sz w:val="25"/>
                <w:szCs w:val="25"/>
                <w:color w:val="auto"/>
                <w:w w:val="93"/>
                <w:vertAlign w:val="superscript"/>
              </w:rPr>
              <w:t>(1)(2)</w:t>
            </w:r>
          </w:p>
        </w:tc>
        <w:tc>
          <w:tcPr>
            <w:tcW w:w="400" w:type="dxa"/>
            <w:vAlign w:val="bottom"/>
            <w:tcBorders>
              <w:bottom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20" w:type="dxa"/>
            <w:vAlign w:val="bottom"/>
            <w:tcBorders>
              <w:left w:val="single" w:sz="8" w:color="auto"/>
            </w:tcBorders>
          </w:tcPr>
          <w:p>
            <w:pPr>
              <w:ind w:left="140"/>
              <w:spacing w:after="0" w:line="183" w:lineRule="exact"/>
              <w:rPr>
                <w:sz w:val="20"/>
                <w:szCs w:val="20"/>
                <w:color w:val="auto"/>
              </w:rPr>
            </w:pPr>
            <w:r>
              <w:rPr>
                <w:rFonts w:ascii="Times New Roman" w:cs="Times New Roman" w:eastAsia="Times New Roman" w:hAnsi="Times New Roman"/>
                <w:sz w:val="20"/>
                <w:szCs w:val="20"/>
                <w:color w:val="auto"/>
              </w:rPr>
              <w:t>12</w:t>
            </w:r>
          </w:p>
        </w:tc>
        <w:tc>
          <w:tcPr>
            <w:tcW w:w="560" w:type="dxa"/>
            <w:vAlign w:val="bottom"/>
            <w:tcBorders>
              <w:right w:val="single" w:sz="8" w:color="auto"/>
            </w:tcBorders>
          </w:tcPr>
          <w:p>
            <w:pPr>
              <w:spacing w:after="0"/>
              <w:rPr>
                <w:sz w:val="15"/>
                <w:szCs w:val="15"/>
                <w:color w:val="auto"/>
              </w:rPr>
            </w:pPr>
          </w:p>
        </w:tc>
        <w:tc>
          <w:tcPr>
            <w:tcW w:w="10280" w:type="dxa"/>
            <w:vAlign w:val="bottom"/>
            <w:tcBorders>
              <w:right w:val="single" w:sz="8" w:color="auto"/>
            </w:tcBorders>
            <w:gridSpan w:val="4"/>
          </w:tcPr>
          <w:p>
            <w:pPr>
              <w:ind w:left="220"/>
              <w:spacing w:after="0" w:line="183" w:lineRule="exact"/>
              <w:rPr>
                <w:sz w:val="20"/>
                <w:szCs w:val="20"/>
                <w:color w:val="auto"/>
              </w:rPr>
            </w:pPr>
            <w:r>
              <w:rPr>
                <w:rFonts w:ascii="Times New Roman" w:cs="Times New Roman" w:eastAsia="Times New Roman" w:hAnsi="Times New Roman"/>
                <w:sz w:val="20"/>
                <w:szCs w:val="20"/>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84"/>
        </w:trPr>
        <w:tc>
          <w:tcPr>
            <w:tcW w:w="4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gridSpan w:val="2"/>
          </w:tcPr>
          <w:p>
            <w:pPr>
              <w:ind w:left="220"/>
              <w:spacing w:after="0" w:line="201" w:lineRule="exact"/>
              <w:rPr>
                <w:sz w:val="20"/>
                <w:szCs w:val="20"/>
                <w:color w:val="auto"/>
              </w:rPr>
            </w:pPr>
            <w:r>
              <w:rPr>
                <w:rFonts w:ascii="MS PGothic" w:cs="MS PGothic" w:eastAsia="MS PGothic" w:hAnsi="MS PGothic"/>
                <w:sz w:val="20"/>
                <w:szCs w:val="20"/>
                <w:color w:val="auto"/>
              </w:rPr>
              <w:t>☐</w:t>
            </w:r>
          </w:p>
        </w:tc>
        <w:tc>
          <w:tcPr>
            <w:tcW w:w="400" w:type="dxa"/>
            <w:vAlign w:val="bottom"/>
            <w:tcBorders>
              <w:bottom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20" w:type="dxa"/>
            <w:vAlign w:val="bottom"/>
            <w:tcBorders>
              <w:left w:val="single" w:sz="8" w:color="auto"/>
            </w:tcBorders>
          </w:tcPr>
          <w:p>
            <w:pPr>
              <w:ind w:left="140"/>
              <w:spacing w:after="0" w:line="183" w:lineRule="exact"/>
              <w:rPr>
                <w:sz w:val="20"/>
                <w:szCs w:val="20"/>
                <w:color w:val="auto"/>
              </w:rPr>
            </w:pPr>
            <w:r>
              <w:rPr>
                <w:rFonts w:ascii="Times New Roman" w:cs="Times New Roman" w:eastAsia="Times New Roman" w:hAnsi="Times New Roman"/>
                <w:sz w:val="20"/>
                <w:szCs w:val="20"/>
                <w:color w:val="auto"/>
              </w:rPr>
              <w:t>13</w:t>
            </w:r>
          </w:p>
        </w:tc>
        <w:tc>
          <w:tcPr>
            <w:tcW w:w="560" w:type="dxa"/>
            <w:vAlign w:val="bottom"/>
            <w:tcBorders>
              <w:right w:val="single" w:sz="8" w:color="auto"/>
            </w:tcBorders>
          </w:tcPr>
          <w:p>
            <w:pPr>
              <w:spacing w:after="0"/>
              <w:rPr>
                <w:sz w:val="15"/>
                <w:szCs w:val="15"/>
                <w:color w:val="auto"/>
              </w:rPr>
            </w:pPr>
          </w:p>
        </w:tc>
        <w:tc>
          <w:tcPr>
            <w:tcW w:w="10280" w:type="dxa"/>
            <w:vAlign w:val="bottom"/>
            <w:tcBorders>
              <w:right w:val="single" w:sz="8" w:color="auto"/>
            </w:tcBorders>
            <w:gridSpan w:val="4"/>
          </w:tcPr>
          <w:p>
            <w:pPr>
              <w:ind w:left="220"/>
              <w:spacing w:after="0" w:line="183" w:lineRule="exact"/>
              <w:rPr>
                <w:sz w:val="20"/>
                <w:szCs w:val="20"/>
                <w:color w:val="auto"/>
              </w:rPr>
            </w:pPr>
            <w:r>
              <w:rPr>
                <w:rFonts w:ascii="Times New Roman" w:cs="Times New Roman" w:eastAsia="Times New Roman" w:hAnsi="Times New Roman"/>
                <w:sz w:val="20"/>
                <w:szCs w:val="20"/>
                <w:color w:val="auto"/>
              </w:rPr>
              <w:t>PERCENT OF CLASS REPRESENTED BY AMOUNT IN ROW (11)</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tcPr>
          <w:p>
            <w:pPr>
              <w:ind w:left="220"/>
              <w:spacing w:after="0" w:line="283" w:lineRule="exact"/>
              <w:rPr>
                <w:sz w:val="20"/>
                <w:szCs w:val="20"/>
                <w:color w:val="auto"/>
              </w:rPr>
            </w:pPr>
            <w:r>
              <w:rPr>
                <w:rFonts w:ascii="Times New Roman" w:cs="Times New Roman" w:eastAsia="Times New Roman" w:hAnsi="Times New Roman"/>
                <w:sz w:val="20"/>
                <w:szCs w:val="20"/>
                <w:color w:val="auto"/>
              </w:rPr>
              <w:t>15.0%</w:t>
            </w:r>
            <w:r>
              <w:rPr>
                <w:rFonts w:ascii="Times New Roman" w:cs="Times New Roman" w:eastAsia="Times New Roman" w:hAnsi="Times New Roman"/>
                <w:sz w:val="25"/>
                <w:szCs w:val="25"/>
                <w:color w:val="auto"/>
                <w:vertAlign w:val="superscript"/>
              </w:rPr>
              <w:t>(3)</w:t>
            </w: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20" w:type="dxa"/>
            <w:vAlign w:val="bottom"/>
            <w:tcBorders>
              <w:left w:val="single" w:sz="8" w:color="auto"/>
            </w:tcBorders>
          </w:tcPr>
          <w:p>
            <w:pPr>
              <w:ind w:left="140"/>
              <w:spacing w:after="0" w:line="183" w:lineRule="exact"/>
              <w:rPr>
                <w:sz w:val="20"/>
                <w:szCs w:val="20"/>
                <w:color w:val="auto"/>
              </w:rPr>
            </w:pPr>
            <w:r>
              <w:rPr>
                <w:rFonts w:ascii="Times New Roman" w:cs="Times New Roman" w:eastAsia="Times New Roman" w:hAnsi="Times New Roman"/>
                <w:sz w:val="20"/>
                <w:szCs w:val="20"/>
                <w:color w:val="auto"/>
              </w:rPr>
              <w:t>14</w:t>
            </w:r>
          </w:p>
        </w:tc>
        <w:tc>
          <w:tcPr>
            <w:tcW w:w="560" w:type="dxa"/>
            <w:vAlign w:val="bottom"/>
            <w:tcBorders>
              <w:right w:val="single" w:sz="8" w:color="auto"/>
            </w:tcBorders>
          </w:tcPr>
          <w:p>
            <w:pPr>
              <w:spacing w:after="0"/>
              <w:rPr>
                <w:sz w:val="15"/>
                <w:szCs w:val="15"/>
                <w:color w:val="auto"/>
              </w:rPr>
            </w:pPr>
          </w:p>
        </w:tc>
        <w:tc>
          <w:tcPr>
            <w:tcW w:w="10280" w:type="dxa"/>
            <w:vAlign w:val="bottom"/>
            <w:tcBorders>
              <w:right w:val="single" w:sz="8" w:color="auto"/>
            </w:tcBorders>
            <w:gridSpan w:val="4"/>
          </w:tcPr>
          <w:p>
            <w:pPr>
              <w:ind w:left="220"/>
              <w:spacing w:after="0" w:line="183" w:lineRule="exact"/>
              <w:rPr>
                <w:sz w:val="20"/>
                <w:szCs w:val="20"/>
                <w:color w:val="auto"/>
              </w:rPr>
            </w:pPr>
            <w:r>
              <w:rPr>
                <w:rFonts w:ascii="Times New Roman" w:cs="Times New Roman" w:eastAsia="Times New Roman" w:hAnsi="Times New Roman"/>
                <w:sz w:val="20"/>
                <w:szCs w:val="20"/>
                <w:color w:val="auto"/>
              </w:rPr>
              <w:t>TYPE OF REPORTING PERSON (See Instructions)</w:t>
            </w:r>
          </w:p>
        </w:tc>
        <w:tc>
          <w:tcPr>
            <w:tcW w:w="0" w:type="dxa"/>
            <w:vAlign w:val="bottom"/>
          </w:tcPr>
          <w:p>
            <w:pPr>
              <w:spacing w:after="0"/>
              <w:rPr>
                <w:sz w:val="1"/>
                <w:szCs w:val="1"/>
                <w:color w:val="auto"/>
              </w:rPr>
            </w:pPr>
          </w:p>
        </w:tc>
      </w:tr>
      <w:tr>
        <w:trPr>
          <w:trHeight w:val="258"/>
        </w:trPr>
        <w:tc>
          <w:tcPr>
            <w:tcW w:w="420" w:type="dxa"/>
            <w:vAlign w:val="bottom"/>
            <w:tcBorders>
              <w:left w:val="single" w:sz="8" w:color="auto"/>
            </w:tcBorders>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IN</w:t>
            </w:r>
          </w:p>
        </w:tc>
        <w:tc>
          <w:tcPr>
            <w:tcW w:w="400" w:type="dxa"/>
            <w:vAlign w:val="bottom"/>
          </w:tcPr>
          <w:p>
            <w:pPr>
              <w:spacing w:after="0"/>
              <w:rPr>
                <w:sz w:val="22"/>
                <w:szCs w:val="22"/>
                <w:color w:val="auto"/>
              </w:rPr>
            </w:pPr>
          </w:p>
        </w:tc>
        <w:tc>
          <w:tcPr>
            <w:tcW w:w="8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4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both"/>
        <w:ind w:left="480" w:right="40" w:hanging="454"/>
        <w:spacing w:after="0" w:line="224" w:lineRule="auto"/>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10,014,488 shares of Common Stock directly owned by Sujal Patel, 5,280,476 shares of Common Stock directly owned by PFV I, LLC (“PFV”) and a total of 1,838,733 shares of Common Stock issuable upon exercise of options. Of such options to purchase shares, 543,847 shares shall be vested and exercisable within 60 days of February 27, 2023. Mr. Patel has sole voting and dispositive power over the shares held by PFV and is the manager of PFV.</w:t>
      </w:r>
    </w:p>
    <w:p>
      <w:pPr>
        <w:spacing w:after="0" w:line="1" w:lineRule="exact"/>
        <w:rPr>
          <w:rFonts w:ascii="Times New Roman" w:cs="Times New Roman" w:eastAsia="Times New Roman" w:hAnsi="Times New Roman"/>
          <w:sz w:val="18"/>
          <w:szCs w:val="18"/>
          <w:color w:val="auto"/>
        </w:rPr>
      </w:pPr>
    </w:p>
    <w:p>
      <w:pPr>
        <w:jc w:val="both"/>
        <w:ind w:left="480" w:right="40" w:hanging="454"/>
        <w:spacing w:after="0" w:line="229" w:lineRule="auto"/>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1,814,035 shares of Common Stock directly owned by the Sujal Patel 2020 Children’s Trust, u/a/d December 3, 2020 (the “Patel Trust”). Mr. Patel and his spouse share voting and dispositive power over the shares held by the Patel Trust and each of Mr. Patel and his spouse is a trustee of the Patel Trust.</w:t>
      </w:r>
    </w:p>
    <w:p>
      <w:pPr>
        <w:spacing w:after="0" w:line="1" w:lineRule="exact"/>
        <w:rPr>
          <w:rFonts w:ascii="Times New Roman" w:cs="Times New Roman" w:eastAsia="Times New Roman" w:hAnsi="Times New Roman"/>
          <w:sz w:val="18"/>
          <w:szCs w:val="18"/>
          <w:color w:val="auto"/>
        </w:rPr>
      </w:pPr>
    </w:p>
    <w:p>
      <w:pPr>
        <w:ind w:left="480" w:hanging="454"/>
        <w:spacing w:after="0" w:line="236" w:lineRule="auto"/>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quotient obtained by dividing (a) the aggregate number of shares of Common Stock beneficially owned by Mr. Patel by (b) the sum of</w:t>
      </w:r>
    </w:p>
    <w:p>
      <w:pPr>
        <w:jc w:val="both"/>
        <w:ind w:left="480" w:right="40"/>
        <w:spacing w:after="0" w:line="21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124,866,392 shares of Common Stock outstanding as of January 31, 2023, as reported in the Issuer’s Form 10-K filed with the Securities and Exchange Commission on February 23, 2023, and (ii) the 1,838,733 shares of Common Stock issuable upon exercise of options held by Mr. Patel. The aggregate number of shares of Common Stock beneficially owned by Mr. Patel as set forth in clauses “(a)” and “(b)” of this footnote are treated as outstanding shares of Common Stock only for the purpose of computing the percentage ownership of Mr. Patel.</w:t>
      </w:r>
    </w:p>
    <w:p>
      <w:pPr>
        <w:sectPr>
          <w:pgSz w:w="11900" w:h="16838" w:orient="portrait"/>
          <w:cols w:equalWidth="0" w:num="1">
            <w:col w:w="11260"/>
          </w:cols>
          <w:pgMar w:left="320" w:top="1440" w:right="319" w:bottom="1440" w:gutter="0" w:footer="0" w:header="0"/>
        </w:sectPr>
      </w:pPr>
    </w:p>
    <w:bookmarkStart w:id="2" w:name="page3"/>
    <w:bookmarkEnd w:id="2"/>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amends and supplements the Schedule 13D filed on June 16, 2021 (the “</w:t>
      </w:r>
      <w:r>
        <w:rPr>
          <w:rFonts w:ascii="Times New Roman" w:cs="Times New Roman" w:eastAsia="Times New Roman" w:hAnsi="Times New Roman"/>
          <w:sz w:val="18"/>
          <w:szCs w:val="18"/>
          <w:b w:val="1"/>
          <w:bCs w:val="1"/>
          <w:color w:val="auto"/>
        </w:rPr>
        <w:t>Schedule 13D</w:t>
      </w:r>
      <w:r>
        <w:rPr>
          <w:rFonts w:ascii="Times New Roman" w:cs="Times New Roman" w:eastAsia="Times New Roman" w:hAnsi="Times New Roman"/>
          <w:sz w:val="18"/>
          <w:szCs w:val="18"/>
          <w:color w:val="auto"/>
        </w:rPr>
        <w:t>”) by Sujal Patel (the</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Person</w:t>
      </w:r>
      <w:r>
        <w:rPr>
          <w:rFonts w:ascii="Times New Roman" w:cs="Times New Roman" w:eastAsia="Times New Roman" w:hAnsi="Times New Roman"/>
          <w:sz w:val="18"/>
          <w:szCs w:val="18"/>
          <w:color w:val="auto"/>
        </w:rPr>
        <w:t>”) relating to the Common Stock of Nautilus Biotechnology, Inc.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Information reported in the Schedule 13D remains in effect except to the extent that it is amended, restated or superseded by information contained in this Amendment. Capitalized terms used but not defined in this Amendment have the respective meanings set forth in the Schedule 13D. All references in the Schedule 13D and this Amendment shall be deemed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Schedule 13D as amended and supplemented by this Amendment.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rPr>
          <w:sz w:val="20"/>
          <w:szCs w:val="20"/>
          <w:color w:val="auto"/>
        </w:rPr>
      </w:pPr>
      <w:r>
        <w:rPr>
          <w:rFonts w:ascii="Times New Roman" w:cs="Times New Roman" w:eastAsia="Times New Roman" w:hAnsi="Times New Roman"/>
          <w:sz w:val="18"/>
          <w:szCs w:val="18"/>
          <w:color w:val="auto"/>
        </w:rPr>
        <w:t>Paragraphs (a), (b) and (c) of Item 5 are amended and restated in their entirety as follows:</w:t>
      </w:r>
    </w:p>
    <w:p>
      <w:pPr>
        <w:spacing w:after="0" w:line="43" w:lineRule="exact"/>
        <w:rPr>
          <w:sz w:val="20"/>
          <w:szCs w:val="20"/>
          <w:color w:val="auto"/>
        </w:rPr>
      </w:pPr>
    </w:p>
    <w:p>
      <w:pPr>
        <w:jc w:val="both"/>
        <w:ind w:firstLine="8"/>
        <w:spacing w:after="0" w:line="224" w:lineRule="auto"/>
        <w:tabs>
          <w:tab w:leader="none" w:pos="25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Schedule 13D, the Reporting Person beneficially owns an aggregate of 18,947,732 shares of Common Stock, or 15.0% of the Issuer’s outstanding shares of Common Stock. The beneficial ownership percentages used in this Schedule are calculated based on a total of 124,866,392 shares of Common Stock outstanding as of January 31, 2023 plus 1,838,733 shares of Common Stock issuable upon exercise of options held by the Reporting Person.</w:t>
      </w:r>
    </w:p>
    <w:p>
      <w:pPr>
        <w:spacing w:after="0" w:line="19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543,847 of the Reporting Person’s options to purchase shares of Common Stock are exercisable within 60 days of February 27, 2023. The unvested options to purchase shares of Common Stock vest over time subject to the Reporting Person’s continued service through each vesting date. If, during the period beginning three months before a change in control through the one-year anniversary of a change in control, the Reporting Person’s employment with the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Issuer is terminated either (x) by the Issuer without cause, and excluding by reason of the Reporting Person’s death or disability or (y) by the Reporting Person for good reason, then 100% of any unvested shares shall immediately vest.</w:t>
      </w:r>
    </w:p>
    <w:p>
      <w:pPr>
        <w:spacing w:after="0" w:line="130" w:lineRule="exact"/>
        <w:rPr>
          <w:sz w:val="20"/>
          <w:szCs w:val="20"/>
          <w:color w:val="auto"/>
        </w:rPr>
      </w:pPr>
    </w:p>
    <w:p>
      <w:pPr>
        <w:jc w:val="both"/>
        <w:ind w:firstLine="8"/>
        <w:spacing w:after="0" w:line="226"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and the Reporting Person’s spouse share voting and dispositive power with respect to 1,814,035 shares of Common Stock owned by the Patel Trust. The Reporting Person has sole voting and dispositive power with respect to 15,294,964 shares of Common Stock and options to purchase 1,838,733 shares of Common Stock.</w:t>
      </w:r>
    </w:p>
    <w:p>
      <w:pPr>
        <w:spacing w:after="0" w:line="211" w:lineRule="exact"/>
        <w:rPr>
          <w:rFonts w:ascii="Times New Roman" w:cs="Times New Roman" w:eastAsia="Times New Roman" w:hAnsi="Times New Roman"/>
          <w:sz w:val="18"/>
          <w:szCs w:val="18"/>
          <w:color w:val="auto"/>
        </w:rPr>
      </w:pPr>
    </w:p>
    <w:p>
      <w:pPr>
        <w:ind w:firstLine="8"/>
        <w:spacing w:after="0" w:line="237" w:lineRule="auto"/>
        <w:tabs>
          <w:tab w:leader="none" w:pos="25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27, 2023, the Reporting Person was granted an option to purchase 650,000 shares of the Issuer’s Common Stock. Except for such option grant, the Reporting Person has not effected any transactions in the Common Stock during the past 60 days.</w:t>
      </w:r>
    </w:p>
    <w:p>
      <w:pPr>
        <w:sectPr>
          <w:pgSz w:w="11900" w:h="16838" w:orient="portrait"/>
          <w:cols w:equalWidth="0" w:num="1">
            <w:col w:w="11240"/>
          </w:cols>
          <w:pgMar w:left="320" w:top="1440" w:right="339" w:bottom="1440" w:gutter="0" w:footer="0" w:header="0"/>
        </w:sectPr>
      </w:pPr>
    </w:p>
    <w:bookmarkStart w:id="3" w:name="page4"/>
    <w:bookmarkEnd w:id="3"/>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right="180"/>
        <w:spacing w:after="0" w:line="370"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 Date: March 1, 2023</w:t>
      </w:r>
    </w:p>
    <w:p>
      <w:pPr>
        <w:spacing w:after="0" w:line="1" w:lineRule="exact"/>
        <w:rPr>
          <w:sz w:val="20"/>
          <w:szCs w:val="20"/>
          <w:color w:val="auto"/>
        </w:rPr>
      </w:pPr>
    </w:p>
    <w:tbl>
      <w:tblPr>
        <w:tblLayout w:type="fixed"/>
        <w:tblInd w:w="8780" w:type="dxa"/>
        <w:tblCellMar>
          <w:top w:w="0" w:type="dxa"/>
          <w:left w:w="0" w:type="dxa"/>
          <w:bottom w:w="0" w:type="dxa"/>
          <w:right w:w="0" w:type="dxa"/>
        </w:tblCellMar>
      </w:tblPr>
      <w:tr>
        <w:trPr>
          <w:trHeight w:val="234"/>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Sujal Patel</w:t>
            </w:r>
          </w:p>
        </w:tc>
        <w:tc>
          <w:tcPr>
            <w:tcW w:w="1680" w:type="dxa"/>
            <w:vAlign w:val="bottom"/>
          </w:tcPr>
          <w:p>
            <w:pPr>
              <w:spacing w:after="0"/>
              <w:rPr>
                <w:sz w:val="20"/>
                <w:szCs w:val="20"/>
                <w:color w:val="auto"/>
              </w:rPr>
            </w:pPr>
          </w:p>
        </w:tc>
      </w:tr>
      <w:tr>
        <w:trPr>
          <w:trHeight w:val="441"/>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68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8"/>
              </w:rPr>
              <w:t>/s/ Sujal Patel</w:t>
            </w:r>
          </w:p>
        </w:tc>
      </w:tr>
      <w:tr>
        <w:trPr>
          <w:trHeight w:val="22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rPr>
              <w:t>Sujal Patel</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2023-03-01T14:33:55Z</dcterms:created>
  <dcterms:modified xsi:type="dcterms:W3CDTF">2023-03-01T14:33:55Z</dcterms:modified>
</cp:coreProperties>
</file>