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PROXY STATEMENT PURSUANT TO SECTION 14(a) OF THE</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36"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Preliminary Proxy Statement</w:t>
      </w:r>
    </w:p>
    <w:p>
      <w:pPr>
        <w:spacing w:after="0" w:line="49" w:lineRule="exact"/>
        <w:rPr>
          <w:rFonts w:ascii="Wingdings" w:cs="Wingdings" w:eastAsia="Wingdings" w:hAnsi="Wingdings"/>
          <w:sz w:val="14"/>
          <w:szCs w:val="14"/>
          <w:b w:val="1"/>
          <w:bCs w:val="1"/>
          <w:color w:val="auto"/>
        </w:rPr>
      </w:pPr>
    </w:p>
    <w:p>
      <w:pPr>
        <w:ind w:left="20" w:right="4739" w:hanging="1"/>
        <w:spacing w:after="0" w:line="317" w:lineRule="auto"/>
        <w:tabs>
          <w:tab w:leader="none" w:pos="582"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 xml:space="preserve">Confidential, for Use of the Commission Only (as permitted by Rule 14a-6(e)(2)) </w:t>
      </w: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Definitive Proxy Statement</w:t>
      </w:r>
    </w:p>
    <w:p>
      <w:pPr>
        <w:spacing w:after="0" w:line="1" w:lineRule="exact"/>
        <w:rPr>
          <w:rFonts w:ascii="Wingdings" w:cs="Wingdings" w:eastAsia="Wingdings" w:hAnsi="Wingdings"/>
          <w:sz w:val="14"/>
          <w:szCs w:val="14"/>
          <w:b w:val="1"/>
          <w:bCs w:val="1"/>
          <w:color w:val="auto"/>
        </w:rPr>
      </w:pPr>
    </w:p>
    <w:p>
      <w:pPr>
        <w:ind w:left="580" w:hanging="561"/>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Additional Materials</w:t>
      </w:r>
    </w:p>
    <w:p>
      <w:pPr>
        <w:spacing w:after="0" w:line="51" w:lineRule="exact"/>
        <w:rPr>
          <w:rFonts w:ascii="Wingdings" w:cs="Wingdings" w:eastAsia="Wingdings" w:hAnsi="Wingdings"/>
          <w:sz w:val="14"/>
          <w:szCs w:val="14"/>
          <w:b w:val="1"/>
          <w:bCs w:val="1"/>
          <w:color w:val="auto"/>
        </w:rPr>
      </w:pPr>
    </w:p>
    <w:p>
      <w:pPr>
        <w:ind w:left="580" w:hanging="561"/>
        <w:spacing w:after="0"/>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under §240.14a-12</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285750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right"/>
        <w:ind w:right="233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36"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51" w:lineRule="exact"/>
        <w:rPr>
          <w:sz w:val="24"/>
          <w:szCs w:val="24"/>
          <w:color w:val="auto"/>
        </w:rPr>
      </w:pPr>
    </w:p>
    <w:p>
      <w:pPr>
        <w:ind w:left="580" w:hanging="561"/>
        <w:spacing w:after="0"/>
        <w:tabs>
          <w:tab w:leader="none" w:pos="58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paid previously with preliminary materials</w:t>
      </w:r>
    </w:p>
    <w:p>
      <w:pPr>
        <w:spacing w:after="0" w:line="51" w:lineRule="exact"/>
        <w:rPr>
          <w:rFonts w:ascii="Wingdings" w:cs="Wingdings" w:eastAsia="Wingdings" w:hAnsi="Wingdings"/>
          <w:sz w:val="14"/>
          <w:szCs w:val="14"/>
          <w:b w:val="1"/>
          <w:bCs w:val="1"/>
          <w:color w:val="auto"/>
        </w:rPr>
      </w:pPr>
    </w:p>
    <w:p>
      <w:pPr>
        <w:ind w:left="580" w:hanging="561"/>
        <w:spacing w:after="0"/>
        <w:tabs>
          <w:tab w:leader="none" w:pos="580" w:val="left"/>
        </w:tabs>
        <w:numPr>
          <w:ilvl w:val="0"/>
          <w:numId w:val="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176530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08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2444115</wp:posOffset>
            </wp:positionH>
            <wp:positionV relativeFrom="page">
              <wp:posOffset>600710</wp:posOffset>
            </wp:positionV>
            <wp:extent cx="2661285" cy="741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61285" cy="74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2701 Eastlake Avenue East</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Seattle, Washington 98102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(206) 333-2001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26,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Fellow Stockholders:</w:t>
      </w:r>
    </w:p>
    <w:p>
      <w:pPr>
        <w:spacing w:after="0" w:line="17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are pleased to invite you to attend the annual meeting of stockholders of Nautilus Biotechnology, Inc. (“Nautilus”), to be held on Thursday, June 13, 2024 at 10:00 a.m., Pacific Time. The annual meeting will be conducted virtually via live audio webcast. You will be able to attend the annual meeting virtually by visiting www.virtualshareholdermeeting.com/NAUT2024, where you will be able to listen to the meeting live, submit questions and vote online.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attached formal meeting notice and proxy statement contain details of the business to be conducted at the annual meeting.</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Your vote is important. Whether or not you attend the annual meeting, it is important that your shares be represented and voted at the annual meeting. Therefore, we urge you to vote and submit your proxy promptly via the Internet, telephone or mail.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behalf of our Board of Directors, we would like to express our appreciation for your continued support of and interest in Nautilus.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1347470" cy="336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747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Sujal Patel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00"/>
          </w:cols>
          <w:pgMar w:left="300" w:top="144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NAUTILUS BIOTECHNOLOGY,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2701 Eastlake Avenue East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Seattle, Washington 98102</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NOTICE OF ANNUAL MEETING OF STOCKHOLDERS</w:t>
      </w:r>
    </w:p>
    <w:p>
      <w:pPr>
        <w:sectPr>
          <w:pgSz w:w="11900" w:h="16838" w:orient="portrait"/>
          <w:cols w:equalWidth="0" w:num="1">
            <w:col w:w="11200"/>
          </w:cols>
          <w:pgMar w:left="320" w:top="929" w:right="37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Time and Date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 a.m., Pacific Time, on Thursday, June 13, 2024</w:t>
      </w:r>
    </w:p>
    <w:p>
      <w:pPr>
        <w:spacing w:after="0" w:line="49" w:lineRule="exact"/>
        <w:rPr>
          <w:sz w:val="20"/>
          <w:szCs w:val="20"/>
          <w:color w:val="auto"/>
        </w:rPr>
      </w:pPr>
    </w:p>
    <w:p>
      <w:pPr>
        <w:sectPr>
          <w:pgSz w:w="11900" w:h="16838" w:orient="portrait"/>
          <w:cols w:equalWidth="0" w:num="2">
            <w:col w:w="2700" w:space="720"/>
            <w:col w:w="7780"/>
          </w:cols>
          <w:pgMar w:left="320" w:top="929"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Place</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Times New Roman" w:cs="Times New Roman" w:eastAsia="Times New Roman" w:hAnsi="Times New Roman"/>
          <w:sz w:val="14"/>
          <w:szCs w:val="14"/>
          <w:color w:val="auto"/>
        </w:rPr>
        <w:t>The annual meeting will be conducted virtually via live audio webcast. You will be able to attend the annual meeting virtually by visiting www.virtualshareholdermeeting.com/NAUT2024, where you will be able to listen to the meeting live, submit questions and vote online during the meeting. If you have difficulty accessing the virtual meeting during the check-in or meeting time, a technical assistance phone number will be made available on the virtual meeting registration page 15 minutes prior to the start time of the meeting.</w:t>
      </w:r>
    </w:p>
    <w:p>
      <w:pPr>
        <w:spacing w:after="0" w:line="11" w:lineRule="exact"/>
        <w:rPr>
          <w:sz w:val="20"/>
          <w:szCs w:val="20"/>
          <w:color w:val="auto"/>
        </w:rPr>
      </w:pPr>
    </w:p>
    <w:p>
      <w:pPr>
        <w:sectPr>
          <w:pgSz w:w="11900" w:h="16838" w:orient="portrait"/>
          <w:cols w:equalWidth="0" w:num="2">
            <w:col w:w="2700" w:space="720"/>
            <w:col w:w="7780"/>
          </w:cols>
          <w:pgMar w:left="320" w:top="929"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Items of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hanging="3"/>
        <w:spacing w:after="0" w:line="287" w:lineRule="auto"/>
        <w:rPr>
          <w:sz w:val="20"/>
          <w:szCs w:val="20"/>
          <w:color w:val="auto"/>
        </w:rPr>
      </w:pPr>
      <w:r>
        <w:rPr>
          <w:rFonts w:ascii="Times New Roman" w:cs="Times New Roman" w:eastAsia="Times New Roman" w:hAnsi="Times New Roman"/>
          <w:sz w:val="14"/>
          <w:szCs w:val="14"/>
          <w:color w:val="auto"/>
        </w:rPr>
        <w:t>To elect three Class III directors to hold office until our 2027 annual meeting of stockholders and until their respective successors are elected and qualified.</w:t>
      </w:r>
    </w:p>
    <w:p>
      <w:pPr>
        <w:spacing w:after="0" w:line="39" w:lineRule="exact"/>
        <w:rPr>
          <w:sz w:val="20"/>
          <w:szCs w:val="20"/>
          <w:color w:val="auto"/>
        </w:rPr>
      </w:pPr>
    </w:p>
    <w:p>
      <w:pPr>
        <w:sectPr>
          <w:pgSz w:w="11900" w:h="16838" w:orient="portrait"/>
          <w:cols w:equalWidth="0" w:num="3">
            <w:col w:w="2700" w:space="720"/>
            <w:col w:w="40" w:space="220"/>
            <w:col w:w="7520"/>
          </w:cols>
          <w:pgMar w:left="320" w:top="929" w:right="37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ind w:right="140" w:hanging="3"/>
        <w:spacing w:after="0" w:line="287" w:lineRule="auto"/>
        <w:rPr>
          <w:sz w:val="20"/>
          <w:szCs w:val="20"/>
          <w:color w:val="auto"/>
        </w:rPr>
      </w:pPr>
      <w:r>
        <w:rPr>
          <w:rFonts w:ascii="Times New Roman" w:cs="Times New Roman" w:eastAsia="Times New Roman" w:hAnsi="Times New Roman"/>
          <w:sz w:val="14"/>
          <w:szCs w:val="14"/>
          <w:color w:val="auto"/>
        </w:rPr>
        <w:t>To ratify the appointment of PricewaterhouseCoopers LLP as our independent registered public accounting firm for our fiscal year ending December 31, 2024.</w:t>
      </w:r>
    </w:p>
    <w:p>
      <w:pPr>
        <w:spacing w:after="0" w:line="39" w:lineRule="exact"/>
        <w:rPr>
          <w:sz w:val="20"/>
          <w:szCs w:val="20"/>
          <w:color w:val="auto"/>
        </w:rPr>
      </w:pPr>
    </w:p>
    <w:p>
      <w:pPr>
        <w:sectPr>
          <w:pgSz w:w="11900" w:h="16838" w:orient="portrait"/>
          <w:cols w:equalWidth="0" w:num="2">
            <w:col w:w="3460" w:space="220"/>
            <w:col w:w="7520"/>
          </w:cols>
          <w:pgMar w:left="320" w:top="929" w:right="37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To transact any other business that may properly come before the annual meeting or any adjournments or postponements thereof.</w:t>
      </w:r>
    </w:p>
    <w:p>
      <w:pPr>
        <w:spacing w:after="0" w:line="49" w:lineRule="exact"/>
        <w:rPr>
          <w:sz w:val="20"/>
          <w:szCs w:val="20"/>
          <w:color w:val="auto"/>
        </w:rPr>
      </w:pPr>
    </w:p>
    <w:p>
      <w:pPr>
        <w:sectPr>
          <w:pgSz w:w="11900" w:h="16838" w:orient="portrait"/>
          <w:cols w:equalWidth="0" w:num="2">
            <w:col w:w="3460" w:space="200"/>
            <w:col w:w="7540"/>
          </w:cols>
          <w:pgMar w:left="320" w:top="929"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April 16, 2024</w:t>
      </w:r>
    </w:p>
    <w:p>
      <w:pPr>
        <w:spacing w:after="0" w:line="105" w:lineRule="exact"/>
        <w:rPr>
          <w:sz w:val="20"/>
          <w:szCs w:val="20"/>
          <w:color w:val="auto"/>
        </w:rPr>
      </w:pPr>
    </w:p>
    <w:p>
      <w:pPr>
        <w:sectPr>
          <w:pgSz w:w="11900" w:h="16838" w:orient="portrait"/>
          <w:cols w:equalWidth="0" w:num="2">
            <w:col w:w="2700" w:space="720"/>
            <w:col w:w="7780"/>
          </w:cols>
          <w:pgMar w:left="320" w:top="929" w:right="37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4"/>
          <w:szCs w:val="14"/>
          <w:color w:val="auto"/>
        </w:rPr>
        <w:t>Only stockholders of record as of April 16, 2024 are entitled to notice of and to vote at the annual meeting.</w:t>
      </w:r>
    </w:p>
    <w:p>
      <w:pPr>
        <w:sectPr>
          <w:pgSz w:w="11900" w:h="16838" w:orient="portrait"/>
          <w:cols w:equalWidth="0" w:num="1">
            <w:col w:w="11200"/>
          </w:cols>
          <w:pgMar w:left="320" w:top="929" w:right="37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Proxy Materials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The Notice of Internet Availability of Proxy Materials containing instructions on how to access our proxy statement, notice of annual meeting, form of proxy and our annual report, is first being sent or given on or about April 26, 2024 to all stockholders entitled to vote at the annual meeting</w:t>
      </w:r>
      <w:r>
        <w:rPr>
          <w:rFonts w:ascii="Times New Roman" w:cs="Times New Roman" w:eastAsia="Times New Roman" w:hAnsi="Times New Roman"/>
          <w:sz w:val="14"/>
          <w:szCs w:val="14"/>
          <w:color w:val="auto"/>
        </w:rPr>
        <w:t>.</w:t>
      </w:r>
    </w:p>
    <w:p>
      <w:pPr>
        <w:spacing w:after="0" w:line="51" w:lineRule="exact"/>
        <w:rPr>
          <w:sz w:val="20"/>
          <w:szCs w:val="20"/>
          <w:color w:val="auto"/>
        </w:rPr>
      </w:pPr>
    </w:p>
    <w:p>
      <w:pPr>
        <w:sectPr>
          <w:pgSz w:w="11900" w:h="16838" w:orient="portrait"/>
          <w:cols w:equalWidth="0" w:num="2">
            <w:col w:w="2700" w:space="720"/>
            <w:col w:w="7780"/>
          </w:cols>
          <w:pgMar w:left="320" w:top="929" w:right="379" w:bottom="1440" w:gutter="0" w:footer="0" w:header="0"/>
          <w:type w:val="continuous"/>
        </w:sectPr>
      </w:pPr>
    </w:p>
    <w:p>
      <w:pPr>
        <w:ind w:left="3420" w:right="100"/>
        <w:spacing w:after="0" w:line="283" w:lineRule="auto"/>
        <w:rPr>
          <w:sz w:val="20"/>
          <w:szCs w:val="20"/>
          <w:color w:val="auto"/>
        </w:rPr>
      </w:pPr>
      <w:r>
        <w:rPr>
          <w:rFonts w:ascii="Times New Roman" w:cs="Times New Roman" w:eastAsia="Times New Roman" w:hAnsi="Times New Roman"/>
          <w:sz w:val="14"/>
          <w:szCs w:val="14"/>
          <w:color w:val="auto"/>
        </w:rPr>
        <w:t>The proxy materials and our annual report can be accessed as of April 26, 2024 by visiting www.proxyvote.com and using your 16 digit control number on the proxy card.</w:t>
      </w:r>
    </w:p>
    <w:p>
      <w:pPr>
        <w:sectPr>
          <w:pgSz w:w="11900" w:h="16838" w:orient="portrait"/>
          <w:cols w:equalWidth="0" w:num="1">
            <w:col w:w="11200"/>
          </w:cols>
          <w:pgMar w:left="320" w:top="929"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b w:val="1"/>
          <w:bCs w:val="1"/>
          <w:color w:val="auto"/>
        </w:rPr>
        <w:t>Voting</w:t>
      </w:r>
    </w:p>
    <w:p>
      <w:pPr>
        <w:spacing w:after="0" w:line="20" w:lineRule="exact"/>
        <w:rPr>
          <w:sz w:val="20"/>
          <w:szCs w:val="20"/>
          <w:color w:val="auto"/>
        </w:rPr>
      </w:pPr>
      <w:r>
        <w:rPr>
          <w:sz w:val="20"/>
          <w:szCs w:val="20"/>
          <w:color w:val="auto"/>
        </w:rPr>
        <w:br w:type="column"/>
      </w: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Your vote is important</w:t>
      </w:r>
      <w:r>
        <w:rPr>
          <w:rFonts w:ascii="Times New Roman" w:cs="Times New Roman" w:eastAsia="Times New Roman" w:hAnsi="Times New Roman"/>
          <w:sz w:val="14"/>
          <w:szCs w:val="14"/>
          <w:color w:val="auto"/>
        </w:rPr>
        <w:t>. Whether or not you plan to attend the annual meeting, we urge you to submit your proxy or voting instructions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via the Internet, telephone or mail as soon as possible.</w:t>
      </w:r>
    </w:p>
    <w:p>
      <w:pPr>
        <w:spacing w:after="0" w:line="200" w:lineRule="exact"/>
        <w:rPr>
          <w:sz w:val="20"/>
          <w:szCs w:val="20"/>
          <w:color w:val="auto"/>
        </w:rPr>
      </w:pPr>
    </w:p>
    <w:p>
      <w:pPr>
        <w:sectPr>
          <w:pgSz w:w="11900" w:h="16838" w:orient="portrait"/>
          <w:cols w:equalWidth="0" w:num="2">
            <w:col w:w="2700" w:space="720"/>
            <w:col w:w="7780"/>
          </w:cols>
          <w:pgMar w:left="320" w:top="929" w:right="379" w:bottom="1440" w:gutter="0" w:footer="0" w:header="0"/>
          <w:type w:val="continuous"/>
        </w:sectPr>
      </w:pPr>
    </w:p>
    <w:p>
      <w:pPr>
        <w:spacing w:after="0" w:line="6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183515</wp:posOffset>
            </wp:positionV>
            <wp:extent cx="1347470" cy="242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7470" cy="242570"/>
                    </a:xfrm>
                    <a:prstGeom prst="rect">
                      <a:avLst/>
                    </a:prstGeom>
                    <a:noFill/>
                  </pic:spPr>
                </pic:pic>
              </a:graphicData>
            </a:graphic>
          </wp:anchor>
        </w:drawing>
      </w:r>
    </w:p>
    <w:p>
      <w:pPr>
        <w:sectPr>
          <w:pgSz w:w="11900" w:h="16838" w:orient="portrait"/>
          <w:cols w:equalWidth="0" w:num="1">
            <w:col w:w="11200"/>
          </w:cols>
          <w:pgMar w:left="320" w:top="92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Sujal Patel</w:t>
      </w:r>
    </w:p>
    <w:p>
      <w:pPr>
        <w:spacing w:after="0" w:line="4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Seattle, Washington</w:t>
      </w:r>
    </w:p>
    <w:p>
      <w:pPr>
        <w:spacing w:after="0" w:line="20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color w:val="auto"/>
        </w:rPr>
        <w:t>April 26, 2024</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00"/>
          </w:cols>
          <w:pgMar w:left="320" w:top="929" w:right="3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0580" w:type="dxa"/>
            <w:vAlign w:val="bottom"/>
          </w:tcPr>
          <w:p>
            <w:pPr>
              <w:ind w:left="48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r>
      <w:tr>
        <w:trPr>
          <w:trHeight w:val="372"/>
        </w:trPr>
        <w:tc>
          <w:tcPr>
            <w:tcW w:w="1058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2"/>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QUESTIONS AND ANSWERS ABOUT THE PROXY MATERIALS AND OUR ANNUAL MEETING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212"/>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BOARD OF DIRECTORS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198"/>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Composition of the Board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Nominees for 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Continuing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8</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Director Independence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Board Leadership Structure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Role of Board in Risk Oversight Process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Board Committees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Director Diversity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13</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Attendance at Board and Stockholder Meetings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Executive Sessions of Non-Employee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Compensation Committee Interlocks and Insider Participation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14</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Considerations in Evaluating Director Nominees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Stockholder Recommendations and Nominations to our Board of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Communications with the Board of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Policy Prohibiting Hedging or Pledging of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Corporate Governance Guidelines and Code of Business Conduct and Ethics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Director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16</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PROPOSAL NO. 1: ELECTION OF CLASS III DIRECTORS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Nominees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Vote Required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19</w:t>
            </w:r>
          </w:p>
        </w:tc>
      </w:tr>
      <w:tr>
        <w:trPr>
          <w:trHeight w:val="184"/>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Board Recommendation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w:t>
            </w:r>
          </w:p>
        </w:tc>
      </w:tr>
      <w:tr>
        <w:trPr>
          <w:trHeight w:val="209"/>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PROPOSAL NO. 2: RATIFICATION OF APPOINTMENT OF INDEPENDENT REGISTERED PUBLIC ACCOUNTING FIRM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Fees Paid to the Independent Registered Public Accounting Firm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184"/>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Auditor Independence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209"/>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Audit Committee Policy on Pre-Approval of Audit and Permissible Non-Audit Services of Independent Registered Public Accounting Firm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Vote Required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Board Recommendation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21</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REPORT OF THE AUDIT COMMITTEE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22</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EXECUTIVE OFFICERS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23</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25</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42</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RELATED PERSON TRANSACTIONS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44</w:t>
            </w:r>
          </w:p>
        </w:tc>
      </w:tr>
      <w:tr>
        <w:trPr>
          <w:trHeight w:val="180"/>
        </w:trPr>
        <w:tc>
          <w:tcPr>
            <w:tcW w:w="10580" w:type="dxa"/>
            <w:vAlign w:val="bottom"/>
          </w:tcPr>
          <w:p>
            <w:pPr>
              <w:spacing w:after="0"/>
              <w:rPr>
                <w:sz w:val="20"/>
                <w:szCs w:val="20"/>
                <w:color w:val="auto"/>
              </w:rPr>
            </w:pPr>
            <w:r>
              <w:rPr>
                <w:rFonts w:ascii="Times New Roman" w:cs="Times New Roman" w:eastAsia="Times New Roman" w:hAnsi="Times New Roman"/>
                <w:sz w:val="14"/>
                <w:szCs w:val="14"/>
                <w:color w:val="0000FF"/>
              </w:rPr>
              <w:t>OTHER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Stockholder Proposals or Director Nominations for 2025 Annual Meeting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Availability of Bylaws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180"/>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0000FF"/>
              </w:rPr>
              <w:t>Delinquent Section 16(a) Reports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184"/>
        </w:trPr>
        <w:tc>
          <w:tcPr>
            <w:tcW w:w="10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14"/>
                <w:szCs w:val="14"/>
                <w:color w:val="0000FF"/>
              </w:rPr>
              <w:t>Annual Report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46</w:t>
            </w:r>
          </w:p>
        </w:tc>
      </w:tr>
    </w:tbl>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1260"/>
          </w:cols>
          <w:pgMar w:left="320" w:top="92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NAUTILUS BIOTECHNOLOGY, INC.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2024 ANNUAL MEETING OF STOCKHOLDERS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 be held at 10:00 a.m., Pacific Time, on Thursday, June 13, 2024</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This proxy statement and the enclosed form of proxy are being furnished in connection with the solicitation of proxies by our board of directors for use at our 2024 annual meeting of stockholders, and any postponements, adjournments or continuations thereof. You will be able to attend the annual meeting virtually by visiting www.virtualshareholdermeeting.com/NAUT2024, where you will be able to listen to the annual meeting live, submit questions and vote online by entering the control number on your Notice of Internet Availability or proxy card.</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QUESTIONS AND ANSWERS ABOUT THE PROXY MATERIALS AND OUR ANNUAL MEETING</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Nautilus Biotechnology, Inc.’s relationship to ARYA Sciences Acquisition Corp III? What is the Business Combination?</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4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am I receiving these materials?</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This proxy statement and the form of proxy are furnished in connection with the solicitation of proxies by our board of directors for use at the 2024 annual meeting of stockholders of Nautilus Biotechnology, Inc., a Delaware corporation, and any postponements, adjournments or continuations thereof (the “annual meeting”). The annual meeting will be held on Thursday, June 13, 2024 at 10:00 a.m., Pacific Time. The annual meeting will be conducted virtually via live audio webcast. You will be able to attend the annual meeting virtually by visiting www.virtualshareholdermeeting.com/NAUT2024, where you will be able to listen to the meeting live, submit questions and vote online during the meeting.</w:t>
      </w:r>
    </w:p>
    <w:p>
      <w:pPr>
        <w:spacing w:after="0" w:line="140"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26, 2024, to all stockholders of record as of April 16, 2024. The proxy materials and our annual report can be accessed as of April 26, 2024,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ectPr>
          <w:pgSz w:w="11900" w:h="16838" w:orient="portrait"/>
          <w:cols w:equalWidth="0" w:num="1">
            <w:col w:w="11280"/>
          </w:cols>
          <w:pgMar w:left="300" w:top="929"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What proposals will be voted on at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proposals will be voted on at the annual meeting:</w:t>
      </w:r>
    </w:p>
    <w:p>
      <w:pPr>
        <w:spacing w:after="0" w:line="179"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three Class III directors to hold office until our 2027 annual meeting of stockholders and until their respective successors are elected and qualified;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the appointment of PricewaterhouseCoopers LLP as our independent registered public accounting firm for our fiscal year ending December 31, 2024;</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business that may properly come before the annual meeting or any adjournments or postponements thereof.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proxy statement, our management and board of directors were not aware of any other matters to be presented at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does the board of directors recommend that I vote on these proposals?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recommends that you vote your shares:</w:t>
      </w:r>
    </w:p>
    <w:p>
      <w:pPr>
        <w:spacing w:after="0" w:line="179"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each Class III director nominee named in this proxy statement;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ratification of the appointment of PricewaterhouseCoopers LLP as our independent registered public accounting firm for our fiscal year ending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is entitled to vote at the annual meeting?</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Holders of our common stock as of the close of business on April 16, 2024, the record date for the annual meeting, may vote at the annual meeting. As of the record date, there were 125,265,015 shares of our common stock outstanding. Each share of common stock is entitled to one vote on each matter properly brought before the annual meeting. Stockholders are not permitted to cumulate votes with respect to the election of directors.</w:t>
      </w:r>
    </w:p>
    <w:p>
      <w:pPr>
        <w:spacing w:after="0" w:line="1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Stockholders of Record</w:t>
      </w:r>
      <w:r>
        <w:rPr>
          <w:rFonts w:ascii="Times New Roman" w:cs="Times New Roman" w:eastAsia="Times New Roman" w:hAnsi="Times New Roman"/>
          <w:sz w:val="14"/>
          <w:szCs w:val="14"/>
          <w:color w:val="auto"/>
        </w:rPr>
        <w:t>. If your shares are registered directly in your name with our transfer agent, Continental Stock Transfer &amp; Trust Company, then you are considered the stockholder of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3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your shares are held in a brokerage account or by a broker, bank or other nominee, then you are considered the beneficial owner of shares held in street name,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there a list of registered stockholders entitled to vote at the annual meeting?</w:t>
      </w:r>
    </w:p>
    <w:p>
      <w:pPr>
        <w:spacing w:after="0" w:line="181"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2701 Eastlake Avenue East, Seattle, Washington 98102 by contacting our corporate secretary.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many votes are needed for approval of each proposal?</w:t>
      </w:r>
    </w:p>
    <w:p>
      <w:pPr>
        <w:spacing w:after="0" w:line="179" w:lineRule="exact"/>
        <w:rPr>
          <w:sz w:val="20"/>
          <w:szCs w:val="20"/>
          <w:color w:val="auto"/>
        </w:rPr>
      </w:pPr>
    </w:p>
    <w:p>
      <w:pPr>
        <w:jc w:val="both"/>
        <w:ind w:left="520" w:right="4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Proposal No. 1</w:t>
      </w:r>
      <w:r>
        <w:rPr>
          <w:rFonts w:ascii="Times New Roman" w:cs="Times New Roman" w:eastAsia="Times New Roman" w:hAnsi="Times New Roman"/>
          <w:sz w:val="14"/>
          <w:szCs w:val="14"/>
          <w:color w:val="auto"/>
        </w:rPr>
        <w:t>: Each director is elected by a plurality of the voting power of the shares present in person (including virtually) or represented by proxy at the annual meeting and entitled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vote on the election of directors. A plurality means that the nominees with the largest number of FOR votes are elected as directors. You may (1) vote FOR the election of all of the director nominees named herein, (2) WITHHOLD your vote for all director</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80"/>
          </w:cols>
          <w:pgMar w:left="300" w:top="929" w:right="419" w:bottom="1440" w:gutter="0" w:footer="0" w:header="0"/>
        </w:sectPr>
      </w:pPr>
    </w:p>
    <w:bookmarkStart w:id="6" w:name="page7"/>
    <w:bookmarkEnd w:id="6"/>
    <w:p>
      <w:pPr>
        <w:ind w:left="520" w:right="100"/>
        <w:spacing w:after="0" w:line="270" w:lineRule="auto"/>
        <w:rPr>
          <w:sz w:val="20"/>
          <w:szCs w:val="20"/>
          <w:color w:val="auto"/>
        </w:rPr>
      </w:pPr>
      <w:r>
        <w:rPr>
          <w:rFonts w:ascii="Times New Roman" w:cs="Times New Roman" w:eastAsia="Times New Roman" w:hAnsi="Times New Roman"/>
          <w:sz w:val="14"/>
          <w:szCs w:val="14"/>
          <w:color w:val="auto"/>
        </w:rPr>
        <w:t>nominees, or (3) vote FOR all director nominees except for those specific director nominees from whom you WITHHOLD your vote.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34" w:lineRule="exact"/>
        <w:rPr>
          <w:sz w:val="20"/>
          <w:szCs w:val="20"/>
          <w:color w:val="auto"/>
        </w:rPr>
      </w:pPr>
    </w:p>
    <w:p>
      <w:pPr>
        <w:ind w:left="520" w:right="60" w:hanging="260"/>
        <w:spacing w:after="0" w:line="265"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Proposal No. 2</w:t>
      </w:r>
      <w:r>
        <w:rPr>
          <w:rFonts w:ascii="Times New Roman" w:cs="Times New Roman" w:eastAsia="Times New Roman" w:hAnsi="Times New Roman"/>
          <w:sz w:val="14"/>
          <w:szCs w:val="14"/>
          <w:color w:val="auto"/>
        </w:rPr>
        <w:t>: The ratification of the appointment of PricewaterhouseCoopers LLP as our independent registered public accounting firm for our fiscal year ending December 31,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requires the affirmative vote of a majority of the voting power of the shares present in person (including virtually) or represented by proxy at the annual meeting and entitled to vote thereon. You may vote FOR or AGAINST this proposal, or you may indicate that you wish to ABSTAIN from voting on this proposal. Abstentions will be counted for purposes of determining the presence or absence of a quorum and will have the same effect as a vote AGAINST this proposal. Because this is a routine proposal, we do not expect any broker non-votes on this proposal.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is the quorum requirement for the annual meeting?</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 quorum is the minimum number of shares required to be present or represented at the annual meeting for the meeting to be properly held under our amended and restated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 I vote and what are the voting deadlines?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may vote in one of the following ways:</w:t>
      </w:r>
    </w:p>
    <w:p>
      <w:pPr>
        <w:spacing w:after="0" w:line="181" w:lineRule="exact"/>
        <w:rPr>
          <w:sz w:val="20"/>
          <w:szCs w:val="20"/>
          <w:color w:val="auto"/>
        </w:rPr>
      </w:pPr>
    </w:p>
    <w:p>
      <w:pPr>
        <w:ind w:left="520" w:right="6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Internet at www.proxyvote.com, 24 hours a day, 7 days a week, until 11:59 p.m. Eastern Time on June 12, 2024 (have your Notice of Internet Availability or proxy card in hand when you visit the website);</w:t>
      </w:r>
    </w:p>
    <w:p>
      <w:pPr>
        <w:spacing w:after="0" w:line="124"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toll-free telephone at 1-800-690-6903, 24 hours a day, 7 days a week, until 11:59 p.m. Eastern Time on June 12, 2024 (have your Notice of Internet Availability or proxy card in hand when you call);</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completing, signing and mailing your proxy card (if you received printed proxy materials), which must be received prior to the annual meeting; or</w:t>
      </w:r>
    </w:p>
    <w:p>
      <w:pPr>
        <w:spacing w:after="0" w:line="178"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attending the annual meeting virtually by visiting www.virtualshareholdermeeting.com/NAUT2024, where you may vote during the meeting (have your Notice of Internet Availability or proxy card in hand when you visit the website, you will need your 16 digit control number on your proxy card).</w:t>
      </w:r>
    </w:p>
    <w:p>
      <w:pPr>
        <w:spacing w:after="0" w:line="1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 will receive voting instructions from your broker, bank or other nominee. The availability of Internet and telephone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options will depend on the voting process of your broker, bank or other nominee. We therefore recommend that you follow the voting instructions in the materials you receive from your broker, bank or other nominee.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if I do not specify how my shares are to be voted or fail to provide timely directions to my broker, bank or other nominee?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and you submit a proxy, but you do not provide voting instructions, your shares will be voted:</w:t>
      </w:r>
    </w:p>
    <w:p>
      <w:pPr>
        <w:spacing w:after="0" w:line="181"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all Class III director nominees named in this proxy statement;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ratification of the appointment of PricewaterhouseCoopers LLP as our independent registered public accounting firm for our fiscal year ending December 31, 2024.</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931" w:right="319" w:bottom="1440" w:gutter="0" w:footer="0" w:header="0"/>
        </w:sectPr>
      </w:pPr>
    </w:p>
    <w:bookmarkStart w:id="7" w:name="page8"/>
    <w:bookmarkEnd w:id="7"/>
    <w:p>
      <w:pPr>
        <w:ind w:right="220"/>
        <w:spacing w:after="0" w:line="287" w:lineRule="auto"/>
        <w:rPr>
          <w:sz w:val="20"/>
          <w:szCs w:val="20"/>
          <w:color w:val="auto"/>
        </w:rPr>
      </w:pPr>
      <w:r>
        <w:rPr>
          <w:rFonts w:ascii="Times New Roman" w:cs="Times New Roman" w:eastAsia="Times New Roman" w:hAnsi="Times New Roman"/>
          <w:sz w:val="14"/>
          <w:szCs w:val="14"/>
          <w:color w:val="auto"/>
        </w:rPr>
        <w:t>In addition, if any other matters are properly brought before the annual meeting, the persons named as proxies will be authorized to vote or otherwise act on those matters in accordance with their judgment.</w:t>
      </w:r>
    </w:p>
    <w:p>
      <w:pPr>
        <w:spacing w:after="0" w:line="1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Brokers, banks and other nominees holding shares of common stock in street name for customers are generally required to vote such shares in the manner directed by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In the absence of timely directions, your broker, bank or other nominee will have discretion to vote your shares on our sole routine matter: the proposal to ratify the appointment of PricewaterhouseCoopers LLP as our independent registered public accounting firm for our fiscal year ending December 31, 2024.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I change my vote or revoke my proxy?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can change your vote or revoke your proxy before the annual meeting by:</w:t>
      </w:r>
    </w:p>
    <w:p>
      <w:pPr>
        <w:spacing w:after="0" w:line="181"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a new vote by Internet or telephone (subject to the applicable deadlines for each method as set forth above);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and returning a later-dated proxy card, which must be received prior to the annual meeting;</w:t>
      </w:r>
    </w:p>
    <w:p>
      <w:pPr>
        <w:spacing w:after="0" w:line="178"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written notice of revocation to our corporate secretary at Nautilus Biotechnology, Inc., 2701 Eastlake Avenue East, Seattle, Washington 98102, Attention: Corporate Secretary, which must be received prior to the annual meeting; or</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and voting at the annual meeting (although attendance at the annual meeting will not, by itself, revoke a proxy).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your broker, bank or other nominee can provide you with instructions on how to change or revoke your proxy.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 I need to do to attend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 hosting the annual meeting via live audio webcast only.</w:t>
      </w:r>
    </w:p>
    <w:p>
      <w:pPr>
        <w:spacing w:after="0" w:line="1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were a stockholder of record as of the record date, then you may attend the annual meeting virtually, and will be able to submit your questions during the meeting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vote your shares electronically during the meeting by visiting www.virtualshareholdermeeting.com/NAUT2024. To attend and participate in the annual meeting, you will need the control number included on your Notice of Internet Availability or proxy card. The annual meeting live audio webcast will begin promptly at 10:00 a.m., Pacific Time. We encourage you to access the meeting prior to the start time. Online check-in will begin at 9:45 a.m., Pacific Time, and you should allow ample time for the check-in procedures.</w:t>
      </w:r>
    </w:p>
    <w:p>
      <w:pPr>
        <w:spacing w:after="0" w:line="1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were a street name stockholder as of the record date and your voting instruction form or notice of internet availability of proxy materials indicates that you may vote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get help if I have trouble checking in or listening to the annual meeting online?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encounter difficulties accessing the virtual meeting during the check-in or meeting time, please call the technical support number that will be posted on the virtual meeting log-in page.</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20"/>
          </w:cols>
          <w:pgMar w:left="300" w:top="93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What is the effect of giving a proxy?</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Proxies are solicited by and on behalf of our board of directors. Sujal Patel, our President and Chief Executive Officer, and Anna Mowry, our Chief Financial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 will use their own judgment to determine how to vote your shares. If the annual meeting is postponed or adjourned, then the proxy holder can vote your shares on the new meeting date, unless you have properly revoked your proxy, as described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contact Nautilus’s transfer agent?</w:t>
      </w:r>
    </w:p>
    <w:p>
      <w:pPr>
        <w:spacing w:after="0" w:line="18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You may contact our transfer agent, Continental Stock Transfer &amp; Trust Company, by telephone at (212) 509-4000, or by writing Continental Stock Transfer &amp; Trust Company, at 1 State Street 30th Floor, New York, NY 1004-1561. You may also access instructions with respect to certain stockholder matters (e.g., change of address) via the Internet at https://continentalstock.com/.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are proxies solicited for the annual meeting and who is paying for such solicitation?</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Where can I find the voting results of the annual meeting?</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will disclose voting results on a Current Report on Form 8-K that we will file with the U.S. Securities and Exchange Commission, or SEC, within four business days after the meeting. If final voting results are not available to us in time to file a Form 8-K within such timeframe, we will file a Form 8-K to publish preliminary results and will provide the final results in an amendment to the Form 8-K as soon as they become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did I receive a Notice of Internet Availability instead of a full set of proxy materials?</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does it mean if I receive more than one Notice of Internet Availability or more than one set of printed proxy materials?</w:t>
      </w:r>
    </w:p>
    <w:p>
      <w:pPr>
        <w:spacing w:after="0" w:line="181" w:lineRule="exact"/>
        <w:rPr>
          <w:sz w:val="20"/>
          <w:szCs w:val="20"/>
          <w:color w:val="auto"/>
        </w:rPr>
      </w:pPr>
    </w:p>
    <w:p>
      <w:pPr>
        <w:jc w:val="both"/>
        <w:ind w:right="500"/>
        <w:spacing w:after="0" w:line="287" w:lineRule="auto"/>
        <w:rPr>
          <w:sz w:val="20"/>
          <w:szCs w:val="20"/>
          <w:color w:val="auto"/>
        </w:rPr>
      </w:pPr>
      <w:r>
        <w:rPr>
          <w:rFonts w:ascii="Times New Roman" w:cs="Times New Roman" w:eastAsia="Times New Roman" w:hAnsi="Times New Roman"/>
          <w:sz w:val="14"/>
          <w:szCs w:val="14"/>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929" w:right="319" w:bottom="1440" w:gutter="0" w:footer="0" w:header="0"/>
        </w:sectPr>
      </w:pPr>
    </w:p>
    <w:bookmarkStart w:id="9" w:name="page10"/>
    <w:bookmarkEnd w:id="9"/>
    <w:p>
      <w:pPr>
        <w:ind w:right="220"/>
        <w:spacing w:after="0" w:line="290" w:lineRule="auto"/>
        <w:rPr>
          <w:sz w:val="20"/>
          <w:szCs w:val="20"/>
          <w:color w:val="auto"/>
        </w:rPr>
      </w:pPr>
      <w:r>
        <w:rPr>
          <w:rFonts w:ascii="Times New Roman" w:cs="Times New Roman" w:eastAsia="Times New Roman" w:hAnsi="Times New Roman"/>
          <w:sz w:val="14"/>
          <w:szCs w:val="14"/>
          <w:b w:val="1"/>
          <w:bCs w:val="1"/>
          <w:color w:val="auto"/>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spacing w:after="0" w:line="12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Nautilus Biotechnology,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2701 Eastlake Avenue East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Seattle, Washington 98102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Tel: (206) 333-2001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Street name stockholders may contact their broker, bank or other nominee to request information about householding.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smaller reporting company.</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(i.e., December 31, 2025),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periodic reports and proxy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929"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BOARD OF DIRECTORS AND CORPORATE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Composition of the Board</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board of directors currently consists of nine directors, seven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names, ages as of April 16, 2024, and certain other information for each of our directors and director nominees: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 of</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Director</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Term for</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Term</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Which</w:t>
            </w:r>
          </w:p>
        </w:tc>
        <w:tc>
          <w:tcPr>
            <w:tcW w:w="0" w:type="dxa"/>
            <w:vAlign w:val="bottom"/>
          </w:tcPr>
          <w:p>
            <w:pPr>
              <w:spacing w:after="0"/>
              <w:rPr>
                <w:sz w:val="1"/>
                <w:szCs w:val="1"/>
                <w:color w:val="auto"/>
              </w:rPr>
            </w:pPr>
          </w:p>
        </w:tc>
      </w:tr>
      <w:tr>
        <w:trPr>
          <w:trHeight w:val="16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Age</w:t>
            </w:r>
          </w:p>
        </w:tc>
        <w:tc>
          <w:tcPr>
            <w:tcW w:w="2140" w:type="dxa"/>
            <w:vAlign w:val="bottom"/>
            <w:gridSpan w:val="2"/>
          </w:tcPr>
          <w:p>
            <w:pPr>
              <w:ind w:left="780"/>
              <w:spacing w:after="0"/>
              <w:rPr>
                <w:sz w:val="20"/>
                <w:szCs w:val="20"/>
                <w:color w:val="auto"/>
              </w:rPr>
            </w:pPr>
            <w:r>
              <w:rPr>
                <w:rFonts w:ascii="Times New Roman" w:cs="Times New Roman" w:eastAsia="Times New Roman" w:hAnsi="Times New Roman"/>
                <w:sz w:val="11"/>
                <w:szCs w:val="11"/>
                <w:b w:val="1"/>
                <w:bCs w:val="1"/>
                <w:color w:val="auto"/>
              </w:rPr>
              <w:t>Position(s)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Since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Expires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Nominated</w:t>
            </w:r>
          </w:p>
        </w:tc>
        <w:tc>
          <w:tcPr>
            <w:tcW w:w="0" w:type="dxa"/>
            <w:vAlign w:val="bottom"/>
          </w:tcPr>
          <w:p>
            <w:pPr>
              <w:spacing w:after="0"/>
              <w:rPr>
                <w:sz w:val="1"/>
                <w:szCs w:val="1"/>
                <w:color w:val="auto"/>
              </w:rPr>
            </w:pPr>
          </w:p>
        </w:tc>
      </w:tr>
      <w:tr>
        <w:trPr>
          <w:trHeight w:val="149"/>
        </w:trPr>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Nominees for Director</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1"/>
                <w:szCs w:val="11"/>
                <w:color w:val="auto"/>
              </w:rPr>
              <w:t xml:space="preserve">Melissa Epperly </w:t>
            </w:r>
            <w:r>
              <w:rPr>
                <w:rFonts w:ascii="Times New Roman" w:cs="Times New Roman" w:eastAsia="Times New Roman" w:hAnsi="Times New Roman"/>
                <w:sz w:val="14"/>
                <w:szCs w:val="14"/>
                <w:color w:val="auto"/>
                <w:vertAlign w:val="superscript"/>
              </w:rPr>
              <w:t>(1)</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III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59"/>
        </w:trPr>
        <w:tc>
          <w:tcPr>
            <w:tcW w:w="27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Matthew L. Posard </w:t>
            </w:r>
            <w:r>
              <w:rPr>
                <w:rFonts w:ascii="Times New Roman" w:cs="Times New Roman" w:eastAsia="Times New Roman" w:hAnsi="Times New Roman"/>
                <w:sz w:val="14"/>
                <w:szCs w:val="14"/>
                <w:color w:val="auto"/>
                <w:vertAlign w:val="superscript"/>
              </w:rPr>
              <w:t>(1) (2)</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III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Chairperson</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9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Karen Akinsanya</w:t>
            </w:r>
            <w:r>
              <w:rPr>
                <w:rFonts w:ascii="Times New Roman" w:cs="Times New Roman" w:eastAsia="Times New Roman" w:hAnsi="Times New Roman"/>
                <w:sz w:val="14"/>
                <w:szCs w:val="14"/>
                <w:color w:val="auto"/>
                <w:vertAlign w:val="superscript"/>
              </w:rPr>
              <w:t>(3)</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III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2022</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32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Parag Mallick</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Scientist and 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2026</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8"/>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Matthew McIlwain </w:t>
            </w:r>
            <w:r>
              <w:rPr>
                <w:rFonts w:ascii="Times New Roman" w:cs="Times New Roman" w:eastAsia="Times New Roman" w:hAnsi="Times New Roman"/>
                <w:sz w:val="14"/>
                <w:szCs w:val="14"/>
                <w:color w:val="auto"/>
                <w:vertAlign w:val="superscript"/>
              </w:rPr>
              <w:t>(1) (3)</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2026</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2"/>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Farzad Nazem </w:t>
            </w:r>
            <w:r>
              <w:rPr>
                <w:rFonts w:ascii="Times New Roman" w:cs="Times New Roman" w:eastAsia="Times New Roman" w:hAnsi="Times New Roman"/>
                <w:sz w:val="14"/>
                <w:szCs w:val="14"/>
                <w:color w:val="auto"/>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4"/>
                <w:szCs w:val="1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2026</w:t>
            </w: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3"/>
        </w:trPr>
        <w:tc>
          <w:tcPr>
            <w:tcW w:w="27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1"/>
                <w:szCs w:val="11"/>
                <w:color w:val="auto"/>
              </w:rPr>
              <w:t>Sujal Patel</w:t>
            </w:r>
          </w:p>
        </w:tc>
        <w:tc>
          <w:tcPr>
            <w:tcW w:w="9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1"/>
                <w:szCs w:val="11"/>
                <w:color w:val="auto"/>
              </w:rPr>
              <w:t>I</w:t>
            </w:r>
          </w:p>
        </w:tc>
        <w:tc>
          <w:tcPr>
            <w:tcW w:w="8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0"/>
                <w:szCs w:val="10"/>
                <w:color w:val="auto"/>
              </w:rPr>
            </w:pPr>
          </w:p>
        </w:tc>
        <w:tc>
          <w:tcPr>
            <w:tcW w:w="21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1"/>
                <w:szCs w:val="11"/>
                <w:color w:val="auto"/>
              </w:rPr>
              <w:t>Chief Executive Officer, President,</w:t>
            </w: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tcPr>
          <w:p>
            <w:pPr>
              <w:spacing w:after="0"/>
              <w:rPr>
                <w:sz w:val="10"/>
                <w:szCs w:val="10"/>
                <w:color w:val="auto"/>
              </w:rPr>
            </w:pP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Vijay Pande </w:t>
            </w:r>
            <w:r>
              <w:rPr>
                <w:rFonts w:ascii="Times New Roman" w:cs="Times New Roman" w:eastAsia="Times New Roman" w:hAnsi="Times New Roman"/>
                <w:sz w:val="14"/>
                <w:szCs w:val="14"/>
                <w:color w:val="auto"/>
                <w:vertAlign w:val="superscript"/>
              </w:rPr>
              <w:t>(3)</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Secretary and Director</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gridSpan w:val="2"/>
            <w:vMerge w:val="continue"/>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Michael Altman </w:t>
            </w:r>
            <w:r>
              <w:rPr>
                <w:rFonts w:ascii="Times New Roman" w:cs="Times New Roman" w:eastAsia="Times New Roman" w:hAnsi="Times New Roman"/>
                <w:sz w:val="14"/>
                <w:szCs w:val="14"/>
                <w:color w:val="auto"/>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I</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Director</w:t>
            </w: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2020</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3"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audit committee</w:t>
      </w:r>
    </w:p>
    <w:p>
      <w:pPr>
        <w:spacing w:after="0" w:line="8"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compensation committee</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Member of nominating and governance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 for Director</w:t>
      </w:r>
    </w:p>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i w:val="1"/>
          <w:iCs w:val="1"/>
          <w:color w:val="auto"/>
        </w:rPr>
        <w:t>Melissa Epperly</w:t>
      </w:r>
      <w:r>
        <w:rPr>
          <w:rFonts w:ascii="Times New Roman" w:cs="Times New Roman" w:eastAsia="Times New Roman" w:hAnsi="Times New Roman"/>
          <w:sz w:val="14"/>
          <w:szCs w:val="14"/>
          <w:color w:val="auto"/>
        </w:rPr>
        <w:t>. Melissa Epperly has served on our board of directors since June 2021 and served on the Legacy Nautilus board of directors from January 2021 through the closing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From September 2019 to April 2024, Ms. Epperly served as Chief Financial Officer of Zentalis Pharmaceuticals, Inc. (NASDAQ: ZNTL), a clinical-stage cancer company. From June 2018 to August 2019, Ms. Epperly served as Chief Financial Officer of PsiOxus Therapeutics Ltd., a clinical-stage gene therapy cancer company, where she led the company’s financial operations.</w:t>
      </w:r>
    </w:p>
    <w:p>
      <w:pPr>
        <w:ind w:right="40"/>
        <w:spacing w:after="0" w:line="256" w:lineRule="auto"/>
        <w:rPr>
          <w:sz w:val="20"/>
          <w:szCs w:val="20"/>
          <w:color w:val="auto"/>
        </w:rPr>
      </w:pPr>
      <w:r>
        <w:rPr>
          <w:rFonts w:ascii="Times New Roman" w:cs="Times New Roman" w:eastAsia="Times New Roman" w:hAnsi="Times New Roman"/>
          <w:sz w:val="14"/>
          <w:szCs w:val="14"/>
          <w:color w:val="auto"/>
        </w:rPr>
        <w:t>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Roivant Sciences Ltd (NASDAQ: ROIV). Ms. Epperly holds a B.A. in Biochemisty and Economics from the University of Virginia and an M.B.A from Harvard Business School.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Ms. Epperly is qualified to serve on our board of directors because of her extensive experience as a senior financing executive in the life sciences industry.</w:t>
      </w:r>
    </w:p>
    <w:p>
      <w:pPr>
        <w:spacing w:after="0" w:line="17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Matthew L. Posard</w:t>
      </w:r>
      <w:r>
        <w:rPr>
          <w:rFonts w:ascii="Times New Roman" w:cs="Times New Roman" w:eastAsia="Times New Roman" w:hAnsi="Times New Roman"/>
          <w:sz w:val="14"/>
          <w:szCs w:val="14"/>
          <w:color w:val="auto"/>
        </w:rPr>
        <w:t>. Matthew L. Posard has served on our board of directors and as Chairperson since June 2021 and served on the Legacy Nautilus board of directors from February 2019 through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closing of the Business Combination.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929" w:right="319" w:bottom="1440" w:gutter="0" w:footer="0" w:header="0"/>
        </w:sectPr>
      </w:pPr>
    </w:p>
    <w:bookmarkStart w:id="11" w:name="page12"/>
    <w:bookmarkEnd w:id="11"/>
    <w:p>
      <w:pPr>
        <w:ind w:right="80"/>
        <w:spacing w:after="0" w:line="261" w:lineRule="auto"/>
        <w:rPr>
          <w:sz w:val="20"/>
          <w:szCs w:val="20"/>
          <w:color w:val="auto"/>
        </w:rPr>
      </w:pPr>
      <w:r>
        <w:rPr>
          <w:rFonts w:ascii="Times New Roman" w:cs="Times New Roman" w:eastAsia="Times New Roman" w:hAnsi="Times New Roman"/>
          <w:sz w:val="14"/>
          <w:szCs w:val="14"/>
          <w:color w:val="auto"/>
        </w:rPr>
        <w:t>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and DermTech (NASDAQ CM: DMTK). Mr. Posard holds a B.A. in Management Science from the University of California, San Diego.</w:t>
      </w:r>
    </w:p>
    <w:p>
      <w:pPr>
        <w:spacing w:after="0" w:line="143"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believe Mr. Posard is qualified to serve on our board of directors because of his extensive experience as an executive and serving on various boards of directors of companies in the life sciences industry.</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i w:val="1"/>
          <w:iCs w:val="1"/>
          <w:color w:val="auto"/>
        </w:rPr>
        <w:t>Karen Akinsanya</w:t>
      </w:r>
      <w:r>
        <w:rPr>
          <w:rFonts w:ascii="Times New Roman" w:cs="Times New Roman" w:eastAsia="Times New Roman" w:hAnsi="Times New Roman"/>
          <w:sz w:val="14"/>
          <w:szCs w:val="14"/>
          <w:color w:val="auto"/>
        </w:rPr>
        <w:t>. Karen Akinsanya has served on our board of directors since March 2022. Dr. Akinsanya has served as President of R&amp;D, Therapeutics of Schrödinger, Inc. (NASDAQ: SDGR),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received a B.Sc. in Biochemistry from Queen Mary College, University of London, a Ph.D. in Endocrine Physiology from the Imperial College and completed postdoctoral studies at the Ludwig Institute for Cancer Research, University College, London.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Dr. Akinsanya is qualified to serve on our board of directors because of her extensive industry background and experience in the life sciences industry.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Continuing Directors</w:t>
      </w:r>
    </w:p>
    <w:p>
      <w:pPr>
        <w:spacing w:after="0" w:line="1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Parag Mallick</w:t>
      </w:r>
      <w:r>
        <w:rPr>
          <w:rFonts w:ascii="Times New Roman" w:cs="Times New Roman" w:eastAsia="Times New Roman" w:hAnsi="Times New Roman"/>
          <w:sz w:val="14"/>
          <w:szCs w:val="14"/>
          <w:color w:val="auto"/>
        </w:rPr>
        <w:t>. Parag Mallick has served as our Chief Scientist and a member of our board of directors since June 2021. Dr. Mallick co-founded Legacy Nautilus and served as its Chief Scientist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member of its board of directors from December 2016 through the closing of the Business Combination.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Dr. Mallick is qualified to serve on our board of directors because of his scientific expertise and his deep understanding of our business, operations and strategy.</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Matthew McIlwain</w:t>
      </w:r>
      <w:r>
        <w:rPr>
          <w:rFonts w:ascii="Times New Roman" w:cs="Times New Roman" w:eastAsia="Times New Roman" w:hAnsi="Times New Roman"/>
          <w:sz w:val="14"/>
          <w:szCs w:val="14"/>
          <w:color w:val="auto"/>
        </w:rPr>
        <w:t>. Matthew McIlwain has served on our board of directors since June 2021 and served on the Legacy Nautilus board of directors from January 2021 through the closing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Process at Genuine Parts Company from January 1996 to May 2000, a consultant at McKinsey &amp; Company from August 1992 to December 1995, and in investment banking at Credit Suisse First Boston from July 1987 to July 1989. Mr. McIlwain currently serves as a director on the boards of directors of Smartsheet Inc. (NYSE: SMAR). Mr. McIlwain holds a B.A. in Government and Economics from Dartmouth College, an M.P.P. in Public Policy from Harvard University’s Kennedy School of Government, and an M.B.A. from Harvard Business School.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McIlwain is qualified to serve on our board of directors due to his extensive industry background and experience investing in the technology and life sciences industry.</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931" w:right="339" w:bottom="1440" w:gutter="0" w:footer="0" w:header="0"/>
        </w:sectPr>
      </w:pPr>
    </w:p>
    <w:bookmarkStart w:id="12" w:name="page13"/>
    <w:bookmarkEnd w:id="12"/>
    <w:p>
      <w:pPr>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Farzad Nazem</w:t>
      </w:r>
      <w:r>
        <w:rPr>
          <w:rFonts w:ascii="Times New Roman" w:cs="Times New Roman" w:eastAsia="Times New Roman" w:hAnsi="Times New Roman"/>
          <w:sz w:val="14"/>
          <w:szCs w:val="14"/>
          <w:color w:val="auto"/>
        </w:rPr>
        <w:t>. Farzad Nazem has served on our board of directors since June 2021 and served on the Legacy Nautilus board of directors from June 2017 through the closing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Mr. Nazem spent over 11 years at Yahoo! Inc., a web services provider, where he served as Chief Technology Officer, and over 10 years at Oracle Corporation, a database management company, where he spent time as Vice President of the Web and Media Server Division. Mr. Nazem holds a B.S. in Computer Science from California Polytechnic State University–San Luis Obispo.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Nazem is qualified to serve on our board of directors because of his technical expertise, extensive industry background and management experience.</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Sujal Patel</w:t>
      </w:r>
      <w:r>
        <w:rPr>
          <w:rFonts w:ascii="Times New Roman" w:cs="Times New Roman" w:eastAsia="Times New Roman" w:hAnsi="Times New Roman"/>
          <w:sz w:val="14"/>
          <w:szCs w:val="14"/>
          <w:color w:val="auto"/>
        </w:rPr>
        <w:t>. Sujal Patel has served as our Chief Executive Officer, President, Secretary and a member of our board of directors since June 2021. Mr. Patel co-founded Legacy Nautilus and served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holds a B.S. in Computer Science from the University of Maryland, College Park.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Patel is qualified to serve on our board of directors because of his deep knowledge of our business, and strategy, and his extensive executive leadership and operational experience.</w:t>
      </w:r>
    </w:p>
    <w:p>
      <w:pPr>
        <w:spacing w:after="0" w:line="17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4"/>
          <w:szCs w:val="14"/>
          <w:i w:val="1"/>
          <w:iCs w:val="1"/>
          <w:color w:val="auto"/>
        </w:rPr>
        <w:t>Vijay Pande</w:t>
      </w:r>
      <w:r>
        <w:rPr>
          <w:rFonts w:ascii="Times New Roman" w:cs="Times New Roman" w:eastAsia="Times New Roman" w:hAnsi="Times New Roman"/>
          <w:sz w:val="14"/>
          <w:szCs w:val="14"/>
          <w:color w:val="auto"/>
        </w:rPr>
        <w:t>. Vijay Pande has served on our board of directors since June 2021, and served on the Legacy Nautilus board of directors from May 2018 through the closing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Dr. Pande holds a B.S. in Physics from Princeton University and a Ph.D. in Physics from Massachusetts Institute of Technology.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Dr. Pande is qualified to serve on our board of directors because of his extensive industry experience and board experience with healthcare companies.</w:t>
      </w:r>
    </w:p>
    <w:p>
      <w:pPr>
        <w:spacing w:after="0" w:line="17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i w:val="1"/>
          <w:iCs w:val="1"/>
          <w:color w:val="auto"/>
        </w:rPr>
        <w:t>Michael Altman</w:t>
      </w:r>
      <w:r>
        <w:rPr>
          <w:rFonts w:ascii="Times New Roman" w:cs="Times New Roman" w:eastAsia="Times New Roman" w:hAnsi="Times New Roman"/>
          <w:sz w:val="14"/>
          <w:szCs w:val="14"/>
          <w:color w:val="auto"/>
        </w:rPr>
        <w:t>. Michael Altman, CFA, has served on our board of directors since June 2021 and served on the ARYA board of directors from inception until the closing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 of directors of Lyra Therapeutics (Nasdaq: LYRA), which is a portfolio company of Perceptive Advisors. Mr. Altman also serves as the Chief Financial Officer and on the board of directors of ARYA Sciences Acquisition Corp IV (Nasdaq: ARYD) and ARYA Sciences Acquisition Corp V (Nasdaq: ARYE). Mr. Altman graduated from the University of Vermont with a BS in Business Administration.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Altman is qualified to serve on our board of directors because of his broad operational and transactional experience.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common stock is listed on Nasdaq. As a company listed on Nasdaq, we are required under Nasdaq listing rules to maintain a board comprised of a majority of independent directors as determined affirmatively by our board.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nominating and governance committees be independent.</w:t>
      </w:r>
    </w:p>
    <w:p>
      <w:pPr>
        <w:spacing w:after="0" w:line="140"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Audit committee members must also satisfy the additional independence criteria set forth in Rule 10A-3 under the Securities Exchange Act of 1934, as amended, or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929" w:right="319" w:bottom="1440" w:gutter="0" w:footer="0" w:header="0"/>
        </w:sectPr>
      </w:pPr>
    </w:p>
    <w:bookmarkStart w:id="13" w:name="page14"/>
    <w:bookmarkEnd w:id="13"/>
    <w:p>
      <w:pPr>
        <w:ind w:right="20"/>
        <w:spacing w:after="0" w:line="261" w:lineRule="auto"/>
        <w:rPr>
          <w:sz w:val="20"/>
          <w:szCs w:val="20"/>
          <w:color w:val="auto"/>
        </w:rPr>
      </w:pPr>
      <w:r>
        <w:rPr>
          <w:rFonts w:ascii="Times New Roman" w:cs="Times New Roman" w:eastAsia="Times New Roman" w:hAnsi="Times New Roman"/>
          <w:sz w:val="14"/>
          <w:szCs w:val="14"/>
          <w:color w:val="auto"/>
        </w:rPr>
        <w:t>Our board of directors has undertaken a review of the independence of each of our directors. Based on information provided by each director concerning his or her background, employment and affiliations, our board of directors has determined that none of Mr. Pande, Mr. Altman, Mr. Nazem, Mr. McIlwain, Ms. Epperly, Mr. Posard and Ms. Akinsanya, representing seven of our nine directors, has a relationship that would interfere with the exercise of independent judgment in carrying out the responsibilities of a director and that each of these directors is an “independent director” as defined under the listing standards of Nasdaq. Sujal Patel is not considered an independent director because of his position as our Chief Executive Officer, President and Secretary. Parag Mallick is not considered an independent director because of his position as our Chief Scientist.</w:t>
      </w:r>
    </w:p>
    <w:p>
      <w:pPr>
        <w:spacing w:after="0" w:line="14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w:t>
      </w:r>
      <w:r>
        <w:rPr>
          <w:rFonts w:ascii="Times New Roman" w:cs="Times New Roman" w:eastAsia="Times New Roman" w:hAnsi="Times New Roman"/>
          <w:sz w:val="14"/>
          <w:szCs w:val="14"/>
          <w:i w:val="1"/>
          <w:iCs w:val="1"/>
          <w:color w:val="auto"/>
        </w:rPr>
        <w:t>Related Person Transactions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family relationships among any of our directors or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corporate governance framework provides our board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If the role of chairperson is filled by a director who does not qualify as an independent director, then our corporate governance guidelines provide that one of our independent directors may serve as our lead independent director.</w:t>
      </w:r>
    </w:p>
    <w:p>
      <w:pPr>
        <w:spacing w:after="0" w:line="1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Our board believes that it is currently appropriate to separate the roles of chairperson and chief executive officer. The chief executive officer is responsible for day-to-day leadership, while our chairperson, along with the rest of our independent directors, ensures that our board’s time and attention is focused on providing independent oversight of management and matters critical to our company. The board believes that Mr. Posard’s deep knowledge of the Company and industry, as well as strong leadership and governance experience, enable Mr. Posard to lead our board effectively and independently.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Board in Risk Oversight Process</w:t>
      </w:r>
    </w:p>
    <w:p>
      <w:pPr>
        <w:spacing w:after="0" w:line="18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as well as risks and exposures associated with cybersecurity, information security and privacy matters,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board of directors has established the following standing committees of the board: audit committee; compensation committee; and nominating and governance committee. The composition and responsibilities of each of the committees of our board of directors is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8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The current members of our audit committee are Ms. Epperly, Mr. McIlwain and Mr. Posard. Ms. Epperly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931" w:right="319" w:bottom="1440" w:gutter="0" w:footer="0" w:header="0"/>
        </w:sectPr>
      </w:pPr>
    </w:p>
    <w:bookmarkStart w:id="14" w:name="page15"/>
    <w:bookmarkEnd w:id="14"/>
    <w:p>
      <w:pPr>
        <w:ind w:right="100"/>
        <w:spacing w:after="0" w:line="287" w:lineRule="auto"/>
        <w:rPr>
          <w:sz w:val="20"/>
          <w:szCs w:val="20"/>
          <w:color w:val="auto"/>
        </w:rPr>
      </w:pPr>
      <w:r>
        <w:rPr>
          <w:rFonts w:ascii="Times New Roman" w:cs="Times New Roman" w:eastAsia="Times New Roman" w:hAnsi="Times New Roman"/>
          <w:sz w:val="14"/>
          <w:szCs w:val="14"/>
          <w:color w:val="auto"/>
        </w:rPr>
        <w:t>directors has determined that each of Ms. Epperly and Mr. McIlwain is an audit committee financial expert within the meaning of Item 407(d) of Regulation S-K. Our audit committee is responsible for, among other things:</w:t>
      </w:r>
    </w:p>
    <w:p>
      <w:pPr>
        <w:spacing w:after="0" w:line="82"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retaining, compensating, evaluating, overseeing and, where appropriate, terminating our independent registered public accounting firm;</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scope and plans for the audits and the audit fees and approving all non-audit and tax services to be performed by the independent auditor;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independence and qualifications of our independent registered public accounting firm;</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financial statements, and discussing with management and our independent registered public accounting firm the results of the annual audit and the quarterly reviews;</w:t>
      </w:r>
    </w:p>
    <w:p>
      <w:pPr>
        <w:spacing w:after="0" w:line="136" w:lineRule="exact"/>
        <w:rPr>
          <w:rFonts w:ascii="Times New Roman" w:cs="Times New Roman" w:eastAsia="Times New Roman" w:hAnsi="Times New Roman"/>
          <w:sz w:val="14"/>
          <w:szCs w:val="14"/>
          <w:color w:val="auto"/>
        </w:rPr>
      </w:pPr>
    </w:p>
    <w:p>
      <w:pPr>
        <w:ind w:left="520" w:right="58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our independent registered public accounting firm the quality and adequacy of our internal controls and our disclosure controls and procedures;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with management our procedures regarding the presentation of our financial information, and reviewing earnings press releases and guidance;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design, implementation and performance of our internal audit function, if any;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setting hiring policies with regard to the hiring of employees and former employees of our independent auditor and overseeing compliance with such policies;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monitoring related party transactions;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monitoring compliance with our code of business conduct and ethics, and reviewing conflicts of interest of our board members and officers;</w:t>
      </w:r>
    </w:p>
    <w:p>
      <w:pPr>
        <w:spacing w:after="0" w:line="136"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our independent auditor the adequacy and effectiveness of our legal, regulatory and ethical compliance programs; and</w:t>
      </w:r>
    </w:p>
    <w:p>
      <w:pPr>
        <w:spacing w:after="0" w:line="136"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and our independent auditor our guidelines and policies to identify, monitor and address enterprise risks, including major financial risk exposures and risks and exposures associated with cybersecurity, information security and privacy matters.</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audit committee operates under a written charter that satisfies the applicable rules and regulations of the SEC and the listing standards of Nasdaq. A copy of the charter of our audit committee is available on our website at https://investors.nautilus.bio/. During 2023, our audit committee held four meetings.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current members of our compensation committee are Mr. Posard, Mr. Altman and Mr. Nazem. Mr. Posard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98"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or making recommendations to our board of directors regarding the compensation for our executive officers, including our chief executive officer;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administering our employee benefit and equity incentive plans;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reviewing the compensation plans and programs of our employees, and ensuring that they are consistent with our general compensation strategy;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60"/>
          </w:cols>
          <w:pgMar w:left="300" w:top="931" w:right="339" w:bottom="1440" w:gutter="0" w:footer="0" w:header="0"/>
        </w:sectPr>
      </w:pPr>
    </w:p>
    <w:bookmarkStart w:id="15" w:name="page16"/>
    <w:bookmarkEnd w:id="15"/>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compliance with any stock ownership guidelines;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making recommendations to our board of directors regarding the creation or revision of any clawback policy;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recommendations to our board of directors regarding non-employee director compensation.</w:t>
      </w:r>
    </w:p>
    <w:p>
      <w:pPr>
        <w:spacing w:after="0" w:line="179"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Our compensation committee operates under a written charter that satisfies the applicable rules and regulations of the SEC and the listing standards of Nasdaq. A copy of the charter of our compensation committee is available on our website at https://investors.nautilus.bio/. During 2023, our compensation committee held four meetings.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Nominating and Governance Committee</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current members of our nominating and governance committee are Mr. McIlwain, Mr. Pande and Ms. Akinsanya. Mr. McIlwain is the chairperson of our nominating and governance committee. Our board of directors has determined that each member of our nominating and governance committee meets the requirements for independence for nominating and governance committee members under the listing standards of Nasdaq. Our nominating and governance committee is responsible for, among other things:</w:t>
      </w:r>
    </w:p>
    <w:p>
      <w:pPr>
        <w:spacing w:after="0" w:line="93"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assessing and making recommendations to our board of directors regarding desired qualifications, expertise and characteristics sought of board members;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selecting or making recommendations to our board of directors regarding nominees for election to our board of directors;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policies and procedures for considering stockholder nominees for election to our board of directors;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succession planning process for our chief executive officer and any other members of our executive management team;</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our board of directors regarding the composition, organization and governance of our board of directors and its committees;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our board of directors regarding our corporate governance guidelines and corporate governance framework;</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director orientation for new directors and continuing education for our directors;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evaluation of the performance of our board of directors and its committees;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policies and procedures for communications with the non-management members of our board of directors.</w:t>
      </w:r>
    </w:p>
    <w:p>
      <w:pPr>
        <w:spacing w:after="0" w:line="179"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Our nominating and governance committee operates under a written charter that satisfies the applicable listing standards of Nasdaq. A copy of the charter of our nominating and governance committee is available on our website at https://investors.nautilus.bio/. During 2023, our nominating and governance committee held four meetings.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Board’s Role in Cybersecurity Oversight</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w:t>
      </w:r>
    </w:p>
    <w:p>
      <w:pPr>
        <w:spacing w:after="0" w:line="1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Head of IT and our management committee on cybersecurity oversee our cybersecurity policies and processes. The processes by which our Head of IT and representatives from our management committee on cybersecurity are informed about and monitor the prevention, detection, mitigation, and remediation of cybersecurity incidents includes the following:</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00"/>
          </w:cols>
          <w:pgMar w:left="300" w:top="761" w:right="399" w:bottom="1440" w:gutter="0" w:footer="0" w:header="0"/>
        </w:sectPr>
      </w:pPr>
    </w:p>
    <w:bookmarkStart w:id="16" w:name="page17"/>
    <w:bookmarkEnd w:id="16"/>
    <w:p>
      <w:pPr>
        <w:ind w:left="520" w:right="28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of Company computer and information systems for potential malware, ransomware and other malicious activity, and remediation of identified issues, including mitigation of identified risks and containment and elimination of any malicious software;</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cybersecurity training as part of new employee onboarding along with required annual employee cybersecurity re-training;</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automated monitoring of systems and network infrastructure through event log analysis by security information and event management application;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 incident reporting directly to the Company’s CFO and General Counsel;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escalation to the Company’s audit committee and board of directors as warranted based upon the nature of the identified issue.</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Head of IT and/or representatives from our management committee on cybersecurity provide periodic briefings to the audit committee regarding our company’s cybersecurity risks and activities, including any recent cybersecurity incidents and related responses, cybersecurity systems testing, activities of third parties, and the like. Our audit committee provides regular updates to the board of directors on such reports.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cybersecurity risk management and governance, please refer to our Annual Report on Form 10-K for the fiscal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Diversity</w:t>
      </w:r>
    </w:p>
    <w:p>
      <w:pPr>
        <w:spacing w:after="0" w:line="19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Our nominating and governance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Each of the categories listed in the below table has the meaning as it is used in Nasdaq Rule 5605(f). As shown below in the board diversity matrix, the Company is currently in compliance with the diversity requirements of Nasdaq Rule 5605(f).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40"/>
          </w:cols>
          <w:pgMar w:left="300" w:top="952"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Board Diversity Matrix (as of 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68515" cy="2135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213550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u w:val="single" w:color="auto"/>
          <w:color w:val="auto"/>
        </w:rPr>
        <w:t>Board Size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0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2260" w:type="dxa"/>
            <w:vAlign w:val="bottom"/>
            <w:tcBorders>
              <w:top w:val="single" w:sz="8" w:color="auto"/>
              <w:bottom w:val="single" w:sz="8" w:color="auto"/>
              <w:right w:val="single" w:sz="8" w:color="CCEEFF"/>
            </w:tcBorders>
            <w:shd w:val="clear" w:color="auto" w:fill="CCEEFF"/>
          </w:tcPr>
          <w:p>
            <w:pPr>
              <w:spacing w:after="0"/>
              <w:rPr>
                <w:sz w:val="17"/>
                <w:szCs w:val="17"/>
                <w:color w:val="auto"/>
              </w:rPr>
            </w:pPr>
          </w:p>
        </w:tc>
        <w:tc>
          <w:tcPr>
            <w:tcW w:w="1760" w:type="dxa"/>
            <w:vAlign w:val="bottom"/>
            <w:tcBorders>
              <w:top w:val="single" w:sz="8" w:color="auto"/>
              <w:bottom w:val="single" w:sz="8" w:color="auto"/>
            </w:tcBorders>
            <w:shd w:val="clear" w:color="auto" w:fill="CCEEFF"/>
          </w:tcPr>
          <w:p>
            <w:pPr>
              <w:spacing w:after="0"/>
              <w:rPr>
                <w:sz w:val="17"/>
                <w:szCs w:val="17"/>
                <w:color w:val="auto"/>
              </w:rPr>
            </w:pPr>
          </w:p>
        </w:tc>
        <w:tc>
          <w:tcPr>
            <w:tcW w:w="2740" w:type="dxa"/>
            <w:vAlign w:val="bottom"/>
            <w:tcBorders>
              <w:top w:val="single" w:sz="8" w:color="auto"/>
              <w:bottom w:val="single" w:sz="8" w:color="auto"/>
              <w:right w:val="single" w:sz="8" w:color="CCEEFF"/>
            </w:tcBorders>
            <w:gridSpan w:val="2"/>
            <w:shd w:val="clear" w:color="auto" w:fill="CCEEFF"/>
          </w:tcPr>
          <w:p>
            <w:pPr>
              <w:jc w:val="right"/>
              <w:ind w:right="2169"/>
              <w:spacing w:after="0"/>
              <w:rPr>
                <w:sz w:val="20"/>
                <w:szCs w:val="20"/>
                <w:color w:val="auto"/>
              </w:rPr>
            </w:pPr>
            <w:r>
              <w:rPr>
                <w:rFonts w:ascii="Times New Roman" w:cs="Times New Roman" w:eastAsia="Times New Roman" w:hAnsi="Times New Roman"/>
                <w:sz w:val="14"/>
                <w:szCs w:val="14"/>
                <w:color w:val="auto"/>
              </w:rPr>
              <w:t>9</w:t>
            </w:r>
          </w:p>
        </w:tc>
        <w:tc>
          <w:tcPr>
            <w:tcW w:w="22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r>
      <w:tr>
        <w:trPr>
          <w:trHeight w:val="228"/>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176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4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2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c>
          <w:tcPr>
            <w:tcW w:w="20" w:type="dxa"/>
            <w:vAlign w:val="bottom"/>
            <w:tcBorders>
              <w:bottom w:val="single" w:sz="8" w:color="auto"/>
            </w:tcBorders>
          </w:tcPr>
          <w:p>
            <w:pPr>
              <w:spacing w:after="0"/>
              <w:rPr>
                <w:sz w:val="19"/>
                <w:szCs w:val="19"/>
                <w:color w:val="auto"/>
              </w:rPr>
            </w:pPr>
          </w:p>
        </w:tc>
      </w:tr>
      <w:tr>
        <w:trPr>
          <w:trHeight w:val="151"/>
        </w:trPr>
        <w:tc>
          <w:tcPr>
            <w:tcW w:w="2300" w:type="dxa"/>
            <w:vAlign w:val="bottom"/>
            <w:tcBorders>
              <w:right w:val="single" w:sz="8" w:color="auto"/>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color w:val="auto"/>
              </w:rPr>
              <w:t>Number of directors based on gender</w:t>
            </w:r>
          </w:p>
        </w:tc>
        <w:tc>
          <w:tcPr>
            <w:tcW w:w="2260" w:type="dxa"/>
            <w:vAlign w:val="bottom"/>
            <w:tcBorders>
              <w:right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color w:val="auto"/>
              </w:rPr>
              <w:t>7</w:t>
            </w:r>
          </w:p>
        </w:tc>
        <w:tc>
          <w:tcPr>
            <w:tcW w:w="1760" w:type="dxa"/>
            <w:vAlign w:val="bottom"/>
            <w:shd w:val="clear" w:color="auto" w:fill="CCEEFF"/>
          </w:tcPr>
          <w:p>
            <w:pPr>
              <w:jc w:val="center"/>
              <w:ind w:left="389"/>
              <w:spacing w:after="0" w:line="151" w:lineRule="exact"/>
              <w:rPr>
                <w:sz w:val="20"/>
                <w:szCs w:val="20"/>
                <w:color w:val="auto"/>
              </w:rPr>
            </w:pPr>
            <w:r>
              <w:rPr>
                <w:rFonts w:ascii="Times New Roman" w:cs="Times New Roman" w:eastAsia="Times New Roman" w:hAnsi="Times New Roman"/>
                <w:sz w:val="14"/>
                <w:szCs w:val="14"/>
                <w:color w:val="auto"/>
                <w:w w:val="85"/>
              </w:rPr>
              <w:t>2</w:t>
            </w:r>
          </w:p>
        </w:tc>
        <w:tc>
          <w:tcPr>
            <w:tcW w:w="480" w:type="dxa"/>
            <w:vAlign w:val="bottom"/>
            <w:tcBorders>
              <w:right w:val="single" w:sz="8" w:color="auto"/>
            </w:tcBorders>
            <w:shd w:val="clear" w:color="auto" w:fill="CCEEFF"/>
          </w:tcPr>
          <w:p>
            <w:pPr>
              <w:spacing w:after="0"/>
              <w:rPr>
                <w:sz w:val="13"/>
                <w:szCs w:val="13"/>
                <w:color w:val="auto"/>
              </w:rPr>
            </w:pPr>
          </w:p>
        </w:tc>
        <w:tc>
          <w:tcPr>
            <w:tcW w:w="2260" w:type="dxa"/>
            <w:vAlign w:val="bottom"/>
            <w:tcBorders>
              <w:right w:val="single" w:sz="8" w:color="auto"/>
            </w:tcBorders>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6"/>
        </w:trPr>
        <w:tc>
          <w:tcPr>
            <w:tcW w:w="23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identity</w:t>
            </w:r>
          </w:p>
        </w:tc>
        <w:tc>
          <w:tcPr>
            <w:tcW w:w="2260" w:type="dxa"/>
            <w:vAlign w:val="bottom"/>
            <w:tcBorders>
              <w:bottom w:val="single" w:sz="8" w:color="CCEEFF"/>
              <w:right w:val="single" w:sz="8" w:color="auto"/>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right w:val="single" w:sz="8" w:color="auto"/>
            </w:tcBorders>
            <w:shd w:val="clear" w:color="auto" w:fill="CCEEFF"/>
          </w:tcPr>
          <w:p>
            <w:pPr>
              <w:spacing w:after="0"/>
              <w:rPr>
                <w:sz w:val="17"/>
                <w:szCs w:val="17"/>
                <w:color w:val="auto"/>
              </w:rPr>
            </w:pPr>
          </w:p>
        </w:tc>
        <w:tc>
          <w:tcPr>
            <w:tcW w:w="2260" w:type="dxa"/>
            <w:vAlign w:val="bottom"/>
            <w:tcBorders>
              <w:bottom w:val="single" w:sz="8" w:color="CCEEFF"/>
              <w:right w:val="single" w:sz="8" w:color="auto"/>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2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22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2260" w:type="dxa"/>
            <w:vAlign w:val="bottom"/>
            <w:tcBorders>
              <w:top w:val="single" w:sz="8" w:color="auto"/>
              <w:bottom w:val="single" w:sz="8" w:color="auto"/>
            </w:tcBorders>
          </w:tcPr>
          <w:p>
            <w:pPr>
              <w:spacing w:after="0"/>
              <w:rPr>
                <w:sz w:val="16"/>
                <w:szCs w:val="16"/>
                <w:color w:val="auto"/>
              </w:rPr>
            </w:pPr>
          </w:p>
        </w:tc>
        <w:tc>
          <w:tcPr>
            <w:tcW w:w="22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r>
      <w:tr>
        <w:trPr>
          <w:trHeight w:val="191"/>
        </w:trPr>
        <w:tc>
          <w:tcPr>
            <w:tcW w:w="2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spacing w:after="0"/>
              <w:rPr>
                <w:sz w:val="16"/>
                <w:szCs w:val="16"/>
                <w:color w:val="auto"/>
              </w:rPr>
            </w:pP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22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Asian</w:t>
            </w:r>
          </w:p>
        </w:tc>
        <w:tc>
          <w:tcPr>
            <w:tcW w:w="2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spacing w:after="0"/>
              <w:rPr>
                <w:sz w:val="16"/>
                <w:szCs w:val="16"/>
                <w:color w:val="auto"/>
              </w:rPr>
            </w:pP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Hispanic or Latinx</w:t>
            </w:r>
          </w:p>
        </w:tc>
        <w:tc>
          <w:tcPr>
            <w:tcW w:w="22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right w:val="single" w:sz="8" w:color="auto"/>
            </w:tcBorders>
            <w:shd w:val="clear" w:color="auto" w:fill="CCEEFF"/>
          </w:tcPr>
          <w:p>
            <w:pPr>
              <w:spacing w:after="0"/>
              <w:rPr>
                <w:sz w:val="16"/>
                <w:szCs w:val="16"/>
                <w:color w:val="auto"/>
              </w:rPr>
            </w:pP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White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760" w:type="dxa"/>
            <w:vAlign w:val="bottom"/>
            <w:tcBorders>
              <w:bottom w:val="single" w:sz="8" w:color="auto"/>
            </w:tcBorders>
          </w:tcPr>
          <w:p>
            <w:pPr>
              <w:jc w:val="center"/>
              <w:ind w:left="389"/>
              <w:spacing w:after="0"/>
              <w:rPr>
                <w:sz w:val="20"/>
                <w:szCs w:val="20"/>
                <w:color w:val="auto"/>
              </w:rPr>
            </w:pPr>
            <w:r>
              <w:rPr>
                <w:rFonts w:ascii="Times New Roman" w:cs="Times New Roman" w:eastAsia="Times New Roman" w:hAnsi="Times New Roman"/>
                <w:sz w:val="14"/>
                <w:szCs w:val="14"/>
                <w:color w:val="auto"/>
                <w:w w:val="85"/>
              </w:rPr>
              <w:t>1</w:t>
            </w:r>
          </w:p>
        </w:tc>
        <w:tc>
          <w:tcPr>
            <w:tcW w:w="48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center"/>
              <w:ind w:left="389"/>
              <w:spacing w:after="0"/>
              <w:rPr>
                <w:sz w:val="20"/>
                <w:szCs w:val="20"/>
                <w:color w:val="auto"/>
              </w:rPr>
            </w:pPr>
            <w:r>
              <w:rPr>
                <w:rFonts w:ascii="Times New Roman" w:cs="Times New Roman" w:eastAsia="Times New Roman" w:hAnsi="Times New Roman"/>
                <w:sz w:val="14"/>
                <w:szCs w:val="14"/>
                <w:color w:val="auto"/>
                <w:w w:val="85"/>
              </w:rPr>
              <w:t>1</w:t>
            </w:r>
          </w:p>
        </w:tc>
        <w:tc>
          <w:tcPr>
            <w:tcW w:w="480" w:type="dxa"/>
            <w:vAlign w:val="bottom"/>
            <w:tcBorders>
              <w:bottom w:val="single" w:sz="8" w:color="auto"/>
              <w:right w:val="single" w:sz="8" w:color="auto"/>
            </w:tcBorders>
            <w:shd w:val="clear" w:color="auto" w:fill="CCEEFF"/>
          </w:tcPr>
          <w:p>
            <w:pPr>
              <w:spacing w:after="0"/>
              <w:rPr>
                <w:sz w:val="16"/>
                <w:szCs w:val="16"/>
                <w:color w:val="auto"/>
              </w:rPr>
            </w:pPr>
          </w:p>
        </w:tc>
        <w:tc>
          <w:tcPr>
            <w:tcW w:w="2260" w:type="dxa"/>
            <w:vAlign w:val="bottom"/>
            <w:tcBorders>
              <w:bottom w:val="single" w:sz="8" w:color="auto"/>
              <w:right w:val="single" w:sz="8" w:color="auto"/>
            </w:tcBorders>
            <w:shd w:val="clear" w:color="auto" w:fill="CCEEFF"/>
          </w:tcPr>
          <w:p>
            <w:pPr>
              <w:spacing w:after="0"/>
              <w:rPr>
                <w:sz w:val="16"/>
                <w:szCs w:val="16"/>
                <w:color w:val="auto"/>
              </w:rPr>
            </w:pPr>
          </w:p>
        </w:tc>
        <w:tc>
          <w:tcPr>
            <w:tcW w:w="22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2"/>
        </w:trPr>
        <w:tc>
          <w:tcPr>
            <w:tcW w:w="2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LGBTQ+</w:t>
            </w:r>
          </w:p>
        </w:tc>
        <w:tc>
          <w:tcPr>
            <w:tcW w:w="22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54"/>
        </w:trPr>
        <w:tc>
          <w:tcPr>
            <w:tcW w:w="2300" w:type="dxa"/>
            <w:vAlign w:val="bottom"/>
            <w:tcBorders>
              <w:right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Did Not Disclose Demographic</w:t>
            </w:r>
          </w:p>
        </w:tc>
        <w:tc>
          <w:tcPr>
            <w:tcW w:w="2260" w:type="dxa"/>
            <w:vAlign w:val="bottom"/>
            <w:tcBorders>
              <w:right w:val="single" w:sz="8" w:color="auto"/>
            </w:tcBorders>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480" w:type="dxa"/>
            <w:vAlign w:val="bottom"/>
            <w:tcBorders>
              <w:right w:val="single" w:sz="8" w:color="auto"/>
            </w:tcBorders>
            <w:shd w:val="clear" w:color="auto" w:fill="CCEEFF"/>
          </w:tcPr>
          <w:p>
            <w:pPr>
              <w:spacing w:after="0"/>
              <w:rPr>
                <w:sz w:val="13"/>
                <w:szCs w:val="13"/>
                <w:color w:val="auto"/>
              </w:rPr>
            </w:pPr>
          </w:p>
        </w:tc>
        <w:tc>
          <w:tcPr>
            <w:tcW w:w="2260" w:type="dxa"/>
            <w:vAlign w:val="bottom"/>
            <w:tcBorders>
              <w:right w:val="single" w:sz="8" w:color="auto"/>
            </w:tcBorders>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23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Background</w:t>
            </w:r>
          </w:p>
        </w:tc>
        <w:tc>
          <w:tcPr>
            <w:tcW w:w="2260" w:type="dxa"/>
            <w:vAlign w:val="bottom"/>
            <w:tcBorders>
              <w:bottom w:val="single" w:sz="8" w:color="CCEEFF"/>
              <w:right w:val="single" w:sz="8" w:color="auto"/>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auto"/>
            </w:tcBorders>
            <w:shd w:val="clear" w:color="auto" w:fill="CCEEFF"/>
          </w:tcPr>
          <w:p>
            <w:pPr>
              <w:spacing w:after="0"/>
              <w:rPr>
                <w:sz w:val="16"/>
                <w:szCs w:val="16"/>
                <w:color w:val="auto"/>
              </w:rPr>
            </w:pPr>
          </w:p>
        </w:tc>
        <w:tc>
          <w:tcPr>
            <w:tcW w:w="2260" w:type="dxa"/>
            <w:vAlign w:val="bottom"/>
            <w:tcBorders>
              <w:bottom w:val="single" w:sz="8" w:color="CCEEFF"/>
              <w:right w:val="single" w:sz="8" w:color="auto"/>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30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6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Attendance at Board and Stockholder Meetings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our fiscal year ended December 31, 2023, our board of directors held four meetings (including regularly scheduled and special meetings), and each director attended at least 75% of the aggregate of (1) the total number of meetings of the board of directors held during the period for which he or she was a director and (2) the total number of meetings held by all committees on which he or she served during the periods that he or she served as a director.</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Although we do not have a formal policy regarding attendance by members of our board of directors at the annual meetings of stockholders, we encourage, but do not require, directors to attend. Six members of our board of directors attended our 2023 annual meeting of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Sessions of Non-Employee Directors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During 2023, the members of our compensation committee were Mr. Posard, Mr. Altman and Mr. Nazem. 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0"/>
          </w:cols>
          <w:pgMar w:left="300" w:top="74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Considerations in Evaluating Director Nominees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Our nominating and governance committee uses a variety of methods for identifying and evaluating potential director nominees. In its evaluation of director candidates, including the current directors eligible for re-election, our nominating and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governance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nominating and governance committee considers a broad range of perspectives, backgrounds and experiences.</w:t>
      </w:r>
    </w:p>
    <w:p>
      <w:pPr>
        <w:spacing w:after="0" w:line="1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If our nominating and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36"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4"/>
          <w:szCs w:val="14"/>
          <w:color w:val="auto"/>
        </w:rPr>
        <w:t>After completing its review and evaluation of director candidates, our nominating and governance committee recommends to our full board of directors the director nominees for selection. Our nominating and governance committee has discretion to decide which individuals to recommend for nomination as directors and our board of directors has the final authority in determining the selection of director candidates for nomination to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Recommendations and Nominations to our Board of Directors</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Our nominating and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governance committee will evaluate such recommendations in accordance with its charter, our bylaws and corporate governance guidelines and the director nominee criteria described above.</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 stockholder that wants to recommend a candidate to our board of directors should direct the recommendation in writing by letter to our corporate secretary at Nautilus Biotechnology, Inc., 2701 Eastlake Avenue East, Seattle, Washington 98102,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governance committee has discretion to decide which individuals to recommend for nomination as directors.</w:t>
      </w:r>
    </w:p>
    <w:p>
      <w:pPr>
        <w:spacing w:after="0" w:line="14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Under our amended and restated bylaws, stockholders may also directly nominate persons for our board of directors. Any nomination must comply with the requirements set forth in our amended and restated bylaws and the rules and regulations of the SEC, including but not limited to Rule 14a-8 and Rule 14a-19 under the Exchange Act, and should be sent in writing to our corporate secretary at the address above. To be timely for our 2025 annual meeting of stockholders, nominations must be received by our corporate secretary observing the deadlines discussed below under “</w:t>
      </w:r>
      <w:r>
        <w:rPr>
          <w:rFonts w:ascii="Times New Roman" w:cs="Times New Roman" w:eastAsia="Times New Roman" w:hAnsi="Times New Roman"/>
          <w:sz w:val="14"/>
          <w:szCs w:val="14"/>
          <w:i w:val="1"/>
          <w:iCs w:val="1"/>
          <w:color w:val="auto"/>
        </w:rPr>
        <w:t>Other Matters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—Stockholder Proposals or Director Nominations for 2025 Annual Meeting</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Communications with the Board of Directors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Stockholders and other interested parties wishing to communicate directly with our non-management directors, may do so by writing and sending the correspondence to our Chief Financial Officer or General Counsel by mail to our principal executive offices at Nautilus Biotechnology, Inc., 2701 Eastlake Avenue East, Seattle, Washington 98102. Our Chief Financial Officer or General Counsel, in consultation with appropriate directors as necessary, will review all incoming communications and screen for communications that (1) are solicitations for products and services, (2) relate to matters of a</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929" w:right="319" w:bottom="1440" w:gutter="0" w:footer="0" w:header="0"/>
        </w:sectPr>
      </w:pPr>
    </w:p>
    <w:bookmarkStart w:id="19" w:name="page20"/>
    <w:bookmarkEnd w:id="19"/>
    <w:p>
      <w:pPr>
        <w:ind w:right="20"/>
        <w:spacing w:after="0" w:line="264" w:lineRule="auto"/>
        <w:rPr>
          <w:sz w:val="20"/>
          <w:szCs w:val="20"/>
          <w:color w:val="auto"/>
        </w:rPr>
      </w:pPr>
      <w:r>
        <w:rPr>
          <w:rFonts w:ascii="Times New Roman" w:cs="Times New Roman" w:eastAsia="Times New Roman" w:hAnsi="Times New Roman"/>
          <w:sz w:val="14"/>
          <w:szCs w:val="14"/>
          <w:color w:val="auto"/>
        </w:rPr>
        <w:t>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Chief Financial Officer or General Counsel will route such communications to the appropriate director(s) or, if none is specified, then to the chairperson of the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Prohibiting Hedging or Pledging of Securities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Guidelines and Code of Business Conduct and Ethics</w:t>
      </w:r>
    </w:p>
    <w:p>
      <w:pPr>
        <w:spacing w:after="0" w:line="1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http://investors.nautilus.bio/. We will post amendments to our code of business conduct and ethics or any waivers of our code of business conduct and ethics for directors and executive officers on the same website.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 Policy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board of directors reviews director compensation periodically to ensure that director compensation remains competitive such that we are able to recruit and retain qualified directors.</w:t>
      </w:r>
    </w:p>
    <w:p>
      <w:pPr>
        <w:spacing w:after="0" w:line="200"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originally became effective in connection with the closing of the Business Combination in June 2021, and was subsequently amended, effective as of February 15, 2023, to set upper limits on the number of shares of common stock subject to each Initial Award and Annual Award (as described below) granted under the policy.</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Cash Compensation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Outside Director Compensation Policy provides for the following cash compensation program for our non-employee directors:</w:t>
      </w:r>
    </w:p>
    <w:p>
      <w:pPr>
        <w:spacing w:after="0" w:line="179"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 per year for service as a non-employee director;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 per year for service as non-employee chair of our board of directors;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per year for service as chair of our audit committee;</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00" w:top="931" w:right="359" w:bottom="1440" w:gutter="0" w:footer="0" w:header="0"/>
        </w:sectPr>
      </w:pPr>
    </w:p>
    <w:bookmarkStart w:id="20" w:name="page21"/>
    <w:bookmarkEnd w:id="20"/>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per year for service as a member of our audit committee;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$14,000 per year for service as chair of our compensation committee;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$7,000 per year for service as a member of our compensation committee;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per year for service as chair of our nominating and governance committee;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 per year for service as a member of our nominating and governance committee.</w:t>
      </w:r>
    </w:p>
    <w:p>
      <w:pPr>
        <w:spacing w:after="0" w:line="179" w:lineRule="exact"/>
        <w:rPr>
          <w:sz w:val="20"/>
          <w:szCs w:val="20"/>
          <w:color w:val="auto"/>
        </w:rPr>
      </w:pPr>
    </w:p>
    <w:p>
      <w:pPr>
        <w:jc w:val="both"/>
        <w:ind w:right="40" w:firstLine="255"/>
        <w:spacing w:after="0" w:line="261" w:lineRule="auto"/>
        <w:rPr>
          <w:sz w:val="20"/>
          <w:szCs w:val="20"/>
          <w:color w:val="auto"/>
        </w:rPr>
      </w:pPr>
      <w:r>
        <w:rPr>
          <w:rFonts w:ascii="Times New Roman" w:cs="Times New Roman" w:eastAsia="Times New Roman" w:hAnsi="Times New Roman"/>
          <w:sz w:val="14"/>
          <w:szCs w:val="14"/>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179"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Initial Award</w:t>
      </w:r>
      <w:r>
        <w:rPr>
          <w:rFonts w:ascii="Times New Roman" w:cs="Times New Roman" w:eastAsia="Times New Roman" w:hAnsi="Times New Roman"/>
          <w:sz w:val="14"/>
          <w:szCs w:val="14"/>
          <w:color w:val="auto"/>
        </w:rPr>
        <w:t>. Pursuant to our Outside Director Compensation Policy, each person who first becomes a non-employee director after the effective date of such policy will receive, on the first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trading day on or after the date that the person first becomes a non-employee director, an initial award of stock options to purchase shares of our common stock (the “Initial Award”). The Initial Award will cover a number of shares of common stock equal to the lesser of (a) such number of shares of common stock that results in the Initial Award having an aggregate grant date fair value (determined in accordance with U.S. GAAP) of $370,000 (but with any resulting fractional share rounded down to the nearest whole share), or (b) 90,000 shares of common stock. Prior to the amendment of the Outside Director Compensation Policy in February 2023, each Initial Award covered a number of shares of common stock that resulted in the Initial Award having an aggregate grant date fair value (determined in accordance with U.S. GAAP) of $370,000. Each Initial Award will be scheduled to vest in equal installments as to 1/36th of the shares of our common stock subject to the Initial Award on a monthly basis following the Initial Award’s grant date, on the same day of the month as the grant date, subject to continued service to us through the applicable vesting dates. If the person was a member of our board of directors and also an employee, then becoming a non-employee director due to termination of employment will not entitle the person to an Initial Award.</w:t>
      </w:r>
    </w:p>
    <w:p>
      <w:pPr>
        <w:spacing w:after="0" w:line="146"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Annual Award</w:t>
      </w:r>
      <w:r>
        <w:rPr>
          <w:rFonts w:ascii="Times New Roman" w:cs="Times New Roman" w:eastAsia="Times New Roman" w:hAnsi="Times New Roman"/>
          <w:sz w:val="14"/>
          <w:szCs w:val="14"/>
          <w:color w:val="auto"/>
        </w:rPr>
        <w:t>. Each non-employee director automatically will receive, on the first trading day immediately after the date of each annual meeting of our stockholders (an “Annual Meeting”)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occurs following the effective date of our Outside Director Compensation Policy, an annual award of stock options to purchase shares of our common stock (the “Annual Award”). Each Annual Award will cover a number of shares of common stock equal to the lesser of (a) such number of shares of common stock that results in the Annual Award having an aggregate grant date fair value (determined in accordance with U.S. GAAP) of $185,000 (but with any resulting fractional share rounded down to the nearest whole share), or (b) 45,000 shares of our common stock, except if an individual began service as a non-employee director after the date of the Annual Meeting that occurred immediately prior to such Annual Meeting, then the Annual Award granted to such non-employee director will cover a number of shares of common stock determined in the manner previously described, but prorated based on the number of whole months that the individual served as a non-employee director prior to the Annual Award’s grant date during the 12 month period immediately preceding such Annual Meeting. Prior to the amendment of the Outside Director Compensation Policy in February 2023, each Annual Award covered a number of shares of common stock that resulted in the Annual Award having an aggregate grant date fair value (determined in accordance with U.S. GAAP) of $185,000, subject to the same proration as set forth above for any director that began service as a non-employee director after the date of the preceding Annual Meeting (or the Business Combination in the case of the first Annual Meeting thereafter). Each Annual Award will be scheduled to vest as to 1/12th of the shares of our common stock subject to such award on a monthly basis following the Annual Award’s grant date, on the same day of the month as the grant date, subject to continued service to us through the applicable vesting dates.</w:t>
      </w:r>
    </w:p>
    <w:p>
      <w:pPr>
        <w:spacing w:after="0" w:line="148" w:lineRule="exact"/>
        <w:rPr>
          <w:sz w:val="20"/>
          <w:szCs w:val="20"/>
          <w:color w:val="auto"/>
        </w:rPr>
      </w:pPr>
    </w:p>
    <w:p>
      <w:pPr>
        <w:ind w:right="3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Change in Control</w:t>
      </w:r>
      <w:r>
        <w:rPr>
          <w:rFonts w:ascii="Times New Roman" w:cs="Times New Roman" w:eastAsia="Times New Roman" w:hAnsi="Times New Roman"/>
          <w:sz w:val="14"/>
          <w:szCs w:val="14"/>
          <w:color w:val="auto"/>
        </w:rPr>
        <w:t>. In the event of our change in control, as defined in the 2021 Equity Incentive Plan (“2021 Plan”), each non-employee director’s then outstanding equity awards covering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our common stock that were granted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93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him or her while a non-employee director will accelerate vesting in full, provided that he or she remains a non-employee director through the date of such change in control.</w:t>
      </w:r>
    </w:p>
    <w:p>
      <w:pPr>
        <w:spacing w:after="0" w:line="177"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Other Award Terms</w:t>
      </w:r>
      <w:r>
        <w:rPr>
          <w:rFonts w:ascii="Times New Roman" w:cs="Times New Roman" w:eastAsia="Times New Roman" w:hAnsi="Times New Roman"/>
          <w:sz w:val="14"/>
          <w:szCs w:val="14"/>
          <w:color w:val="auto"/>
        </w:rPr>
        <w:t>. Each Initial Award and Annual Award will be granted under the 2021 Plan (or its successor plan, as applicable) and form of award agreement under such plan. These awards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have a maximum term to expiration of ten years from their grant and a per share exercise price equal to 100% of the fair market value of a share of our common stock on the award’s grant date.</w:t>
      </w:r>
    </w:p>
    <w:p>
      <w:pPr>
        <w:spacing w:after="0" w:line="120"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Director Compensation Limits</w:t>
      </w:r>
      <w:r>
        <w:rPr>
          <w:rFonts w:ascii="Times New Roman" w:cs="Times New Roman" w:eastAsia="Times New Roman" w:hAnsi="Times New Roman"/>
          <w:sz w:val="14"/>
          <w:szCs w:val="14"/>
          <w:color w:val="auto"/>
        </w:rPr>
        <w:t>. Our Outside Director Compensation Policy and the 2021 Plan provide that in any fiscal year, a non-employee director may be paid cash compensation and granted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 for Fiscal Year 2023</w:t>
      </w:r>
    </w:p>
    <w:p>
      <w:pPr>
        <w:spacing w:after="0" w:line="181"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following table sets forth information regarding the compensation earned for service on our board of directors during the year ended December 31, 2023 by non-employee directors. Neither Mr. Patel nor Dr. Mallick received any additional compensation for their service as a director in 2023. Mr. Patel and Dr. Mallick’s compensation as a named executive officer is set forth below under “— Summary Compensation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48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2"/>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paid in cash ($)</w:t>
            </w: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72"/>
              <w:spacing w:after="0" w:line="201"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3"/>
        </w:trPr>
        <w:tc>
          <w:tcPr>
            <w:tcW w:w="666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Karen Akinsanya</w:t>
            </w:r>
            <w:r>
              <w:rPr>
                <w:rFonts w:ascii="Times New Roman" w:cs="Times New Roman" w:eastAsia="Times New Roman" w:hAnsi="Times New Roman"/>
                <w:sz w:val="18"/>
                <w:szCs w:val="18"/>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187,976</w:t>
            </w:r>
          </w:p>
        </w:tc>
      </w:tr>
      <w:tr>
        <w:trPr>
          <w:trHeight w:val="21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Altman</w:t>
            </w:r>
            <w:r>
              <w:rPr>
                <w:rFonts w:ascii="Times New Roman" w:cs="Times New Roman" w:eastAsia="Times New Roman" w:hAnsi="Times New Roman"/>
                <w:sz w:val="18"/>
                <w:szCs w:val="18"/>
                <w:color w:val="auto"/>
                <w:vertAlign w:val="superscript"/>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189,976</w:t>
            </w: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Melissa Epperly</w:t>
            </w:r>
            <w:r>
              <w:rPr>
                <w:rFonts w:ascii="Times New Roman" w:cs="Times New Roman" w:eastAsia="Times New Roman" w:hAnsi="Times New Roman"/>
                <w:sz w:val="18"/>
                <w:szCs w:val="18"/>
                <w:color w:val="auto"/>
                <w:vertAlign w:val="superscript"/>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202,976</w:t>
            </w:r>
          </w:p>
        </w:tc>
      </w:tr>
      <w:tr>
        <w:trPr>
          <w:trHeight w:val="21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McIlwain</w:t>
            </w:r>
            <w:r>
              <w:rPr>
                <w:rFonts w:ascii="Times New Roman" w:cs="Times New Roman" w:eastAsia="Times New Roman" w:hAnsi="Times New Roman"/>
                <w:sz w:val="18"/>
                <w:szCs w:val="18"/>
                <w:color w:val="auto"/>
                <w:vertAlign w:val="superscript"/>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202,976</w:t>
            </w: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Farzad Nazem</w:t>
            </w:r>
            <w:r>
              <w:rPr>
                <w:rFonts w:ascii="Times New Roman" w:cs="Times New Roman" w:eastAsia="Times New Roman" w:hAnsi="Times New Roman"/>
                <w:sz w:val="18"/>
                <w:szCs w:val="18"/>
                <w:color w:val="auto"/>
                <w:vertAlign w:val="superscript"/>
              </w:rPr>
              <w:t>(6)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189,976</w:t>
            </w:r>
          </w:p>
        </w:tc>
      </w:tr>
      <w:tr>
        <w:trPr>
          <w:trHeight w:val="212"/>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Vijay Pande</w:t>
            </w:r>
            <w:r>
              <w:rPr>
                <w:rFonts w:ascii="Times New Roman" w:cs="Times New Roman" w:eastAsia="Times New Roman" w:hAnsi="Times New Roman"/>
                <w:sz w:val="18"/>
                <w:szCs w:val="18"/>
                <w:color w:val="auto"/>
                <w:vertAlign w:val="superscript"/>
              </w:rPr>
              <w:t>(7)</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187,976</w:t>
            </w:r>
          </w:p>
        </w:tc>
      </w:tr>
      <w:tr>
        <w:trPr>
          <w:trHeight w:val="212"/>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Matthew Posard</w:t>
            </w:r>
            <w:r>
              <w:rPr>
                <w:rFonts w:ascii="Times New Roman" w:cs="Times New Roman" w:eastAsia="Times New Roman" w:hAnsi="Times New Roman"/>
                <w:sz w:val="18"/>
                <w:szCs w:val="18"/>
                <w:color w:val="auto"/>
                <w:vertAlign w:val="superscript"/>
              </w:rPr>
              <w:t>(8)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246,976</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w:t>
      </w:r>
    </w:p>
    <w:p>
      <w:pPr>
        <w:spacing w:after="0" w:line="201" w:lineRule="exact"/>
        <w:rPr>
          <w:sz w:val="20"/>
          <w:szCs w:val="20"/>
          <w:color w:val="auto"/>
        </w:rPr>
      </w:pPr>
    </w:p>
    <w:p>
      <w:pPr>
        <w:ind w:left="720" w:hanging="446"/>
        <w:spacing w:after="0" w:line="251" w:lineRule="auto"/>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accordance with SEC rules, this column reflects the aggregate grant date fair value of the stock option awards granted during 2023, computed in accordance with FASB ASC 718. These amounts do not reflect the actual economic val that will be realized by the director upon the vesting of the stock options, the exercise of the stock options, or the sale of the common stock underlying such stock options.</w:t>
      </w:r>
    </w:p>
    <w:p>
      <w:pPr>
        <w:spacing w:after="0" w:line="11"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Ms. Akinsanya holds outstanding options to purchase 165,409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Mr. Altman holds outstanding options to purchase 175,902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Ms. Epperly holds outstanding options to purchase 204,028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Mr. McIlwain holds outstanding options to purchase 167,747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Mr. Nazem holds outstanding options to purchase 167,747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Mr. Pande holds outstanding options to purchase 167,747 shares.</w:t>
      </w:r>
    </w:p>
    <w:p>
      <w:pPr>
        <w:spacing w:after="0" w:line="53" w:lineRule="exact"/>
        <w:rPr>
          <w:rFonts w:ascii="Times New Roman" w:cs="Times New Roman" w:eastAsia="Times New Roman" w:hAnsi="Times New Roman"/>
          <w:sz w:val="11"/>
          <w:szCs w:val="11"/>
          <w:color w:val="auto"/>
        </w:rPr>
      </w:pPr>
    </w:p>
    <w:p>
      <w:pPr>
        <w:ind w:left="720" w:hanging="446"/>
        <w:spacing w:after="0"/>
        <w:tabs>
          <w:tab w:leader="none" w:pos="72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2023, Mr. Posard holds outstanding options to purchase 399,943 shares.</w:t>
      </w:r>
    </w:p>
    <w:p>
      <w:pPr>
        <w:spacing w:after="0" w:line="200" w:lineRule="exact"/>
        <w:rPr>
          <w:sz w:val="20"/>
          <w:szCs w:val="20"/>
          <w:color w:val="auto"/>
        </w:rPr>
      </w:pPr>
    </w:p>
    <w:p>
      <w:pPr>
        <w:spacing w:after="0" w:line="3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340"/>
          </w:cols>
          <w:pgMar w:left="300" w:top="931" w:right="25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PROPOSAL NO. 1:</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ELECTION OF CLASS III DIRECTORS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board of directors currently consists of nine directors and is divided into three classes with staggered three-year terms. At the annual meeting, three Class III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nominating and governance committee has recommended, and our board of directors has approved, Melissa Epperly, Matthew Posard and Karen Akinsanya as nominees for election as Class III directors at the annual meeting. If elected, each of Ms. Epperly, Mr. Posard and Ms. Akinsanya will serve as a Class III director until the 2027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Corporate Governance</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Ms. Epperly, Mr. Posard and Ms. Akinsanya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OF DIRECTORS RECOMMENDS A VOTE “FOR” THE ELECTION OF EACH OF THE DIRECTOR NOMINEES NAMED ABOVE.</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20"/>
          </w:cols>
          <w:pgMar w:left="300" w:top="929"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t>PROPOSAL NO. 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RATIFICATION OF APPOINTMENT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committee has appointed PricewaterhouseCoopers LLP as our independent registered public accounting firm to audit our financial statements for our fiscal year ending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PricewaterhouseCoopers LLP served as our independent registered public accounting firm for the fiscal year ended December 31, 2023.</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At the annual meeting, we are asking our stockholders to ratify the appointment of PricewaterhouseCoopers LLP as our independent registered public accounting firm for our fiscal year ending December 31, 2024. Our audit committee is submitting the appointment of PricewaterhouseCoopers LLP to our stockholders because we value our stockholders’ views on our independent registered public accounting firm and as a matter of good corporate governance. Notwithstanding the appointment of PricewaterhouseCoopers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PricewaterhouseCoopers LLP, then our audit committee may reconsider the appointment. One or more representatives of PricewaterhouseCoopers LLP are expected to be present at the annual meeting, and they will have an opportunity to make a statement and are expected to be available to respond to appropriate questions from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Paid to the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fees for professional audit services and other services rendered by PricewaterhouseCoopers LLP to us for our fiscal years ended December 31, 2023 and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80"/>
        </w:trPr>
        <w:tc>
          <w:tcPr>
            <w:tcW w:w="8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863,500</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9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9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(2)</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3,078</w:t>
            </w:r>
          </w:p>
        </w:tc>
      </w:tr>
      <w:tr>
        <w:trPr>
          <w:trHeight w:val="17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Fees</w:t>
            </w:r>
          </w:p>
        </w:tc>
        <w:tc>
          <w:tcPr>
            <w:tcW w:w="92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915,900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866,578</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3" w:lineRule="exact"/>
        <w:rPr>
          <w:sz w:val="20"/>
          <w:szCs w:val="20"/>
          <w:color w:val="auto"/>
        </w:rPr>
      </w:pPr>
    </w:p>
    <w:p>
      <w:pPr>
        <w:ind w:left="260" w:right="260" w:hanging="255"/>
        <w:spacing w:after="0" w:line="258" w:lineRule="auto"/>
        <w:tabs>
          <w:tab w:leader="none" w:pos="254"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consist of fees billed for professional services rendered in connection with the audit of our financial statements, reviews of our quarterly financial statements and related accounting consultations and services that are normally provided by the independent registered public accountants in connection with statutory and regulatory filings or engagements for those fiscal years.</w:t>
      </w:r>
    </w:p>
    <w:p>
      <w:pPr>
        <w:ind w:left="260" w:hanging="255"/>
        <w:spacing w:after="0"/>
        <w:tabs>
          <w:tab w:leader="none" w:pos="26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Other Fees” consist of the cost of a subscription accounting research software.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 Independence</w:t>
      </w:r>
    </w:p>
    <w:p>
      <w:pPr>
        <w:spacing w:after="0" w:line="181"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In 2023, there were no other professional services provided by PricewaterhouseCoopers LLP, other than those listed above, that would have required our audit committee to consider their compatibility with maintaining the independence of PricewaterhouseCoopers LLP.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 Policy on Pre-Approval of Audit and Permissible Non-Audit Services of Independent Registered Public Accounting Firm</w:t>
      </w:r>
    </w:p>
    <w:p>
      <w:pPr>
        <w:spacing w:after="0" w:line="18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Effective upon the closing of the Business Combination, our audit committee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Since the adoption of this policy, all services provided by PricewaterhouseCoopers LLP have been pre-approved by our audit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Required</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ratification of the appointment of PricewaterhouseCoopers LLP as our independent registered public accounting firm for our fiscal year ending December 31, 2024 requires the affirmative vote of a majority of the voting power of the shares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929"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present in person (including virtually) or represented by proxy at the annual meeting and entitled to vote thereon. Abstentions will have the same effect as a vote AGAINST this proposal.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Recommendation</w:t>
      </w:r>
    </w:p>
    <w:p>
      <w:pPr>
        <w:spacing w:after="0" w:line="17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OUR BOARD OF DIRECTORS RECOMMENDS A VOTE “FOR” THE RATIFICATION OF THE APPOINTMENT OF PRICEWATERHOUSECOOPERS LLP AS OUR INDEPENDENT REGISTERED PUBLIC ACCOUNTING FIRM FOR OUR FISCAL YEAR ENDING DECEMBER 31, 2024.</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540"/>
          </w:cols>
          <w:pgMar w:left="300" w:top="931" w:right="10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THE AUDIT COMMITTEE</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Audit Committee is a committee of the board of directors comprised solely of independent directors as required by Nasdaq listing standards and SEC rules and regulations. The primary purpose of our Audit Committee is to oversee our financial reporting process on behalf of our Board. The Audit Committee’s functions are more fully described in its charter, which is available on our website at https://investors.nautilus.bio/. The composition of the Audit Committee, the attributes of its members and the responsibilities of the Audit Committee, as reflected in its charter, are intended to be in accordance with applicable requirements for corporate audit committees. The Audit Committee reviews and reassesses the adequacy of its charter and the Audit Committee’s performance on an annual basis.</w:t>
      </w:r>
    </w:p>
    <w:p>
      <w:pPr>
        <w:spacing w:after="0" w:line="14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With respect to the Company’s financial reporting process, the Company’s management is responsible for (1) establishing and maintaining internal controls and (2) preparing the Company’s consolidated financial statements. The Company’s independent registered public accounting firm, PricewaterhouseCoopers LLP (“PwC”), is responsible for performing an independent audit of the Company’s consolidated financial statements in accordance with the auditing standards of the Public Company Accounting Oversight Board (“PCAOB”) and to issue a report thereon. It is the responsibility of the audit committee to oversee these activities. It is not the responsibility of the Audit Committee to prepare the Company’s financial statements. Those are fundamental responsibilities of management. In the performance of its oversight function, the audit committee has:</w:t>
      </w:r>
    </w:p>
    <w:p>
      <w:pPr>
        <w:spacing w:after="0" w:line="143" w:lineRule="exact"/>
        <w:rPr>
          <w:sz w:val="20"/>
          <w:szCs w:val="20"/>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and discussed the audited financial statements with management and PwC;</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PwC the matters required to be discussed by the applicable requirements of PCAOB and the Securities and Exchange Commission (“SEC”); and</w:t>
      </w:r>
    </w:p>
    <w:p>
      <w:pPr>
        <w:spacing w:after="0" w:line="178" w:lineRule="exact"/>
        <w:rPr>
          <w:rFonts w:ascii="Times New Roman" w:cs="Times New Roman" w:eastAsia="Times New Roman" w:hAnsi="Times New Roman"/>
          <w:sz w:val="14"/>
          <w:szCs w:val="14"/>
          <w:color w:val="auto"/>
        </w:rPr>
      </w:pPr>
    </w:p>
    <w:p>
      <w:pPr>
        <w:ind w:left="760" w:right="300" w:hanging="246"/>
        <w:spacing w:after="0" w:line="287"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the written disclosures and the letters from PwC required by applicable requirements of the PCAOB regarding the independent accountant’s communications with the audit committee concerning independence, and has discussed with PwC its independence.</w:t>
      </w:r>
    </w:p>
    <w:p>
      <w:pPr>
        <w:spacing w:after="0" w:line="12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Based on the audit committee’s review and discussions with management and PwC, the Audit Committee recommended to the board of directors that the audited financial statements be included in the Annual Report on Form 10-K for the fiscal year ended December 31, 2023 for filing with the SEC.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Respectfully submitted by the members of the Audit Committee of the Board of Directors: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Melissa Epperly (Chairperson)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McIlwain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Matthew Posard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Nautilus under the Securities Act of 1933, as amended, or the Securities Act, or the Exchange Act, except to the extent Nautilus specifically requests that the information be treated as “soliciting material” or specifically incorporates it by reference.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929"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8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EXECUTIVE OFFICERS</w:t>
            </w:r>
          </w:p>
        </w:tc>
      </w:tr>
      <w:tr>
        <w:trPr>
          <w:trHeight w:val="340"/>
        </w:trPr>
        <w:tc>
          <w:tcPr>
            <w:tcW w:w="112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about our executive officers as of April 16, 2024.</w:t>
            </w:r>
          </w:p>
        </w:tc>
      </w:tr>
      <w:tr>
        <w:trPr>
          <w:trHeight w:val="403"/>
        </w:trPr>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24"/>
                <w:szCs w:val="24"/>
                <w:color w:val="auto"/>
              </w:rPr>
            </w:pPr>
          </w:p>
        </w:tc>
        <w:tc>
          <w:tcPr>
            <w:tcW w:w="758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1"/>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Sujal Patel</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President, Secretary and Director</w:t>
            </w:r>
          </w:p>
        </w:tc>
      </w:tr>
      <w:tr>
        <w:trPr>
          <w:trHeight w:val="198"/>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Parag Mallick</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80" w:type="dxa"/>
            <w:vAlign w:val="bottom"/>
          </w:tcPr>
          <w:p>
            <w:pPr>
              <w:spacing w:after="0"/>
              <w:rPr>
                <w:sz w:val="17"/>
                <w:szCs w:val="17"/>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Scientist and Director</w:t>
            </w: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Anna Mowry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Nick Nelson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Business Officer and Senior Vice President, Business Development</w:t>
            </w: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Subra Sankar</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Product Development</w:t>
            </w: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Murphy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Counsel</w:t>
            </w: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Gwen Weld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8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People Officer</w:t>
            </w:r>
          </w:p>
        </w:tc>
      </w:tr>
      <w:tr>
        <w:trPr>
          <w:trHeight w:val="18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Mary Godwin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80" w:type="dxa"/>
            <w:vAlign w:val="bottom"/>
          </w:tcPr>
          <w:p>
            <w:pPr>
              <w:spacing w:after="0"/>
              <w:rPr>
                <w:sz w:val="16"/>
                <w:szCs w:val="16"/>
                <w:color w:val="auto"/>
              </w:rPr>
            </w:pP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Operations</w:t>
            </w:r>
          </w:p>
        </w:tc>
      </w:tr>
    </w:tbl>
    <w:p>
      <w:pPr>
        <w:spacing w:after="0" w:line="23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For the biography of Mr. Patel, please see “Board of Directors and Corporate Governance - Continuing Directors.” For the biography of Dr. Mallick, please see “Board of Directors and Corporate Governance - Nominees for Director.”</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i w:val="1"/>
          <w:iCs w:val="1"/>
          <w:color w:val="auto"/>
        </w:rPr>
        <w:t>Anna Mowry</w:t>
      </w:r>
      <w:r>
        <w:rPr>
          <w:rFonts w:ascii="Times New Roman" w:cs="Times New Roman" w:eastAsia="Times New Roman" w:hAnsi="Times New Roman"/>
          <w:sz w:val="14"/>
          <w:szCs w:val="14"/>
          <w:color w:val="auto"/>
        </w:rPr>
        <w:t>. Anna Mowry has served as our Chief Financial Officer and Treasurer since June 2021. Ms. Mowry served as Legacy Nautilus’ Chief Financial Officer and Treasurer from January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4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i w:val="1"/>
          <w:iCs w:val="1"/>
          <w:color w:val="auto"/>
        </w:rPr>
        <w:t>Nick Nelson</w:t>
      </w:r>
      <w:r>
        <w:rPr>
          <w:rFonts w:ascii="Times New Roman" w:cs="Times New Roman" w:eastAsia="Times New Roman" w:hAnsi="Times New Roman"/>
          <w:sz w:val="14"/>
          <w:szCs w:val="14"/>
          <w:color w:val="auto"/>
        </w:rPr>
        <w:t>. Nick Nelson has served as our Chief Business Officer and Senior Vice President, Business Development since June 2021. Mr Nelson served as Legacy Nautilus’ Chief Business Officer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4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Subra Sankar</w:t>
      </w:r>
      <w:r>
        <w:rPr>
          <w:rFonts w:ascii="Times New Roman" w:cs="Times New Roman" w:eastAsia="Times New Roman" w:hAnsi="Times New Roman"/>
          <w:sz w:val="14"/>
          <w:szCs w:val="14"/>
          <w:color w:val="auto"/>
        </w:rPr>
        <w:t>. Subra Sankar has served as our Senior Vice President, Product Development since June 2021. Dr. Sankar served as Legacy Nautilus’ Senior Vice President, Product Development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4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i w:val="1"/>
          <w:iCs w:val="1"/>
          <w:color w:val="auto"/>
        </w:rPr>
        <w:t>Matthew Murphy</w:t>
      </w:r>
      <w:r>
        <w:rPr>
          <w:rFonts w:ascii="Times New Roman" w:cs="Times New Roman" w:eastAsia="Times New Roman" w:hAnsi="Times New Roman"/>
          <w:sz w:val="14"/>
          <w:szCs w:val="14"/>
          <w:color w:val="auto"/>
        </w:rPr>
        <w:t>. Matthew Murphy has served as our General Counsel since June 2021. Mr. Murphy served as Legacy Nautilus’ General Counsel from April 2021 through the closing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Combination. Prior to joining us, from August 2020 to March 2021, Mr. Murphy provided advisory services to various life sciences companies and, from July 2018 to August 2020, Mr. Murphy served as a Strategic Consultant and Consulting General Counsel to various life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929" w:right="319" w:bottom="1440" w:gutter="0" w:footer="0" w:header="0"/>
        </w:sectPr>
      </w:pPr>
    </w:p>
    <w:bookmarkStart w:id="27" w:name="page28"/>
    <w:bookmarkEnd w:id="27"/>
    <w:p>
      <w:pPr>
        <w:ind w:right="20"/>
        <w:spacing w:after="0" w:line="264" w:lineRule="auto"/>
        <w:rPr>
          <w:sz w:val="20"/>
          <w:szCs w:val="20"/>
          <w:color w:val="auto"/>
        </w:rPr>
      </w:pPr>
      <w:r>
        <w:rPr>
          <w:rFonts w:ascii="Times New Roman" w:cs="Times New Roman" w:eastAsia="Times New Roman" w:hAnsi="Times New Roman"/>
          <w:sz w:val="14"/>
          <w:szCs w:val="14"/>
          <w:color w:val="auto"/>
        </w:rPr>
        <w:t>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Gwen Weld. </w:t>
      </w:r>
      <w:r>
        <w:rPr>
          <w:rFonts w:ascii="Times New Roman" w:cs="Times New Roman" w:eastAsia="Times New Roman" w:hAnsi="Times New Roman"/>
          <w:sz w:val="14"/>
          <w:szCs w:val="14"/>
          <w:color w:val="auto"/>
        </w:rPr>
        <w:t>Gwen Weld has served as our Chief People Officer since April 2022. Ms. Weld served as a human resources consultant for us and Legacy Nautilus from September 2020 to April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Prior to joining us, from April 2019 to April 2022, Ms. Weld served as Interim Chief People Officer at Amperity, a software company. From April 2021 to April 2022, Ms. Weld served as a human resources consultant for OctoML, a software development company. From June 2006 to December 2011, Ms. Weld served as Vice President of Global People and Infrastructure at Isilon Systems, an enterprise data storage company, and previously served as General Manager of Human Resources at Microsoft Corporation, a technology company, for nearly twenty years, leading Microsoft’s human resources agenda for its various groups and overseeing worldwide recruiting and alternative staffing. Ms. Weld studied business administration at Pace University.</w:t>
      </w:r>
    </w:p>
    <w:p>
      <w:pPr>
        <w:spacing w:after="0" w:line="1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i w:val="1"/>
          <w:iCs w:val="1"/>
          <w:color w:val="auto"/>
        </w:rPr>
        <w:t>Mary Godwin</w:t>
      </w:r>
      <w:r>
        <w:rPr>
          <w:rFonts w:ascii="Times New Roman" w:cs="Times New Roman" w:eastAsia="Times New Roman" w:hAnsi="Times New Roman"/>
          <w:sz w:val="14"/>
          <w:szCs w:val="14"/>
          <w:color w:val="auto"/>
        </w:rPr>
        <w:t>. Mary Godwin has served as our Senior Vice President, Operations since July 2022. Ms. Godwin previously served as our Vice President, Operations from January 2020 to June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Prior to joining us, from January 2014 to November 2018, Ms. Godwin served as Vice President, Operations at Qumulo, Inc., a data storage company. Ms. Godwin holds a B.S. in Plastics Engineering from the University of Massachusetts, Lowell and a Master of Business Administration degree from Santa Clara University.</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180"/>
          </w:cols>
          <w:pgMar w:left="300" w:top="931" w:right="41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81"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12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124" w:lineRule="exact"/>
        <w:rPr>
          <w:sz w:val="20"/>
          <w:szCs w:val="20"/>
          <w:color w:val="auto"/>
        </w:rPr>
      </w:pPr>
    </w:p>
    <w:p>
      <w:pPr>
        <w:jc w:val="both"/>
        <w:ind w:right="260" w:firstLine="255"/>
        <w:spacing w:after="0" w:line="270" w:lineRule="auto"/>
        <w:rPr>
          <w:sz w:val="20"/>
          <w:szCs w:val="20"/>
          <w:color w:val="auto"/>
        </w:rPr>
      </w:pPr>
      <w:r>
        <w:rPr>
          <w:rFonts w:ascii="Times New Roman" w:cs="Times New Roman" w:eastAsia="Times New Roman" w:hAnsi="Times New Roman"/>
          <w:sz w:val="14"/>
          <w:szCs w:val="14"/>
          <w:color w:val="auto"/>
        </w:rPr>
        <w:t>This section provides an overview of our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board of directors, with input from our Chief Executive Officer (other than with respect to his own compensation), has historically determined the compensation for our named executive officers. The following table provides information regarding the compensation of our principal executive officer, our Chief Scientist, and our next most highly compensated executive officer who was serving as an executive officer as of December 31, 2023, the end of our last completed fiscal year. We refer to these executive officers in this proxy statement as our named executive officers. For the year ended December 31, 2023, our named executive officers were:</w:t>
      </w:r>
    </w:p>
    <w:p>
      <w:pPr>
        <w:spacing w:after="0" w:line="140"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Sujal Patel, Chief Executive Officer, President, and Secretary;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Parag Mallick, Chief Scientist;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Anna Mowry, Chief Financial Officer and Treasurer.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60"/>
          </w:cols>
          <w:pgMar w:left="300" w:top="9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Summary Compensation Table for the Fiscal Year Ended December 31, 2023</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the compensation earned by our named executive officers for the fiscal years ended December 31, 2023 and December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Non-equity incentive plan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restart"/>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3640" w:type="dxa"/>
            <w:vAlign w:val="bottom"/>
            <w:vMerge w:val="restart"/>
          </w:tcPr>
          <w:p>
            <w:pPr>
              <w:ind w:left="114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80" w:type="dxa"/>
            <w:vAlign w:val="bottom"/>
          </w:tcPr>
          <w:p>
            <w:pPr>
              <w:spacing w:after="0"/>
              <w:rPr>
                <w:sz w:val="9"/>
                <w:szCs w:val="9"/>
                <w:color w:val="auto"/>
              </w:rPr>
            </w:pP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1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2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240" w:type="dxa"/>
            <w:vAlign w:val="bottom"/>
          </w:tcPr>
          <w:p>
            <w:pPr>
              <w:jc w:val="right"/>
              <w:ind w:right="453"/>
              <w:spacing w:after="0" w:line="159" w:lineRule="exact"/>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9"/>
                <w:vertAlign w:val="subscript"/>
              </w:rPr>
              <w:t>($)</w:t>
            </w:r>
            <w:r>
              <w:rPr>
                <w:rFonts w:ascii="Times New Roman" w:cs="Times New Roman" w:eastAsia="Times New Roman" w:hAnsi="Times New Roman"/>
                <w:sz w:val="7"/>
                <w:szCs w:val="7"/>
                <w:b w:val="1"/>
                <w:bCs w:val="1"/>
                <w:color w:val="auto"/>
                <w:w w:val="99"/>
              </w:rPr>
              <w:t>(2)</w:t>
            </w:r>
          </w:p>
        </w:tc>
        <w:tc>
          <w:tcPr>
            <w:tcW w:w="80" w:type="dxa"/>
            <w:vAlign w:val="bottom"/>
          </w:tcPr>
          <w:p>
            <w:pPr>
              <w:spacing w:after="0"/>
              <w:rPr>
                <w:sz w:val="13"/>
                <w:szCs w:val="13"/>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71"/>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Sujal Patel</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4"/>
                <w:szCs w:val="14"/>
                <w:i w:val="1"/>
                <w:iCs w:val="1"/>
                <w:color w:val="auto"/>
              </w:rPr>
              <w:t>President, Chief Executive Officer and Secretary</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535,000</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1,065,622</w:t>
            </w: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291,040</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1,200</w:t>
            </w: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2" w:lineRule="exact"/>
              <w:rPr>
                <w:sz w:val="20"/>
                <w:szCs w:val="20"/>
                <w:color w:val="auto"/>
              </w:rPr>
            </w:pPr>
            <w:r>
              <w:rPr>
                <w:rFonts w:ascii="Times New Roman" w:cs="Times New Roman" w:eastAsia="Times New Roman" w:hAnsi="Times New Roman"/>
                <w:sz w:val="14"/>
                <w:szCs w:val="14"/>
                <w:color w:val="auto"/>
              </w:rPr>
              <w:t>1,892,862</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1,256,572</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1,757,772</w:t>
            </w:r>
          </w:p>
        </w:tc>
        <w:tc>
          <w:tcPr>
            <w:tcW w:w="0" w:type="dxa"/>
            <w:vAlign w:val="bottom"/>
          </w:tcPr>
          <w:p>
            <w:pPr>
              <w:spacing w:after="0"/>
              <w:rPr>
                <w:sz w:val="1"/>
                <w:szCs w:val="1"/>
                <w:color w:val="auto"/>
              </w:rPr>
            </w:pPr>
          </w:p>
        </w:tc>
      </w:tr>
      <w:tr>
        <w:trPr>
          <w:trHeight w:val="174"/>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Parag Mallick</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Scientist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459,037</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142,800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1,021,837</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879,600</w:t>
            </w:r>
          </w:p>
        </w:tc>
        <w:tc>
          <w:tcPr>
            <w:tcW w:w="8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1,279,600</w:t>
            </w: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Anna Mowry</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74"/>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 and Treasurer</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386,000</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262,307</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132,012</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781,519</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364,000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879,600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1,347,175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224" w:lineRule="exact"/>
        <w:rPr>
          <w:sz w:val="20"/>
          <w:szCs w:val="20"/>
          <w:color w:val="auto"/>
        </w:rPr>
      </w:pPr>
    </w:p>
    <w:p>
      <w:pPr>
        <w:ind w:left="460" w:right="300" w:hanging="298"/>
        <w:spacing w:after="0"/>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accordance with SEC rules, this column reflects the aggregate grant date fair value of the stock option awards granted during 2022 or 2023,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For a discussion of valuation assumptions, see Note 7 to our audited financial statements included in our Annual Report on Form 10-K for the fiscal year ended December 31, 2023, filed with the SEC on February 28, 2024.</w:t>
      </w:r>
    </w:p>
    <w:p>
      <w:pPr>
        <w:spacing w:after="0" w:line="2" w:lineRule="exact"/>
        <w:rPr>
          <w:rFonts w:ascii="Times New Roman" w:cs="Times New Roman" w:eastAsia="Times New Roman" w:hAnsi="Times New Roman"/>
          <w:sz w:val="11"/>
          <w:szCs w:val="11"/>
          <w:color w:val="auto"/>
        </w:rPr>
      </w:pPr>
    </w:p>
    <w:p>
      <w:pPr>
        <w:ind w:left="460" w:right="40" w:hanging="298"/>
        <w:spacing w:after="0" w:line="230" w:lineRule="auto"/>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represent performance-based cash bonuses paid under the Incentive Plan (as defined below) for the years ended December 31, 2023 and December 31, 2022, respectively, each of which was paid in the subsequent fiscal year. Each of Mr. Patel and Dr. Mallick voluntarily declined any payments under the Incentive Plan for the year ended December 31, 2022. If Mr. Patel and Dr. Mallick had received cash bonuses under the Incentive Plan based on the same determinations with respect to cash bonuses for our other NEOs, Mr. Patel would have received a payment of $125,000 and Dr. Mallick would have received a payment of $100,000. The Incentive Plan is more fully described below under the section titled “—Non-Equity Incentive Plan Compensation.”</w:t>
      </w:r>
    </w:p>
    <w:p>
      <w:pPr>
        <w:spacing w:after="0" w:line="13" w:lineRule="exact"/>
        <w:rPr>
          <w:rFonts w:ascii="Times New Roman" w:cs="Times New Roman" w:eastAsia="Times New Roman" w:hAnsi="Times New Roman"/>
          <w:sz w:val="11"/>
          <w:szCs w:val="11"/>
          <w:color w:val="auto"/>
        </w:rPr>
      </w:pPr>
    </w:p>
    <w:p>
      <w:pPr>
        <w:ind w:left="460" w:hanging="298"/>
        <w:spacing w:after="0"/>
        <w:tabs>
          <w:tab w:leader="none" w:pos="4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reported represent parking benefits.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Non-Equity Incentive Plan Compensation</w:t>
      </w:r>
    </w:p>
    <w:p>
      <w:pPr>
        <w:spacing w:after="0" w:line="19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We maintain the Executive Incentive Compensation Plan (the “Incentive Plan”), which allows our board of directors or compensation committee to grant incentive awards, generally payable in cash, to employees selected by our compensation committee, including our executive officers, based upon performance goals established by our compensation committee. In February 2023, our board of directors approved performance goals under the Incentive Plan for 2023 (the “2023 Bonus Plan”).</w:t>
      </w:r>
    </w:p>
    <w:p>
      <w:pPr>
        <w:spacing w:after="0" w:line="157" w:lineRule="exact"/>
        <w:rPr>
          <w:sz w:val="20"/>
          <w:szCs w:val="20"/>
          <w:color w:val="auto"/>
        </w:rPr>
      </w:pPr>
    </w:p>
    <w:p>
      <w:pPr>
        <w:ind w:right="100" w:firstLine="255"/>
        <w:spacing w:after="0" w:line="245" w:lineRule="auto"/>
        <w:rPr>
          <w:sz w:val="20"/>
          <w:szCs w:val="20"/>
          <w:color w:val="auto"/>
        </w:rPr>
      </w:pPr>
      <w:r>
        <w:rPr>
          <w:rFonts w:ascii="Times New Roman" w:cs="Times New Roman" w:eastAsia="Times New Roman" w:hAnsi="Times New Roman"/>
          <w:sz w:val="14"/>
          <w:szCs w:val="14"/>
          <w:color w:val="auto"/>
        </w:rPr>
        <w:t>The performance goals under the 2023 Bonus Plan applied to each of our named executive officers and consisted of five financial or strategic goals with respect to Nautilus (or “corporate performance goals”) for the 2023 year related to certain profiling milestones, certain instrument and consumable operational and manufacturing readiness, certain commercial engagement, and financial metrics related to cash management. Each corporate performance goal was provided a specific weighting, and the extent of achievement of each such goal was expressed as a percentage (with 100% representing target achievement, provided that achievement could be higher or lower depending on actual performance) and determined the payout with respect to the portion of the cash incentive opportunity allocated to such goal. Each of Mr. Patel and Dr. Mallick’s cash incentive opportunities for 2023 were based 100% on achievement of the corporate performance goals.</w:t>
      </w:r>
    </w:p>
    <w:p>
      <w:pPr>
        <w:spacing w:after="0" w:line="165"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For Ms. Mowry, the 2023 Bonus Plan additionally provided for an individual performance component based on corporate and strategic objectives specific to Ms. Mowry as established by the compensation committee of our board of directors. Ms. Mowry’s total cash incentive opportunity for 2023 was based 75% on achievement of the corporate performance goals described above and 25% on individual performance achievement.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929" w:right="319" w:bottom="1440" w:gutter="0" w:footer="0" w:header="0"/>
        </w:sectPr>
      </w:pPr>
    </w:p>
    <w:bookmarkStart w:id="30" w:name="page31"/>
    <w:bookmarkEnd w:id="30"/>
    <w:p>
      <w:pPr>
        <w:ind w:firstLine="255"/>
        <w:spacing w:after="0" w:line="261" w:lineRule="auto"/>
        <w:rPr>
          <w:sz w:val="20"/>
          <w:szCs w:val="20"/>
          <w:color w:val="auto"/>
        </w:rPr>
      </w:pPr>
      <w:r>
        <w:rPr>
          <w:rFonts w:ascii="Times New Roman" w:cs="Times New Roman" w:eastAsia="Times New Roman" w:hAnsi="Times New Roman"/>
          <w:sz w:val="14"/>
          <w:szCs w:val="14"/>
          <w:color w:val="auto"/>
        </w:rPr>
        <w:t>In February 2024, our board of directors completed a review of the Company’s performance against the corporate performance goals under the 2023 Bonus Plan. In its review, our board of directors evaluated the Company’s progress against these corporate performance goals, determining that certain goals were achieved or exceeded, that certain goals were not achieved, and that certain goals were partially achieved. Based upon this evaluation and application of the weightings, our board of directors approved payment of a cash bonus to each of Mr. Patel, Dr. Mallick and Ms. Mowry in amounts that resulted from 68% achievement of the corporate performance goals under the 2023 Bonus Plan, and, for Ms. Mowry only, in combination with her level of achievement of her individual performance component. Each cash bonus was paid to Mr. Patel, Dr. Mallick and Ms. Mowry in early 2024.</w:t>
      </w:r>
    </w:p>
    <w:p>
      <w:pPr>
        <w:spacing w:after="0" w:line="143"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amounts in the Summary Compensation Table under the column titled “Non-equity incentive plan compensation” for 2023, for each of Mr. Patel and Dr. Mallick, are equal to 100% of his respective target bonus opportunity, multiplied by 68% for the corporate performance component, and for Ms. Mowry are equal to the sum of (i) 75% of her target bonus opportunity, multiplied by 68% for the corporate performance component, and (ii) 25% of her target bonus opportunity allocated to the individual performance component, multiplied by an aggregate achievement of 100% for 2023. For 2023, the cash incentive bonus under the 2023 Bonus Plan for our named executive officers was $291,040 for Mr. Patel, $142,800 for Dr. Mallick, and $132,012 for Ms. Mowry (of which $88,587 was paid out based on achievement of the corporate performance goals and $43,425 was paid out based on achievement of her individual performance goals).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 December 31, 2023</w:t>
      </w:r>
    </w:p>
    <w:p>
      <w:pPr>
        <w:spacing w:after="0" w:line="181"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certain information regarding equity awards granted to the named executive officers that remained outstanding as of December 31, 2023. The number of shares subject to each award granted prior to the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76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Combination and, where applicable, the exercise price per share, reflect all changes as a result of our capitalization adjustments in connection with the Business Combination.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140" w:type="dxa"/>
            <w:vAlign w:val="bottom"/>
            <w:gridSpan w:val="3"/>
            <w:vMerge w:val="continue"/>
          </w:tcPr>
          <w:p>
            <w:pPr>
              <w:spacing w:after="0"/>
              <w:rPr>
                <w:sz w:val="11"/>
                <w:szCs w:val="11"/>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13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80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exercisable</w:t>
            </w:r>
          </w:p>
        </w:tc>
        <w:tc>
          <w:tcPr>
            <w:tcW w:w="214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4"/>
                <w:szCs w:val="14"/>
                <w:b w:val="1"/>
                <w:bCs w:val="1"/>
                <w:color w:val="auto"/>
                <w:w w:val="97"/>
              </w:rPr>
              <w:t xml:space="preserve">(#) unexercisable </w:t>
            </w:r>
            <w:r>
              <w:rPr>
                <w:rFonts w:ascii="Times New Roman" w:cs="Times New Roman" w:eastAsia="Times New Roman" w:hAnsi="Times New Roman"/>
                <w:sz w:val="18"/>
                <w:szCs w:val="18"/>
                <w:b w:val="1"/>
                <w:bCs w:val="1"/>
                <w:color w:val="auto"/>
                <w:w w:val="97"/>
                <w:vertAlign w:val="superscript"/>
              </w:rPr>
              <w:t>(1)</w:t>
            </w:r>
          </w:p>
        </w:tc>
        <w:tc>
          <w:tcPr>
            <w:tcW w:w="13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 (2)</w:t>
            </w:r>
          </w:p>
        </w:tc>
        <w:tc>
          <w:tcPr>
            <w:tcW w:w="80" w:type="dxa"/>
            <w:vAlign w:val="bottom"/>
          </w:tcPr>
          <w:p>
            <w:pPr>
              <w:spacing w:after="0"/>
              <w:rPr>
                <w:sz w:val="15"/>
                <w:szCs w:val="15"/>
                <w:color w:val="auto"/>
              </w:rPr>
            </w:pPr>
          </w:p>
        </w:tc>
        <w:tc>
          <w:tcPr>
            <w:tcW w:w="13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5"/>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Sujal Patel</w:t>
            </w: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ind w:right="149"/>
              <w:spacing w:after="0" w:line="185" w:lineRule="exact"/>
              <w:rPr>
                <w:sz w:val="20"/>
                <w:szCs w:val="20"/>
                <w:color w:val="auto"/>
              </w:rPr>
            </w:pPr>
            <w:r>
              <w:rPr>
                <w:rFonts w:ascii="Times New Roman" w:cs="Times New Roman" w:eastAsia="Times New Roman" w:hAnsi="Times New Roman"/>
                <w:sz w:val="14"/>
                <w:szCs w:val="14"/>
                <w:color w:val="auto"/>
              </w:rPr>
              <w:t xml:space="preserve">1/31/2021 </w:t>
            </w:r>
            <w:r>
              <w:rPr>
                <w:rFonts w:ascii="Times New Roman" w:cs="Times New Roman" w:eastAsia="Times New Roman" w:hAnsi="Times New Roman"/>
                <w:sz w:val="18"/>
                <w:szCs w:val="18"/>
                <w:color w:val="auto"/>
                <w:vertAlign w:val="superscript"/>
              </w:rPr>
              <w:t>(3)</w:t>
            </w:r>
          </w:p>
        </w:tc>
        <w:tc>
          <w:tcPr>
            <w:tcW w:w="1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575,090</w:t>
            </w: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213,643</w:t>
            </w: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1/31/2031</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149"/>
              <w:spacing w:after="0" w:line="181" w:lineRule="exact"/>
              <w:rPr>
                <w:sz w:val="20"/>
                <w:szCs w:val="20"/>
                <w:color w:val="auto"/>
              </w:rPr>
            </w:pPr>
            <w:r>
              <w:rPr>
                <w:rFonts w:ascii="Times New Roman" w:cs="Times New Roman" w:eastAsia="Times New Roman" w:hAnsi="Times New Roman"/>
                <w:sz w:val="14"/>
                <w:szCs w:val="14"/>
                <w:color w:val="auto"/>
              </w:rPr>
              <w:t xml:space="preserve">2/25/2022 </w:t>
            </w:r>
            <w:r>
              <w:rPr>
                <w:rFonts w:ascii="Times New Roman" w:cs="Times New Roman" w:eastAsia="Times New Roman" w:hAnsi="Times New Roman"/>
                <w:sz w:val="18"/>
                <w:szCs w:val="18"/>
                <w:color w:val="auto"/>
                <w:vertAlign w:val="superscript"/>
              </w:rPr>
              <w:t>(5)</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183,333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216,667</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2/25/2032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49"/>
              <w:spacing w:after="0" w:line="198" w:lineRule="exact"/>
              <w:rPr>
                <w:sz w:val="20"/>
                <w:szCs w:val="20"/>
                <w:color w:val="auto"/>
              </w:rPr>
            </w:pPr>
            <w:r>
              <w:rPr>
                <w:rFonts w:ascii="Times New Roman" w:cs="Times New Roman" w:eastAsia="Times New Roman" w:hAnsi="Times New Roman"/>
                <w:sz w:val="14"/>
                <w:szCs w:val="14"/>
                <w:color w:val="auto"/>
              </w:rPr>
              <w:t xml:space="preserve">2/27/2023 </w:t>
            </w:r>
            <w:r>
              <w:rPr>
                <w:rFonts w:ascii="Times New Roman" w:cs="Times New Roman" w:eastAsia="Times New Roman" w:hAnsi="Times New Roman"/>
                <w:sz w:val="18"/>
                <w:szCs w:val="18"/>
                <w:color w:val="auto"/>
                <w:vertAlign w:val="superscript"/>
              </w:rPr>
              <w:t>(5)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2/27/2033</w:t>
            </w: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Parag Mallick</w:t>
            </w:r>
          </w:p>
        </w:tc>
        <w:tc>
          <w:tcPr>
            <w:tcW w:w="100" w:type="dxa"/>
            <w:vAlign w:val="bottom"/>
          </w:tcPr>
          <w:p>
            <w:pPr>
              <w:spacing w:after="0"/>
              <w:rPr>
                <w:sz w:val="16"/>
                <w:szCs w:val="16"/>
                <w:color w:val="auto"/>
              </w:rPr>
            </w:pPr>
          </w:p>
        </w:tc>
        <w:tc>
          <w:tcPr>
            <w:tcW w:w="1700" w:type="dxa"/>
            <w:vAlign w:val="bottom"/>
          </w:tcPr>
          <w:p>
            <w:pPr>
              <w:jc w:val="right"/>
              <w:ind w:right="149"/>
              <w:spacing w:after="0" w:line="195" w:lineRule="exact"/>
              <w:rPr>
                <w:sz w:val="20"/>
                <w:szCs w:val="20"/>
                <w:color w:val="auto"/>
              </w:rPr>
            </w:pPr>
            <w:r>
              <w:rPr>
                <w:rFonts w:ascii="Times New Roman" w:cs="Times New Roman" w:eastAsia="Times New Roman" w:hAnsi="Times New Roman"/>
                <w:sz w:val="14"/>
                <w:szCs w:val="14"/>
                <w:color w:val="auto"/>
              </w:rPr>
              <w:t xml:space="preserve">1/31/2021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338,346</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125,673</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9"/>
                <w:szCs w:val="9"/>
                <w:color w:val="auto"/>
              </w:rPr>
              <w:t>(4)</w:t>
            </w: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1/31/2031</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1800" w:type="dxa"/>
            <w:vAlign w:val="bottom"/>
            <w:gridSpan w:val="2"/>
          </w:tcPr>
          <w:p>
            <w:pPr>
              <w:jc w:val="right"/>
              <w:ind w:right="149"/>
              <w:spacing w:after="0" w:line="181" w:lineRule="exact"/>
              <w:rPr>
                <w:sz w:val="20"/>
                <w:szCs w:val="20"/>
                <w:color w:val="auto"/>
              </w:rPr>
            </w:pPr>
            <w:r>
              <w:rPr>
                <w:rFonts w:ascii="Times New Roman" w:cs="Times New Roman" w:eastAsia="Times New Roman" w:hAnsi="Times New Roman"/>
                <w:sz w:val="14"/>
                <w:szCs w:val="14"/>
                <w:color w:val="auto"/>
              </w:rPr>
              <w:t xml:space="preserve">2/25/2022 </w:t>
            </w:r>
            <w:r>
              <w:rPr>
                <w:rFonts w:ascii="Times New Roman" w:cs="Times New Roman" w:eastAsia="Times New Roman" w:hAnsi="Times New Roman"/>
                <w:sz w:val="18"/>
                <w:szCs w:val="18"/>
                <w:color w:val="auto"/>
                <w:vertAlign w:val="superscript"/>
              </w:rPr>
              <w:t>(5)</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128,333</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151,667</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2/25/2032</w:t>
            </w: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1800" w:type="dxa"/>
            <w:vAlign w:val="bottom"/>
            <w:gridSpan w:val="2"/>
          </w:tcPr>
          <w:p>
            <w:pPr>
              <w:jc w:val="right"/>
              <w:ind w:right="149"/>
              <w:spacing w:after="0" w:line="198" w:lineRule="exact"/>
              <w:rPr>
                <w:sz w:val="20"/>
                <w:szCs w:val="20"/>
                <w:color w:val="auto"/>
              </w:rPr>
            </w:pPr>
            <w:r>
              <w:rPr>
                <w:rFonts w:ascii="Times New Roman" w:cs="Times New Roman" w:eastAsia="Times New Roman" w:hAnsi="Times New Roman"/>
                <w:sz w:val="14"/>
                <w:szCs w:val="14"/>
                <w:color w:val="auto"/>
              </w:rPr>
              <w:t xml:space="preserve">2/27/2023 </w:t>
            </w:r>
            <w:r>
              <w:rPr>
                <w:rFonts w:ascii="Times New Roman" w:cs="Times New Roman" w:eastAsia="Times New Roman" w:hAnsi="Times New Roman"/>
                <w:sz w:val="18"/>
                <w:szCs w:val="18"/>
                <w:color w:val="auto"/>
                <w:vertAlign w:val="superscript"/>
              </w:rPr>
              <w:t>(5)</w:t>
            </w:r>
          </w:p>
        </w:tc>
        <w:tc>
          <w:tcPr>
            <w:tcW w:w="100" w:type="dxa"/>
            <w:vAlign w:val="bottom"/>
          </w:tcPr>
          <w:p>
            <w:pPr>
              <w:spacing w:after="0"/>
              <w:rPr>
                <w:sz w:val="17"/>
                <w:szCs w:val="17"/>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2/27/2033</w:t>
            </w:r>
          </w:p>
        </w:tc>
        <w:tc>
          <w:tcPr>
            <w:tcW w:w="0" w:type="dxa"/>
            <w:vAlign w:val="bottom"/>
          </w:tcPr>
          <w:p>
            <w:pPr>
              <w:spacing w:after="0"/>
              <w:rPr>
                <w:sz w:val="1"/>
                <w:szCs w:val="1"/>
                <w:color w:val="auto"/>
              </w:rPr>
            </w:pPr>
          </w:p>
        </w:tc>
      </w:tr>
      <w:tr>
        <w:trPr>
          <w:trHeight w:val="195"/>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Anna Mowry</w:t>
            </w:r>
          </w:p>
        </w:tc>
        <w:tc>
          <w:tcPr>
            <w:tcW w:w="1800" w:type="dxa"/>
            <w:vAlign w:val="bottom"/>
            <w:gridSpan w:val="2"/>
            <w:shd w:val="clear" w:color="auto" w:fill="CCEEFF"/>
          </w:tcPr>
          <w:p>
            <w:pPr>
              <w:jc w:val="right"/>
              <w:ind w:right="149"/>
              <w:spacing w:after="0" w:line="195" w:lineRule="exact"/>
              <w:rPr>
                <w:sz w:val="20"/>
                <w:szCs w:val="20"/>
                <w:color w:val="auto"/>
              </w:rPr>
            </w:pPr>
            <w:r>
              <w:rPr>
                <w:rFonts w:ascii="Times New Roman" w:cs="Times New Roman" w:eastAsia="Times New Roman" w:hAnsi="Times New Roman"/>
                <w:sz w:val="14"/>
                <w:szCs w:val="14"/>
                <w:color w:val="auto"/>
              </w:rPr>
              <w:t xml:space="preserve">12/3/2020 </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319,863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115,505</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(7)</w:t>
            </w: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12/3/2030</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149"/>
              <w:spacing w:after="0" w:line="181" w:lineRule="exact"/>
              <w:rPr>
                <w:sz w:val="20"/>
                <w:szCs w:val="20"/>
                <w:color w:val="auto"/>
              </w:rPr>
            </w:pPr>
            <w:r>
              <w:rPr>
                <w:rFonts w:ascii="Times New Roman" w:cs="Times New Roman" w:eastAsia="Times New Roman" w:hAnsi="Times New Roman"/>
                <w:sz w:val="14"/>
                <w:szCs w:val="14"/>
                <w:color w:val="auto"/>
              </w:rPr>
              <w:t xml:space="preserve">2/25/2022 </w:t>
            </w:r>
            <w:r>
              <w:rPr>
                <w:rFonts w:ascii="Times New Roman" w:cs="Times New Roman" w:eastAsia="Times New Roman" w:hAnsi="Times New Roman"/>
                <w:sz w:val="18"/>
                <w:szCs w:val="18"/>
                <w:color w:val="auto"/>
                <w:vertAlign w:val="superscript"/>
              </w:rPr>
              <w:t>(5)</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128,333</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151,667</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2/25/2032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49"/>
              <w:spacing w:after="0" w:line="198" w:lineRule="exact"/>
              <w:rPr>
                <w:sz w:val="20"/>
                <w:szCs w:val="20"/>
                <w:color w:val="auto"/>
              </w:rPr>
            </w:pPr>
            <w:r>
              <w:rPr>
                <w:rFonts w:ascii="Times New Roman" w:cs="Times New Roman" w:eastAsia="Times New Roman" w:hAnsi="Times New Roman"/>
                <w:sz w:val="14"/>
                <w:szCs w:val="14"/>
                <w:color w:val="auto"/>
              </w:rPr>
              <w:t xml:space="preserve">2/27/2023 </w:t>
            </w:r>
            <w:r>
              <w:rPr>
                <w:rFonts w:ascii="Times New Roman" w:cs="Times New Roman" w:eastAsia="Times New Roman" w:hAnsi="Times New Roman"/>
                <w:sz w:val="18"/>
                <w:szCs w:val="18"/>
                <w:color w:val="auto"/>
                <w:vertAlign w:val="superscript"/>
              </w:rPr>
              <w:t>(5)</w:t>
            </w:r>
          </w:p>
        </w:tc>
        <w:tc>
          <w:tcPr>
            <w:tcW w:w="1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2/27/2033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224" w:lineRule="exact"/>
        <w:rPr>
          <w:sz w:val="20"/>
          <w:szCs w:val="20"/>
          <w:color w:val="auto"/>
        </w:rPr>
      </w:pPr>
    </w:p>
    <w:p>
      <w:pPr>
        <w:ind w:left="460" w:hanging="298"/>
        <w:spacing w:after="0"/>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unvested portions of these awards may be subject to vesting acceleration under certain circumstances, described below under “—Potential Payments upon Termination or Change in Control.”</w:t>
      </w:r>
    </w:p>
    <w:p>
      <w:pPr>
        <w:spacing w:after="0" w:line="32" w:lineRule="exact"/>
        <w:rPr>
          <w:rFonts w:ascii="Times New Roman" w:cs="Times New Roman" w:eastAsia="Times New Roman" w:hAnsi="Times New Roman"/>
          <w:sz w:val="11"/>
          <w:szCs w:val="11"/>
          <w:color w:val="auto"/>
        </w:rPr>
      </w:pPr>
    </w:p>
    <w:p>
      <w:pPr>
        <w:ind w:left="460" w:right="140" w:hanging="298"/>
        <w:spacing w:after="0"/>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stock option awards that were granted by Legacy Nautilus to Mr. Patel, Dr. Mallick and Ms. Mowry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following the closing of the Business Combination was granted with a per share exercise price equal to the closing price of the Company’s common stock in trading on the Nasdaq Global Select Market on the date of grant.</w:t>
      </w:r>
    </w:p>
    <w:p>
      <w:pPr>
        <w:spacing w:after="0" w:line="2" w:lineRule="exact"/>
        <w:rPr>
          <w:rFonts w:ascii="Times New Roman" w:cs="Times New Roman" w:eastAsia="Times New Roman" w:hAnsi="Times New Roman"/>
          <w:sz w:val="11"/>
          <w:szCs w:val="11"/>
          <w:color w:val="auto"/>
        </w:rPr>
      </w:pPr>
    </w:p>
    <w:p>
      <w:pPr>
        <w:ind w:left="460" w:hanging="298"/>
        <w:spacing w:after="0"/>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 granted under and subject to the terms of the Legacy Nautilus 2017 Equity Incentive Plan (the “2017 Plan”).</w:t>
      </w:r>
    </w:p>
    <w:p>
      <w:pPr>
        <w:spacing w:after="0" w:line="32" w:lineRule="exact"/>
        <w:rPr>
          <w:rFonts w:ascii="Times New Roman" w:cs="Times New Roman" w:eastAsia="Times New Roman" w:hAnsi="Times New Roman"/>
          <w:sz w:val="11"/>
          <w:szCs w:val="11"/>
          <w:color w:val="auto"/>
        </w:rPr>
      </w:pPr>
    </w:p>
    <w:p>
      <w:pPr>
        <w:ind w:left="460" w:right="300" w:hanging="298"/>
        <w:spacing w:after="0" w:line="251" w:lineRule="auto"/>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Twenty-five percent of the shares subject to this option vested on January 31, 2022, and one thirty-sixth (1/36th) of the remaining shares subject to this option shall vest each month thereafter, subject to the optionee continuing to be a service provider to Nautilus through each such date.</w:t>
      </w:r>
    </w:p>
    <w:p>
      <w:pPr>
        <w:ind w:left="460" w:hanging="298"/>
        <w:spacing w:after="0"/>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 granted under and subject to the terms of the 2021 Plan.</w:t>
      </w:r>
    </w:p>
    <w:p>
      <w:pPr>
        <w:spacing w:after="0" w:line="32" w:lineRule="exact"/>
        <w:rPr>
          <w:rFonts w:ascii="Times New Roman" w:cs="Times New Roman" w:eastAsia="Times New Roman" w:hAnsi="Times New Roman"/>
          <w:sz w:val="11"/>
          <w:szCs w:val="11"/>
          <w:color w:val="auto"/>
        </w:rPr>
      </w:pPr>
    </w:p>
    <w:p>
      <w:pPr>
        <w:ind w:left="460" w:right="240" w:hanging="298"/>
        <w:spacing w:after="0" w:line="251" w:lineRule="auto"/>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Twenty-five percent of the shares subject to this option vested on February 25, 2023, and one thirty-sixth (1/36th) of the remaining shares subject to this option shall vest each month thereafter, subject to the optionee continuing to be a service provider to Nautilus through each such date.</w:t>
      </w:r>
    </w:p>
    <w:p>
      <w:pPr>
        <w:ind w:left="460" w:right="20" w:hanging="298"/>
        <w:spacing w:after="0" w:line="251" w:lineRule="auto"/>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13/49th of the shares subject to this option vested on December 3, 2021, and one forty-ninth (1/49th) of the shares subject to this option shall vest each month thereafter, subject to the optionee continuing to be a service provider to Nautilus through each such date.</w:t>
      </w:r>
    </w:p>
    <w:p>
      <w:pPr>
        <w:ind w:left="460" w:right="240" w:hanging="298"/>
        <w:spacing w:after="0" w:line="259" w:lineRule="auto"/>
        <w:tabs>
          <w:tab w:leader="none" w:pos="4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Twenty-five percent of the shares subject to this option vested on February 27, 2024, and one thirty-sixth (1/36th) of the remaining shares subject to this option shall vest each month thereafter, subject to the optionee continuing to be a service provider to Nautilus through each such date.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Employment Arrangements with Named Executive Officers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Sujal Patel</w:t>
      </w:r>
    </w:p>
    <w:p>
      <w:pPr>
        <w:spacing w:after="0" w:line="18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have entered into an amended and restated confirmatory employment letter with Mr. Patel, our Chief Executive Officer, effective as of July 31, 2023. The confirmatory employment letter has no specific term and provides that Mr. Patel is an at-will employee. The confirmatory employment letter superseded any prior agreements and understandings that Mr. Patel may have entered into concerning his employment relationship with us. For 2023, Mr. Patel’s annual base salary was $535,000 and he was eligible for a target annual cash bonus opportunity equal to 80% of his annual base salary. On February 13, 2024, our board of directors, upon recommendation of the compensation committee, determined not to adjust Mr. Patel’s base salary for 2024 and approved an increase in Mr. Patel’s cash bonus opportunity for 2024 to 85% of his annual base salary, effective retroactive to January 1, 2024.</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Parag Mallick</w:t>
      </w:r>
    </w:p>
    <w:p>
      <w:pPr>
        <w:spacing w:after="0" w:line="181" w:lineRule="exact"/>
        <w:rPr>
          <w:sz w:val="20"/>
          <w:szCs w:val="20"/>
          <w:color w:val="auto"/>
        </w:rPr>
      </w:pPr>
    </w:p>
    <w:p>
      <w:pPr>
        <w:jc w:val="both"/>
        <w:ind w:right="160" w:firstLine="255"/>
        <w:spacing w:after="0" w:line="264" w:lineRule="auto"/>
        <w:rPr>
          <w:sz w:val="20"/>
          <w:szCs w:val="20"/>
          <w:color w:val="auto"/>
        </w:rPr>
      </w:pPr>
      <w:r>
        <w:rPr>
          <w:rFonts w:ascii="Times New Roman" w:cs="Times New Roman" w:eastAsia="Times New Roman" w:hAnsi="Times New Roman"/>
          <w:sz w:val="14"/>
          <w:szCs w:val="14"/>
          <w:color w:val="auto"/>
        </w:rPr>
        <w:t>We have entered into an amended and restated confirmatory employment letter with Dr. Mallick, our Chief Scientist, effective as of July 31, 2023. The confirmatory employment letter has no specific term and provides that Dr. Mallick is an at-will employee. The confirmatory employment letter superseded any prior agreements and understandings that Dr. Mallick may have entered into concerning his employment relationship with us. For 2023, Dr. Mallick’s annual base salary was $420,000 and he was eligible for a target annual cash bonus opportunity equal to 50% of his annual base salary. 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9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February 13, 2024, our board of directors, upon recommendation of the compensation committee, determined not to adjust Dr. Mallick’s base salary for 2024 and approved an increase in Dr.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Mallick’s target annual cash bonus opportunity for 2024 to 55% of his annual base salary, effective retroactive to January 1, 2024.</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Anna Mowry</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entered into an amended and restated confirmatory employment letter with Ms. Mowry, our Chief Financial Officer, effective as of July 31, 2023. The confirmatory employment letter has no specific term and provides that Ms. Mowry is an at-will employee. The confirmatory employment letter superseded any prior agreements and understandings that Ms. Mowry may have entered into concerning her employment relationship with us. For 2023, Ms. Mowry’s annual base salary was $386,000 and she was eligible for a target annual cash bonus opportunity equal to 45% of her annual base salary. On February 13, 2024, our board of directors, upon recommendation of the compensation committee, approved an increase in Ms. Mowry’s base salary to $400,000, and an increase in Ms. Mowry’s target annual cash bonus opportunity for 2024 to 50% of her annual base salary, both effective retroactive to January 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Based Incentive Awards</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equity-based incentive awards are designed to more closely align the interests of our stockholders with those of our employees and consultants, including our named executive officers. Our board of directors is responsible for approving equity grants to our employees and consultants, including our named executive officers. In 2023, stock option awards were the only form of equity awards we granted to our named executive officers. Following the closing of the Business Combination, we have granted equity incentive awards under the terms of our 2021 Equity Incentive Plan (the “2021 Plan”). Options under the 2021 Plan are granted with a per share exercise price equal to the closing price of a share of the Company’s common stock in trading on the Nasdaq Global Select Market on the date of grant.</w:t>
      </w:r>
    </w:p>
    <w:p>
      <w:pPr>
        <w:spacing w:after="0" w:line="143"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stock option awards generally vest over a four-year period and may be subject to acceleration of vesting and exercisability under certain termination and change in control events. See “— </w:t>
      </w:r>
      <w:r>
        <w:rPr>
          <w:rFonts w:ascii="Times New Roman" w:cs="Times New Roman" w:eastAsia="Times New Roman" w:hAnsi="Times New Roman"/>
          <w:sz w:val="14"/>
          <w:szCs w:val="14"/>
          <w:i w:val="1"/>
          <w:iCs w:val="1"/>
          <w:color w:val="auto"/>
        </w:rPr>
        <w:t>Outstanding Equity Awards at Fiscal Year-End December 31, 2023</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Potential Payments Upon Termination or Change of Control.</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Payments Upon Termination or Change of Control</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92"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Each of our named executive officers holds stock options granted subject to the general terms of the 2017 Plan or the 2021 Plan. Each such equity incentive plan generally provides that, in the event of a change in control (as defined in each such plan), equity awards will be treated as the administrator of such plan determines, provided that, in the event that the successor corporation does not assume or substitute for an equity award (or portion thereof), then the equity award (or portion thereof) not assumed or substituted for will fully vest and become fully exercisable and, with respect to awards subject to performance-based vesting, the performance goals will be deemed achieved at target levels, unless for equity awards granted under the 2021 Plan, such treatment is specifically provided otherwise by written agreement.</w:t>
      </w:r>
    </w:p>
    <w:p>
      <w:pPr>
        <w:spacing w:after="0" w:line="12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Each named executive officer is party to an amended and restated change in control and severance agreement (each, a “CIC Agreement”) entered into with us and Nautilus Subsidiary, Inc. (the “Employer”) in July 2023, which provides for certain severance and change in control benefits.</w:t>
      </w:r>
    </w:p>
    <w:p>
      <w:pPr>
        <w:spacing w:after="0" w:line="92"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Agreements replaced and superseded any prior agreements or arrangements providing such named executive officers with severance or change in control payments and benefits, including replacing and superseding the change in control and severance agreements previously entered into with such named executive officers.</w:t>
      </w:r>
    </w:p>
    <w:p>
      <w:pPr>
        <w:spacing w:after="0" w:line="9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CIC Agreements have an initial term of three years commencing on July 31, 2023. On the three-year anniversary of the effective date of each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931" w:right="319" w:bottom="1440" w:gutter="0" w:footer="0" w:header="0"/>
        </w:sectPr>
      </w:pPr>
    </w:p>
    <w:bookmarkStart w:id="33" w:name="page34"/>
    <w:bookmarkEnd w:id="33"/>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CIC Agreements provide that if, other than during the period beginning three months before a change in control through the one-year anniversary of a change in control, or the CIC Period, either (x) the named executive officer’s employment is terminated without cause (as defined in the CIC Agreement, and excluding by reason of his or her death or disability) or (y) the named executive officer resigns for good reason (as defined in the CIC Agreement), then the named executive officer will receive the following severance payments and benefits:</w:t>
      </w:r>
    </w:p>
    <w:p>
      <w:pPr>
        <w:spacing w:after="0" w:line="104" w:lineRule="exact"/>
        <w:rPr>
          <w:sz w:val="20"/>
          <w:szCs w:val="20"/>
          <w:color w:val="auto"/>
        </w:rPr>
      </w:pPr>
    </w:p>
    <w:p>
      <w:pPr>
        <w:ind w:left="520" w:right="70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cash payment equal to 100% for Mr. Patel, or 50% for Dr. Mallick and Ms. Mowry, of the named executive officer’s base salary as in effect immediately before such termination; and</w:t>
      </w:r>
    </w:p>
    <w:p>
      <w:pPr>
        <w:spacing w:after="0" w:line="103"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us (or our applicable subsidiary) of the employer-paid portion of the premiums required for continued coverage pursuant to COBRA under the Employer’s group health, dental and vision care plans for the named executive officer and his or her eligible dependents for up to twelve months for Mr. Patel, or six months for Dr. Mallick and Ms. Mowry.</w:t>
      </w:r>
    </w:p>
    <w:p>
      <w:pPr>
        <w:spacing w:after="0" w:line="92" w:lineRule="exact"/>
        <w:rPr>
          <w:sz w:val="20"/>
          <w:szCs w:val="20"/>
          <w:color w:val="auto"/>
        </w:rPr>
      </w:pPr>
    </w:p>
    <w:p>
      <w:pPr>
        <w:jc w:val="both"/>
        <w:ind w:right="320" w:firstLine="255"/>
        <w:spacing w:after="0" w:line="287" w:lineRule="auto"/>
        <w:rPr>
          <w:sz w:val="20"/>
          <w:szCs w:val="20"/>
          <w:color w:val="auto"/>
        </w:rPr>
      </w:pPr>
      <w:r>
        <w:rPr>
          <w:rFonts w:ascii="Times New Roman" w:cs="Times New Roman" w:eastAsia="Times New Roman" w:hAnsi="Times New Roman"/>
          <w:sz w:val="14"/>
          <w:szCs w:val="14"/>
          <w:color w:val="auto"/>
        </w:rPr>
        <w:t>If, during the CIC Period, either (x) the named executive officer’s employment is terminated without cause (as defined in the CIC Agreement, and excluding by reason of his or her death or disability) or (y) the named executive officer resigns for good reason (as defined in the CIC Agreement), the named executive officer will receive the following severance payments and benefits:</w:t>
      </w:r>
    </w:p>
    <w:p>
      <w:pPr>
        <w:spacing w:after="0" w:line="92" w:lineRule="exact"/>
        <w:rPr>
          <w:sz w:val="20"/>
          <w:szCs w:val="20"/>
          <w:color w:val="auto"/>
        </w:rPr>
      </w:pPr>
    </w:p>
    <w:p>
      <w:pPr>
        <w:ind w:left="520" w:right="6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cash payment equal to 150% for Mr. Patel, or 100% for Dr. Mallick and Ms. Mowry, of the named executive officer’s base salary as in effect immediately before such termination or if greater, the base salary in effect immediately before the change in control;</w:t>
      </w:r>
    </w:p>
    <w:p>
      <w:pPr>
        <w:spacing w:after="0" w:line="103"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cash payment equal to 150% for Mr. Patel, or 100% for Dr. Mallick and Ms. Mowry, of the named executive officer’s target bonus opportunity as in effect immediately before such termination or if greater, the target bonus opportunity in effect immediately before the change in control;</w:t>
      </w:r>
    </w:p>
    <w:p>
      <w:pPr>
        <w:spacing w:after="0" w:line="92"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by us (or our applicable subsidiary) of the employer-paid premiums required for continued coverage pursuant to COBRA under our (or our applicable subsidiary’s) group health, dental and vision care plans for the named executive officer and his or her eligible dependents for up to eighteen months for Mr. Patel, or twelve months for Dr. Mallick and Ms. Mowry; and</w:t>
      </w:r>
    </w:p>
    <w:p>
      <w:pPr>
        <w:spacing w:after="0" w:line="92" w:lineRule="exact"/>
        <w:rPr>
          <w:rFonts w:ascii="Times New Roman" w:cs="Times New Roman" w:eastAsia="Times New Roman" w:hAnsi="Times New Roman"/>
          <w:sz w:val="14"/>
          <w:szCs w:val="14"/>
          <w:color w:val="auto"/>
        </w:rPr>
      </w:pPr>
    </w:p>
    <w:p>
      <w:pPr>
        <w:ind w:left="520" w:right="30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accelerated vesting and exercisability of the outstanding and unvested equity awards (other than equity awards subject to performance-based vesting criteria) granted to the named executive officer.</w:t>
      </w:r>
    </w:p>
    <w:p>
      <w:pPr>
        <w:spacing w:after="0" w:line="10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Any severance payments and benefits under a CIC Agreement are subject to the named executive officer timely executing and not revoking a separation agreement and release of claims in favor of the Company and any of its subsidiaries (the “Company Group”). 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definitions generally apply for purposes of each CIC Agreement:</w:t>
      </w:r>
    </w:p>
    <w:p>
      <w:pPr>
        <w:spacing w:after="0" w:line="147" w:lineRule="exact"/>
        <w:rPr>
          <w:sz w:val="20"/>
          <w:szCs w:val="20"/>
          <w:color w:val="auto"/>
        </w:rPr>
      </w:pPr>
    </w:p>
    <w:p>
      <w:pPr>
        <w:ind w:left="520" w:hanging="260"/>
        <w:spacing w:after="0" w:line="25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generally means (a) a named executive officer’s failure to substantially perform his or her material duties and obligations as an employee (for reasons other than a named executive officer’s death or disability); (b) a named executive officer’s failure or refusal to comply with the policies, standards and regulations established by the Company Group from time to time; (c) any act of personal dishonesty, moral turpitude, fraud, embezzlement, misrepresentation, or other unlawful act committed by a named executive officer that results in harm to the Company or any other member of the Company Group, or any of their respective affiliates, including financial or reputational; (d) a named executive officer’s violation of a federal or state law or regulation applicable to the business of the Company or any other member of the Company Group, or any of their respective affiliates; (e) a named executive officer being convicted of, or entering a plea of nolo contendere or guilty to, a felony under the laws of the United States or its equivalent in the jurisdiction in which the act that constituted the felony occurred; (f) a named executive officer’s material breach of the terms of his or her applicable CIC Agreement or any other agreement between a named executive officer and any member of the Company Group (or any affiliate of the Company Group); or (g) the Company’s or the Employer’s economic duress or necessity. With respect to clauses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761" w:right="319" w:bottom="1440" w:gutter="0" w:footer="0" w:header="0"/>
        </w:sectPr>
      </w:pPr>
    </w:p>
    <w:bookmarkStart w:id="34" w:name="page35"/>
    <w:bookmarkEnd w:id="34"/>
    <w:p>
      <w:pPr>
        <w:ind w:left="700" w:hanging="186"/>
        <w:spacing w:after="0"/>
        <w:tabs>
          <w:tab w:leader="none" w:pos="7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(b) above only, a named executive officer will have 10 days to cure following written notice of a named executive officer’s failure or refusal to perform or comply.</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generally means the first occurrence of any of the following events on or after the Effective Date:</w:t>
      </w:r>
    </w:p>
    <w:p>
      <w:pPr>
        <w:spacing w:after="0" w:line="157" w:lineRule="exact"/>
        <w:rPr>
          <w:rFonts w:ascii="Times New Roman" w:cs="Times New Roman" w:eastAsia="Times New Roman" w:hAnsi="Times New Roman"/>
          <w:sz w:val="14"/>
          <w:szCs w:val="14"/>
          <w:color w:val="auto"/>
        </w:rPr>
      </w:pPr>
    </w:p>
    <w:p>
      <w:pPr>
        <w:ind w:left="1020" w:right="40" w:hanging="251"/>
        <w:spacing w:after="0" w:line="257" w:lineRule="auto"/>
        <w:tabs>
          <w:tab w:leader="none" w:pos="1017"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the acquisition of additional stock by any one Person, who is considered to own more than 50% of the total voting power of the stock of the Company will not be considered a change in control; provided, further, that any change in the ownership of the stock of the Company as a result of a private financing of the Company that is approved by our board of directors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w:t>
      </w:r>
    </w:p>
    <w:p>
      <w:pPr>
        <w:spacing w:after="0" w:line="116" w:lineRule="exact"/>
        <w:rPr>
          <w:rFonts w:ascii="Times New Roman" w:cs="Times New Roman" w:eastAsia="Times New Roman" w:hAnsi="Times New Roman"/>
          <w:sz w:val="14"/>
          <w:szCs w:val="14"/>
          <w:color w:val="auto"/>
        </w:rPr>
      </w:pPr>
    </w:p>
    <w:p>
      <w:pPr>
        <w:ind w:left="1020" w:hanging="251"/>
        <w:spacing w:after="0" w:line="270" w:lineRule="auto"/>
        <w:tabs>
          <w:tab w:leader="none" w:pos="1017"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has a class of securities registered pursuant to Section 12 of the U.S. Securities Exchange Act of 1934, as amended, a change in the effective control of the Company which occurs on the date that a majority of members of the board of directors is replaced during any 12 month period by directors whose appointment or election is not endorsed by a majority of the members of the board of directors prior to the date of the appointment or election.</w:t>
      </w:r>
    </w:p>
    <w:p>
      <w:pPr>
        <w:spacing w:after="0" w:line="103" w:lineRule="exact"/>
        <w:rPr>
          <w:rFonts w:ascii="Times New Roman" w:cs="Times New Roman" w:eastAsia="Times New Roman" w:hAnsi="Times New Roman"/>
          <w:sz w:val="14"/>
          <w:szCs w:val="14"/>
          <w:color w:val="auto"/>
        </w:rPr>
      </w:pPr>
    </w:p>
    <w:p>
      <w:pPr>
        <w:ind w:left="1020" w:hanging="251"/>
        <w:spacing w:after="0" w:line="257" w:lineRule="auto"/>
        <w:tabs>
          <w:tab w:leader="none" w:pos="1017"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ownership of a substantial portion of the Company’s assets which occurs on the date that any Person acquires (or has acquired during the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the following will not constitute a change in the ownership of a substantial portion of the Company’s assets: (a) a transfer to an entity that is controlled by the Company’s stockholders immediately after the transfer, or (b) a transfer of assets by the Company to: (i) a stockholder of the Company (immediately before the asset transfer) in exchange for or with respect to the Company’s stock, (ii) an entity, 50% or more of the total value or voting power of which is owned, directly or indirectly, by the Company, (iii) a Person, that owns, directly or indirectly, 50% or more of the total value or voting power of all the outstanding stock of the Company, or (iv) an entity, at least 50% of the total value or voting power of which is owned, directly or indirectly, by a Person previously described in this definition.</w:t>
      </w:r>
    </w:p>
    <w:p>
      <w:pPr>
        <w:spacing w:after="0" w:line="12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“disability” generally means total and permanent disability as defined in Section 22(e)(3) of the Internal Revenue Code.</w:t>
      </w:r>
    </w:p>
    <w:p>
      <w:pPr>
        <w:spacing w:after="0" w:line="146" w:lineRule="exact"/>
        <w:rPr>
          <w:rFonts w:ascii="Times New Roman" w:cs="Times New Roman" w:eastAsia="Times New Roman" w:hAnsi="Times New Roman"/>
          <w:sz w:val="14"/>
          <w:szCs w:val="14"/>
          <w:color w:val="auto"/>
        </w:rPr>
      </w:pPr>
    </w:p>
    <w:p>
      <w:pPr>
        <w:ind w:firstLine="260"/>
        <w:spacing w:after="0" w:line="257" w:lineRule="auto"/>
        <w:tabs>
          <w:tab w:leader="none" w:pos="50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“good reason” generally means a named executive officer’s termination of his or her employment with the Company Group within 90 days following the expiration of the Company’s cure period (as defined below) following the occurrence of any of the following without a named executive officer’s written consent: (a) a material reduction in a named executive officer’s responsibilities, provided that neither a mere change in title nor reassignment following a change in control to a position that is substantially similar to the position held prior to the change in control will constitute a material reduction in job responsibilities; (b) relocation of a named executive officer’s principal work location to a principal work location more than 40 miles from a named executive officer’s principal work location immediately before such relocation; or (c) a reduction in a named executive officer then current base salary by at least 10%, provided that an across-the-board reduction in the salary level of all other similarly situated employees by the same percentage amount as part of a general salary level reduction will not constitute such a reduction under this clause (c). In order for an event to qualify as good reason, a named executive officer must not terminate his or her employment without first providing the Company Group with written notice of the acts or omissions constituting the grounds for “good reason” within 90 days following the initial existence of the grounds for “good reason” and a cure period of 30 days following the date of such notice (the “cure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76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Executive Incentive Compensation Plan</w:t>
      </w:r>
    </w:p>
    <w:p>
      <w:pPr>
        <w:spacing w:after="0" w:line="18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On June 9, 2021, we adopted the Incentive Plan. The Incentive Plan is administered by our board of directors or a committee appointed by our board of directors. The Incentive Plan allows us to grant incentive awards, generally payable in cash, to employees selected by the administrator, including our executive officers, based upon any performance goals that may be established by the administrator.</w:t>
      </w:r>
    </w:p>
    <w:p>
      <w:pPr>
        <w:spacing w:after="0" w:line="93"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administrator may determine any such increase, reduction, or elimination on the basis of such factors as it deems relevant, and the administrator is not required to establish any allocation or weighting with respect to the factors it considers. Actual awards generally will be paid in cash (or its equivalent) only after they are earned, and, unless otherwise determined by the administrator, a participant must be employed with us through the date the actual award is paid. The administrator of the Incentive Plan may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03" w:lineRule="exact"/>
        <w:rPr>
          <w:sz w:val="20"/>
          <w:szCs w:val="20"/>
          <w:color w:val="auto"/>
        </w:rPr>
      </w:pPr>
    </w:p>
    <w:p>
      <w:pPr>
        <w:jc w:val="both"/>
        <w:ind w:right="340" w:firstLine="255"/>
        <w:spacing w:after="0" w:line="258" w:lineRule="auto"/>
        <w:rPr>
          <w:sz w:val="20"/>
          <w:szCs w:val="20"/>
          <w:color w:val="auto"/>
        </w:rPr>
      </w:pPr>
      <w:r>
        <w:rPr>
          <w:rFonts w:ascii="Times New Roman" w:cs="Times New Roman" w:eastAsia="Times New Roman" w:hAnsi="Times New Roman"/>
          <w:sz w:val="14"/>
          <w:szCs w:val="14"/>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04"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Compensation Recovery Policy</w:t>
      </w:r>
    </w:p>
    <w:p>
      <w:pPr>
        <w:spacing w:after="0" w:line="138"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have adopted a compensation recovery policy, effective as of October 2, 2023, that complies with the new SEC rules under the Dodd-Frank Wall Street Reform and Consumer Protection Act (the “Clawback Policy”). Subject to the terms of the Clawback Policy, the Clawback Policy requires us to recover certain cash or equity-based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 and Perquisites</w:t>
      </w:r>
    </w:p>
    <w:p>
      <w:pPr>
        <w:spacing w:after="0" w:line="181"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Benefits</w:t>
      </w:r>
    </w:p>
    <w:p>
      <w:pPr>
        <w:spacing w:after="0" w:line="181" w:lineRule="exact"/>
        <w:rPr>
          <w:sz w:val="20"/>
          <w:szCs w:val="20"/>
          <w:color w:val="auto"/>
        </w:rPr>
      </w:pPr>
    </w:p>
    <w:p>
      <w:pPr>
        <w:ind w:right="420" w:firstLine="255"/>
        <w:spacing w:after="0" w:line="264" w:lineRule="auto"/>
        <w:rPr>
          <w:sz w:val="20"/>
          <w:szCs w:val="20"/>
          <w:color w:val="auto"/>
        </w:rPr>
      </w:pPr>
      <w:r>
        <w:rPr>
          <w:rFonts w:ascii="Times New Roman" w:cs="Times New Roman" w:eastAsia="Times New Roman" w:hAnsi="Times New Roman"/>
          <w:sz w:val="14"/>
          <w:szCs w:val="14"/>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and the applicable limits under the 401(k) plan, on a pre-tax or after-tax (Roth) basis, through contributions to the 401(k) plan. All of a participant’s contributions into the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60"/>
          </w:cols>
          <w:pgMar w:left="300" w:top="919" w:right="339" w:bottom="1440" w:gutter="0" w:footer="0" w:header="0"/>
        </w:sectPr>
      </w:pPr>
    </w:p>
    <w:bookmarkStart w:id="36" w:name="page37"/>
    <w:bookmarkEnd w:id="36"/>
    <w:p>
      <w:pPr>
        <w:ind w:right="60"/>
        <w:spacing w:after="0" w:line="264" w:lineRule="auto"/>
        <w:rPr>
          <w:sz w:val="20"/>
          <w:szCs w:val="20"/>
          <w:color w:val="auto"/>
        </w:rPr>
      </w:pPr>
      <w:r>
        <w:rPr>
          <w:rFonts w:ascii="Times New Roman" w:cs="Times New Roman" w:eastAsia="Times New Roman" w:hAnsi="Times New Roman"/>
          <w:sz w:val="14"/>
          <w:szCs w:val="14"/>
          <w:color w:val="auto"/>
        </w:rPr>
        <w:t>401(k) plan are 100% vested when contributed. The 401(k) plan is intended to qualify under Sections 401(a) and 501(a) of the Internal Revenue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Legacy Nautilus 2017 Equity Incentive Plan</w:t>
      </w:r>
    </w:p>
    <w:p>
      <w:pPr>
        <w:spacing w:after="0" w:line="138"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2023, stock options covering 5,678,766 shares of Common Stock were outstanding under the 2017 Plan.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Purposes of the 2017 Plan</w:t>
      </w:r>
    </w:p>
    <w:p>
      <w:pPr>
        <w:spacing w:after="0" w:line="138"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80" w:lineRule="exact"/>
        <w:rPr>
          <w:sz w:val="20"/>
          <w:szCs w:val="20"/>
          <w:color w:val="auto"/>
        </w:rPr>
      </w:pPr>
    </w:p>
    <w:p>
      <w:pPr>
        <w:ind w:right="18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The 2017 Plan provided for the grant of incentive stock options, within the meaning of Section 422 of the Code, to Legacy Nautilus’ employees and any of its parent and subsidiary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91" w:lineRule="exact"/>
        <w:rPr>
          <w:sz w:val="20"/>
          <w:szCs w:val="20"/>
          <w:color w:val="auto"/>
        </w:rPr>
      </w:pPr>
    </w:p>
    <w:p>
      <w:pPr>
        <w:ind w:right="8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Plan Administration</w:t>
      </w:r>
      <w:r>
        <w:rPr>
          <w:rFonts w:ascii="Times New Roman" w:cs="Times New Roman" w:eastAsia="Times New Roman" w:hAnsi="Times New Roman"/>
          <w:sz w:val="14"/>
          <w:szCs w:val="14"/>
          <w:color w:val="auto"/>
        </w:rPr>
        <w:t>. The 2017 Plan is administered by our board of directors or one or more of its committees. Different committees may administer the 2017 Plan with respect to different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93"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04"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Stock options have been granted under the 2017 Plan. The exercise price of options granted under the 2017 Plan generally must be equal to at least 100% of the fair market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share of our Common Stock on the date of grant. The term of an option may not exceed ten years. With respect to any participant who 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60"/>
          </w:cols>
          <w:pgMar w:left="300" w:top="931" w:right="339" w:bottom="1440" w:gutter="0" w:footer="0" w:header="0"/>
        </w:sectPr>
      </w:pPr>
    </w:p>
    <w:bookmarkStart w:id="37" w:name="page38"/>
    <w:bookmarkEnd w:id="37"/>
    <w:p>
      <w:pPr>
        <w:ind w:right="100"/>
        <w:spacing w:after="0" w:line="270" w:lineRule="auto"/>
        <w:rPr>
          <w:sz w:val="20"/>
          <w:szCs w:val="20"/>
          <w:color w:val="auto"/>
        </w:rPr>
      </w:pPr>
      <w:r>
        <w:rPr>
          <w:rFonts w:ascii="Times New Roman" w:cs="Times New Roman" w:eastAsia="Times New Roman" w:hAnsi="Times New Roman"/>
          <w:sz w:val="14"/>
          <w:szCs w:val="14"/>
          <w:color w:val="auto"/>
        </w:rPr>
        <w:t>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91"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Non-Transferability of Awards</w:t>
      </w:r>
      <w:r>
        <w:rPr>
          <w:rFonts w:ascii="Times New Roman" w:cs="Times New Roman" w:eastAsia="Times New Roman" w:hAnsi="Times New Roman"/>
          <w:sz w:val="14"/>
          <w:szCs w:val="14"/>
          <w:color w:val="auto"/>
        </w:rPr>
        <w:t>. Unless the administrator provides otherwise, the 2017 Plan generally will not allow for the transfer of awards other than by will or the laws of descent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91"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Certain Adjustments</w:t>
      </w:r>
      <w:r>
        <w:rPr>
          <w:rFonts w:ascii="Times New Roman" w:cs="Times New Roman" w:eastAsia="Times New Roman" w:hAnsi="Times New Roman"/>
          <w:sz w:val="14"/>
          <w:szCs w:val="14"/>
          <w:color w:val="auto"/>
        </w:rPr>
        <w:t>. If any dividend or other distribution (whether in cash, shares, other securities, or other property), recapitalization, stock split, reverse stock split, reorganization,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99" w:lineRule="exact"/>
        <w:rPr>
          <w:sz w:val="20"/>
          <w:szCs w:val="20"/>
          <w:color w:val="auto"/>
        </w:rPr>
      </w:pPr>
    </w:p>
    <w:p>
      <w:pPr>
        <w:ind w:right="1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Dissolution or Liquidation</w:t>
      </w:r>
      <w:r>
        <w:rPr>
          <w:rFonts w:ascii="Times New Roman" w:cs="Times New Roman" w:eastAsia="Times New Roman" w:hAnsi="Times New Roman"/>
          <w:sz w:val="14"/>
          <w:szCs w:val="14"/>
          <w:color w:val="auto"/>
        </w:rPr>
        <w:t>. If there is a proposed liquidation or dissolution of our Company, the administrator will notify participants at such time before the effective date of such event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administrator determines and all awards, to the extent that they have not been previously exercised, will terminate immediately before the consummation of such event.</w:t>
      </w:r>
    </w:p>
    <w:p>
      <w:pPr>
        <w:spacing w:after="0" w:line="78" w:lineRule="exact"/>
        <w:rPr>
          <w:sz w:val="20"/>
          <w:szCs w:val="20"/>
          <w:color w:val="auto"/>
        </w:rPr>
      </w:pPr>
    </w:p>
    <w:p>
      <w:pPr>
        <w:ind w:right="1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Merger or Change or Control</w:t>
      </w:r>
      <w:r>
        <w:rPr>
          <w:rFonts w:ascii="Times New Roman" w:cs="Times New Roman" w:eastAsia="Times New Roman" w:hAnsi="Times New Roman"/>
          <w:sz w:val="14"/>
          <w:szCs w:val="14"/>
          <w:color w:val="auto"/>
        </w:rPr>
        <w:t>. The 2017 Plan provides that in the event of our merger or change in control, as defined in the 2017 Plan, each outstanding award will be treated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99"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01" w:lineRule="exact"/>
        <w:rPr>
          <w:sz w:val="20"/>
          <w:szCs w:val="20"/>
          <w:color w:val="auto"/>
        </w:rPr>
      </w:pPr>
    </w:p>
    <w:p>
      <w:pPr>
        <w:ind w:right="1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Amendment and Termination</w:t>
      </w:r>
      <w:r>
        <w:rPr>
          <w:rFonts w:ascii="Times New Roman" w:cs="Times New Roman" w:eastAsia="Times New Roman" w:hAnsi="Times New Roman"/>
          <w:sz w:val="14"/>
          <w:szCs w:val="14"/>
          <w:color w:val="auto"/>
        </w:rPr>
        <w:t>. As noted above, as of the day immediately prior to the closing of the Business Combination, the 2017 Plan terminated and we will not grant any additional awards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2017 Plan.</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2021 Equity Incentive Plan</w:t>
      </w:r>
    </w:p>
    <w:p>
      <w:pPr>
        <w:spacing w:after="0" w:line="13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2023, stock options covering 8,997,569 shares of Common Stock were outstanding under the 2021 Plan.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Purposes of the 2021 Plan</w:t>
      </w:r>
    </w:p>
    <w:p>
      <w:pPr>
        <w:spacing w:after="0" w:line="138"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purposes of the 2021 Plan are to attract and retain personnel for positions with us or any parent or subsidiary of ours; to provide additional incentive to employees, directors, and consultants; and to promote the success of our business.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60"/>
          </w:cols>
          <w:pgMar w:left="300" w:top="761" w:right="339" w:bottom="1440" w:gutter="0" w:footer="0" w:header="0"/>
        </w:sectPr>
      </w:pPr>
    </w:p>
    <w:bookmarkStart w:id="38" w:name="page39"/>
    <w:bookmarkEnd w:id="38"/>
    <w:p>
      <w:pPr>
        <w:ind w:right="120"/>
        <w:spacing w:after="0" w:line="287" w:lineRule="auto"/>
        <w:rPr>
          <w:sz w:val="20"/>
          <w:szCs w:val="20"/>
          <w:color w:val="auto"/>
        </w:rPr>
      </w:pPr>
      <w:r>
        <w:rPr>
          <w:rFonts w:ascii="Times New Roman" w:cs="Times New Roman" w:eastAsia="Times New Roman" w:hAnsi="Times New Roman"/>
          <w:sz w:val="14"/>
          <w:szCs w:val="14"/>
          <w:color w:val="auto"/>
        </w:rPr>
        <w:t>These incentives are provided through the grant of stock options, stock appreciation rights, restricted stock, restricted stock units, and performance awards as the administrator of the 2021 Plan may determine.</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Eligibility</w:t>
      </w:r>
    </w:p>
    <w:p>
      <w:pPr>
        <w:spacing w:after="0" w:line="138"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Shares</w:t>
      </w:r>
    </w:p>
    <w:p>
      <w:pPr>
        <w:spacing w:after="0" w:line="138"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03" w:lineRule="exact"/>
        <w:rPr>
          <w:sz w:val="20"/>
          <w:szCs w:val="20"/>
          <w:color w:val="auto"/>
        </w:rPr>
      </w:pPr>
    </w:p>
    <w:p>
      <w:pPr>
        <w:ind w:left="1020" w:hanging="251"/>
        <w:spacing w:after="0"/>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18,672,200 shares of our Common Stock;</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shares equal to 5% of the outstanding shares of our Common Stock as of the last day of the immediately preceding fiscal year; or</w:t>
      </w:r>
    </w:p>
    <w:p>
      <w:pPr>
        <w:spacing w:after="0" w:line="136" w:lineRule="exact"/>
        <w:rPr>
          <w:rFonts w:ascii="Times New Roman" w:cs="Times New Roman" w:eastAsia="Times New Roman" w:hAnsi="Times New Roman"/>
          <w:sz w:val="14"/>
          <w:szCs w:val="14"/>
          <w:color w:val="auto"/>
        </w:rPr>
      </w:pPr>
    </w:p>
    <w:p>
      <w:pPr>
        <w:ind w:left="260" w:right="1800"/>
        <w:spacing w:after="0" w:line="442" w:lineRule="auto"/>
        <w:tabs>
          <w:tab w:leader="none" w:pos="51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number of shares as our board of directors or its designated committee may determine no later than the last day of our immediately preceding fiscal year. On January 1, 2024, the number of shares available under the 2021 Plan increased by 6,253,430 shares pursuant to this feature.</w:t>
      </w:r>
    </w:p>
    <w:p>
      <w:pPr>
        <w:spacing w:after="0" w:line="1"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0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60"/>
          </w:cols>
          <w:pgMar w:left="300" w:top="761" w:right="33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Plan Administration</w:t>
      </w:r>
    </w:p>
    <w:p>
      <w:pPr>
        <w:spacing w:after="0" w:line="13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38"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Appreciation Rights</w:t>
      </w:r>
    </w:p>
    <w:p>
      <w:pPr>
        <w:spacing w:after="0" w:line="138"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w:t>
      </w:r>
    </w:p>
    <w:p>
      <w:pPr>
        <w:spacing w:after="0" w:line="138"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759" w:right="319" w:bottom="1440" w:gutter="0" w:footer="0" w:header="0"/>
        </w:sectPr>
      </w:pPr>
    </w:p>
    <w:bookmarkStart w:id="40" w:name="page41"/>
    <w:bookmarkEnd w:id="40"/>
    <w:p>
      <w:pPr>
        <w:ind w:right="100"/>
        <w:spacing w:after="0" w:line="261" w:lineRule="auto"/>
        <w:rPr>
          <w:sz w:val="20"/>
          <w:szCs w:val="20"/>
          <w:color w:val="auto"/>
        </w:rPr>
      </w:pPr>
      <w:r>
        <w:rPr>
          <w:rFonts w:ascii="Times New Roman" w:cs="Times New Roman" w:eastAsia="Times New Roman" w:hAnsi="Times New Roman"/>
          <w:sz w:val="14"/>
          <w:szCs w:val="14"/>
          <w:color w:val="auto"/>
        </w:rPr>
        <w:t>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38"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 Awards</w:t>
      </w:r>
    </w:p>
    <w:p>
      <w:pPr>
        <w:spacing w:after="0" w:line="138"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38"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Non-Transferability of Awards</w:t>
      </w:r>
    </w:p>
    <w:p>
      <w:pPr>
        <w:spacing w:after="0" w:line="138"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Dissolution or Liquidation</w:t>
      </w:r>
    </w:p>
    <w:p>
      <w:pPr>
        <w:spacing w:after="0" w:line="138"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40"/>
          </w:cols>
          <w:pgMar w:left="300" w:top="761" w:right="35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Merger or Change in Control</w:t>
      </w:r>
    </w:p>
    <w:p>
      <w:pPr>
        <w:spacing w:after="0" w:line="138"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0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04"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non-employee director.</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Forfeiture and Clawback</w:t>
      </w:r>
    </w:p>
    <w:p>
      <w:pPr>
        <w:spacing w:after="0" w:line="138"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Amendment or Termination</w:t>
      </w:r>
    </w:p>
    <w:p>
      <w:pPr>
        <w:spacing w:after="0" w:line="138"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2021 Employee Stock Purchase Plan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 principal features of our 2021 Employee Stock Purchase Plan (the “ESPP”) and its operation.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Purpose</w:t>
      </w:r>
    </w:p>
    <w:p>
      <w:pPr>
        <w:spacing w:after="0" w:line="13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60"/>
          </w:cols>
          <w:pgMar w:left="300" w:top="759"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Shares Available for Issuance</w:t>
      </w:r>
    </w:p>
    <w:p>
      <w:pPr>
        <w:spacing w:after="0" w:line="138"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2024, the number of shares available under the ESPP increased by 1,250,686 shares pursuant to this feature.</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Administration</w:t>
      </w:r>
    </w:p>
    <w:p>
      <w:pPr>
        <w:spacing w:after="0" w:line="138"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Eligibility</w:t>
      </w:r>
    </w:p>
    <w:p>
      <w:pPr>
        <w:spacing w:after="0" w:line="13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w:t>
      </w:r>
    </w:p>
    <w:p>
      <w:pPr>
        <w:spacing w:after="0" w:line="1" w:lineRule="exact"/>
        <w:rPr>
          <w:sz w:val="20"/>
          <w:szCs w:val="20"/>
          <w:color w:val="auto"/>
        </w:rPr>
      </w:pPr>
    </w:p>
    <w:p>
      <w:pPr>
        <w:ind w:firstLine="5"/>
        <w:spacing w:after="0" w:line="256" w:lineRule="auto"/>
        <w:tabs>
          <w:tab w:leader="none" w:pos="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Participants may end their participation at any time during an offering period and will be paid their accrued contributions that have not yet been used to purchase shares of our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Participation ends automatically upon termination of employment with us (or our participating subsidiaries).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Offering Periods and Purchase Periods</w:t>
      </w:r>
    </w:p>
    <w:p>
      <w:pPr>
        <w:spacing w:after="0" w:line="138"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82"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60"/>
          </w:cols>
          <w:pgMar w:left="300" w:top="759" w:right="339" w:bottom="1440" w:gutter="0" w:footer="0" w:header="0"/>
        </w:sectPr>
      </w:pPr>
    </w:p>
    <w:bookmarkStart w:id="43" w:name="page44"/>
    <w:bookmarkEnd w:id="43"/>
    <w:p>
      <w:pPr>
        <w:ind w:right="420"/>
        <w:spacing w:after="0" w:line="287" w:lineRule="auto"/>
        <w:rPr>
          <w:sz w:val="20"/>
          <w:szCs w:val="20"/>
          <w:color w:val="auto"/>
        </w:rPr>
      </w:pPr>
      <w:r>
        <w:rPr>
          <w:rFonts w:ascii="Times New Roman" w:cs="Times New Roman" w:eastAsia="Times New Roman" w:hAnsi="Times New Roman"/>
          <w:sz w:val="14"/>
          <w:szCs w:val="14"/>
          <w:color w:val="auto"/>
        </w:rPr>
        <w:t>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Contributions</w:t>
      </w:r>
    </w:p>
    <w:p>
      <w:pPr>
        <w:spacing w:after="0" w:line="138"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Exercise of Purchase Right</w:t>
      </w:r>
    </w:p>
    <w:p>
      <w:pPr>
        <w:spacing w:after="0" w:line="13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Termination of Participation</w:t>
      </w:r>
    </w:p>
    <w:p>
      <w:pPr>
        <w:spacing w:after="0" w:line="138"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Non-Transferability</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participant will not be permitted to transfer the contributions credited to his or her ESPP account or rights granted under the ESPP, other than by will or the laws of descent and distribution.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Certain Adjustments</w:t>
      </w:r>
    </w:p>
    <w:p>
      <w:pPr>
        <w:spacing w:after="0" w:line="138"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4"/>
          <w:szCs w:val="14"/>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Dissolution or Liquidation</w:t>
      </w:r>
    </w:p>
    <w:p>
      <w:pPr>
        <w:spacing w:after="0" w:line="138"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Merger or Change in Control</w:t>
      </w:r>
    </w:p>
    <w:p>
      <w:pPr>
        <w:spacing w:after="0" w:line="138"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20"/>
          </w:cols>
          <w:pgMar w:left="300" w:top="76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Amendment; Termination</w:t>
      </w:r>
    </w:p>
    <w:p>
      <w:pPr>
        <w:spacing w:after="0" w:line="138"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administrator will have the authority to modify, amend, suspend or terminate the ESPP except that, subject to certain exceptions described in the ESPP, no such action may adversely affect any outstanding rights to purchase shares of our Common Stock under the ESPP. The ESPP will terminate automatically on June 9, 2041, unless we terminate it earlier.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as of December 31, 2023 with respect to shares of our common stock that may be issued under our existing equity compensation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 Number of Securities</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 Number of</w:t>
            </w: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 Available for</w:t>
            </w:r>
          </w:p>
        </w:tc>
      </w:tr>
      <w:tr>
        <w:trPr>
          <w:trHeight w:val="127"/>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to be</w:t>
            </w:r>
          </w:p>
        </w:tc>
        <w:tc>
          <w:tcPr>
            <w:tcW w:w="80" w:type="dxa"/>
            <w:vAlign w:val="bottom"/>
          </w:tcPr>
          <w:p>
            <w:pPr>
              <w:spacing w:after="0"/>
              <w:rPr>
                <w:sz w:val="11"/>
                <w:szCs w:val="11"/>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(b) Weighted-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Future Issuance Under</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Issued Upon Exercise</w:t>
            </w:r>
          </w:p>
        </w:tc>
        <w:tc>
          <w:tcPr>
            <w:tcW w:w="80" w:type="dxa"/>
            <w:vAlign w:val="bottom"/>
          </w:tcPr>
          <w:p>
            <w:pPr>
              <w:spacing w:after="0"/>
              <w:rPr>
                <w:sz w:val="11"/>
                <w:szCs w:val="11"/>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Compensation</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 Outstanding</w:t>
            </w:r>
          </w:p>
        </w:tc>
        <w:tc>
          <w:tcPr>
            <w:tcW w:w="80" w:type="dxa"/>
            <w:vAlign w:val="bottom"/>
          </w:tcPr>
          <w:p>
            <w:pPr>
              <w:spacing w:after="0"/>
              <w:rPr>
                <w:sz w:val="11"/>
                <w:szCs w:val="11"/>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Price of Outstanding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Plans (Excluding</w:t>
            </w:r>
          </w:p>
        </w:tc>
      </w:tr>
      <w:tr>
        <w:trPr>
          <w:trHeight w:val="138"/>
        </w:trPr>
        <w:tc>
          <w:tcPr>
            <w:tcW w:w="5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Warrants</w:t>
            </w:r>
          </w:p>
        </w:tc>
        <w:tc>
          <w:tcPr>
            <w:tcW w:w="80" w:type="dxa"/>
            <w:vAlign w:val="bottom"/>
          </w:tcPr>
          <w:p>
            <w:pPr>
              <w:spacing w:after="0"/>
              <w:rPr>
                <w:sz w:val="11"/>
                <w:szCs w:val="11"/>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Options, Warrants</w:t>
            </w:r>
          </w:p>
        </w:tc>
        <w:tc>
          <w:tcPr>
            <w:tcW w:w="2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 Reflected in</w:t>
            </w:r>
          </w:p>
        </w:tc>
      </w:tr>
      <w:tr>
        <w:trPr>
          <w:trHeight w:val="16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and Rights</w:t>
            </w:r>
          </w:p>
        </w:tc>
        <w:tc>
          <w:tcPr>
            <w:tcW w:w="8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and Rights</w:t>
            </w:r>
          </w:p>
        </w:tc>
        <w:tc>
          <w:tcPr>
            <w:tcW w:w="8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Column (a))</w:t>
            </w:r>
          </w:p>
        </w:tc>
      </w:tr>
      <w:tr>
        <w:trPr>
          <w:trHeight w:val="192"/>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r>
      <w:tr>
        <w:trPr>
          <w:trHeight w:val="180"/>
        </w:trPr>
        <w:tc>
          <w:tcPr>
            <w:tcW w:w="542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4"/>
                <w:szCs w:val="14"/>
                <w:i w:val="1"/>
                <w:iCs w:val="1"/>
                <w:color w:val="auto"/>
              </w:rPr>
              <w:t xml:space="preserve">2017 Plan </w:t>
            </w:r>
            <w:r>
              <w:rPr>
                <w:rFonts w:ascii="Times New Roman" w:cs="Times New Roman" w:eastAsia="Times New Roman" w:hAnsi="Times New Roman"/>
                <w:sz w:val="18"/>
                <w:szCs w:val="18"/>
                <w:i w:val="1"/>
                <w:iCs w:val="1"/>
                <w:color w:val="auto"/>
                <w:vertAlign w:val="superscript"/>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5,678,766</w:t>
            </w:r>
          </w:p>
        </w:tc>
        <w:tc>
          <w:tcPr>
            <w:tcW w:w="19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80"/>
        </w:trPr>
        <w:tc>
          <w:tcPr>
            <w:tcW w:w="5420" w:type="dxa"/>
            <w:vAlign w:val="bottom"/>
            <w:gridSpan w:val="2"/>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i w:val="1"/>
                <w:iCs w:val="1"/>
                <w:color w:val="auto"/>
              </w:rPr>
              <w:t xml:space="preserve">2021 Plan </w:t>
            </w:r>
            <w:r>
              <w:rPr>
                <w:rFonts w:ascii="Times New Roman" w:cs="Times New Roman" w:eastAsia="Times New Roman" w:hAnsi="Times New Roman"/>
                <w:sz w:val="18"/>
                <w:szCs w:val="18"/>
                <w:i w:val="1"/>
                <w:iCs w:val="1"/>
                <w:color w:val="auto"/>
                <w:vertAlign w:val="superscript"/>
              </w:rPr>
              <w:t>(2)</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8,997,569</w:t>
            </w:r>
          </w:p>
        </w:tc>
        <w:tc>
          <w:tcPr>
            <w:tcW w:w="192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20,279,560</w:t>
            </w:r>
          </w:p>
        </w:tc>
      </w:tr>
      <w:tr>
        <w:trPr>
          <w:trHeight w:val="180"/>
        </w:trPr>
        <w:tc>
          <w:tcPr>
            <w:tcW w:w="542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4"/>
                <w:szCs w:val="14"/>
                <w:i w:val="1"/>
                <w:iCs w:val="1"/>
                <w:color w:val="auto"/>
              </w:rPr>
              <w:t xml:space="preserve">ESPP </w:t>
            </w:r>
            <w:r>
              <w:rPr>
                <w:rFonts w:ascii="Times New Roman" w:cs="Times New Roman" w:eastAsia="Times New Roman" w:hAnsi="Times New Roman"/>
                <w:sz w:val="18"/>
                <w:szCs w:val="18"/>
                <w:i w:val="1"/>
                <w:iCs w:val="1"/>
                <w:color w:val="auto"/>
                <w:vertAlign w:val="superscript"/>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3,505,138</w:t>
            </w:r>
          </w:p>
        </w:tc>
      </w:tr>
      <w:tr>
        <w:trPr>
          <w:trHeight w:val="18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14,676,335</w:t>
            </w:r>
          </w:p>
        </w:tc>
        <w:tc>
          <w:tcPr>
            <w:tcW w:w="19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23,784,698</w:t>
            </w:r>
          </w:p>
        </w:tc>
      </w:tr>
      <w:tr>
        <w:trPr>
          <w:trHeight w:val="200"/>
        </w:trPr>
        <w:tc>
          <w:tcPr>
            <w:tcW w:w="53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w:t>
            </w: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r>
    </w:tbl>
    <w:p>
      <w:pPr>
        <w:spacing w:after="0" w:line="12" w:lineRule="exact"/>
        <w:rPr>
          <w:sz w:val="20"/>
          <w:szCs w:val="20"/>
          <w:color w:val="auto"/>
        </w:rPr>
      </w:pPr>
    </w:p>
    <w:p>
      <w:pPr>
        <w:jc w:val="both"/>
        <w:ind w:left="480" w:right="460" w:hanging="313"/>
        <w:spacing w:after="0"/>
        <w:tabs>
          <w:tab w:leader="none" w:pos="4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Legacy Nautilus board of directors adopted, and Legacy Nautilus stockholders approved, the 2017 Plan.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2" w:lineRule="exact"/>
        <w:rPr>
          <w:rFonts w:ascii="Times New Roman" w:cs="Times New Roman" w:eastAsia="Times New Roman" w:hAnsi="Times New Roman"/>
          <w:sz w:val="11"/>
          <w:szCs w:val="11"/>
          <w:color w:val="auto"/>
        </w:rPr>
      </w:pPr>
    </w:p>
    <w:p>
      <w:pPr>
        <w:ind w:left="480" w:right="140" w:hanging="313"/>
        <w:spacing w:after="0" w:line="227" w:lineRule="auto"/>
        <w:tabs>
          <w:tab w:leader="none" w:pos="4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board of directors adopted, and our stockholders approved, the 2021 Plan. The 2021 Plan provides that the number of shares available for issuance under the 2021 Plan will be increased on the first day of each fiscal year beginning with the 2022 fiscal year, in an amount equal to the least of (i) 18,672,000 shares, (ii) five percent (5%) of the outstanding shares of common stock on the last day of the immediately preceding fiscal year or (iii) such other amount as our board of directors may determine. On January 1, 2024, the number of shares available under the 2021 Plan increased by 6,253,430 shares pursuant to this feature.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provision is 7,500,000 shares).</w:t>
      </w:r>
    </w:p>
    <w:p>
      <w:pPr>
        <w:spacing w:after="0" w:line="3" w:lineRule="exact"/>
        <w:rPr>
          <w:rFonts w:ascii="Times New Roman" w:cs="Times New Roman" w:eastAsia="Times New Roman" w:hAnsi="Times New Roman"/>
          <w:sz w:val="11"/>
          <w:szCs w:val="11"/>
          <w:color w:val="auto"/>
        </w:rPr>
      </w:pPr>
    </w:p>
    <w:p>
      <w:pPr>
        <w:ind w:left="480" w:right="20" w:hanging="313"/>
        <w:spacing w:after="0"/>
        <w:tabs>
          <w:tab w:leader="none" w:pos="48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board of directors adopted, and our shareholders approved, the ESPP. The ESPP provides that the number of shares available for issuance under the ESPP will be increased on the first day of each fiscal year beginning with the 2022 fiscal year, in an amount equal to the least of (i) 3,734,500 shares, (ii) one percent (1%) of the outstanding shares of common stock on the last day of the immediately preceding fiscal year or (iii) such other amount as the administrator may determine. On January 1, 2024, the number of shares available under the ESPP increased by 1,250,686 shares pursuant to this feature.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80"/>
          </w:cols>
          <w:pgMar w:left="300" w:top="761" w:right="319" w:bottom="1440" w:gutter="0" w:footer="0" w:header="0"/>
        </w:sectPr>
      </w:pPr>
    </w:p>
    <w:bookmarkStart w:id="45" w:name="page46"/>
    <w:bookmarkEnd w:id="45"/>
    <w:p>
      <w:pPr>
        <w:ind w:left="286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information regarding the beneficial ownership of Common Stock as of April 16, 2024 by:</w:t>
      </w:r>
    </w:p>
    <w:p>
      <w:pPr>
        <w:spacing w:after="0" w:line="179"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by us to be the beneficial owner of more than 5% of our outstanding Common Stock;</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our directors;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7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April 16, 2024. Shares subject to options that are currently exercisable or exercisable within 60 days of April 16, 2024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New Nautilus is 2701 Eastlake Avenue East, Seattle, WA 98102. The percentage of beneficial ownership of New Nautilus is calculated based on 125,265,015 shares of Common Stock outstanding as of April 16, 2024.</w:t>
      </w:r>
    </w:p>
    <w:p>
      <w:pPr>
        <w:spacing w:after="0" w:line="187" w:lineRule="exact"/>
        <w:rPr>
          <w:sz w:val="20"/>
          <w:szCs w:val="20"/>
          <w:color w:val="auto"/>
        </w:rPr>
      </w:pPr>
    </w:p>
    <w:p>
      <w:pPr>
        <w:ind w:left="20"/>
        <w:spacing w:after="0"/>
        <w:tabs>
          <w:tab w:leader="none" w:pos="8520" w:val="left"/>
          <w:tab w:leader="none" w:pos="10460" w:val="left"/>
        </w:tabs>
        <w:rPr>
          <w:sz w:val="20"/>
          <w:szCs w:val="20"/>
          <w:color w:val="auto"/>
        </w:rPr>
      </w:pPr>
      <w:r>
        <w:rPr>
          <w:rFonts w:ascii="Times New Roman" w:cs="Times New Roman" w:eastAsia="Times New Roman" w:hAnsi="Times New Roman"/>
          <w:sz w:val="11"/>
          <w:szCs w:val="11"/>
          <w:b w:val="1"/>
          <w:bCs w:val="1"/>
          <w:color w:val="auto"/>
        </w:rPr>
        <w:t>Name and Address of Beneficial Owners</w:t>
      </w:r>
      <w:r>
        <w:rPr>
          <w:sz w:val="20"/>
          <w:szCs w:val="20"/>
          <w:color w:val="auto"/>
        </w:rPr>
        <w:tab/>
      </w:r>
      <w:r>
        <w:rPr>
          <w:rFonts w:ascii="Times New Roman" w:cs="Times New Roman" w:eastAsia="Times New Roman" w:hAnsi="Times New Roman"/>
          <w:sz w:val="11"/>
          <w:szCs w:val="11"/>
          <w:b w:val="1"/>
          <w:bCs w:val="1"/>
          <w:color w:val="auto"/>
        </w:rPr>
        <w:t>Number of Shares</w:t>
      </w:r>
      <w:r>
        <w:rPr>
          <w:sz w:val="20"/>
          <w:szCs w:val="20"/>
          <w:color w:val="auto"/>
        </w:rPr>
        <w:tab/>
      </w: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61530"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Sujal Patel</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Parag Mallick</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Anna Mowry</w:t>
      </w:r>
      <w:r>
        <w:rPr>
          <w:rFonts w:ascii="Times New Roman" w:cs="Times New Roman" w:eastAsia="Times New Roman" w:hAnsi="Times New Roman"/>
          <w:sz w:val="18"/>
          <w:szCs w:val="18"/>
          <w:color w:val="auto"/>
          <w:vertAlign w:val="superscript"/>
        </w:rPr>
        <w:t>(3)</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Melissa Epperly</w:t>
      </w:r>
      <w:r>
        <w:rPr>
          <w:rFonts w:ascii="Times New Roman" w:cs="Times New Roman" w:eastAsia="Times New Roman" w:hAnsi="Times New Roman"/>
          <w:sz w:val="18"/>
          <w:szCs w:val="18"/>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Matthew McIlwain</w:t>
      </w:r>
      <w:r>
        <w:rPr>
          <w:rFonts w:ascii="Times New Roman" w:cs="Times New Roman" w:eastAsia="Times New Roman" w:hAnsi="Times New Roman"/>
          <w:sz w:val="18"/>
          <w:szCs w:val="18"/>
          <w:color w:val="auto"/>
          <w:vertAlign w:val="superscript"/>
        </w:rPr>
        <w:t>(5)</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Farzad Nazem</w:t>
      </w:r>
      <w:r>
        <w:rPr>
          <w:rFonts w:ascii="Times New Roman" w:cs="Times New Roman" w:eastAsia="Times New Roman" w:hAnsi="Times New Roman"/>
          <w:sz w:val="18"/>
          <w:szCs w:val="1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Vijay Pande</w:t>
      </w:r>
      <w:r>
        <w:rPr>
          <w:rFonts w:ascii="Times New Roman" w:cs="Times New Roman" w:eastAsia="Times New Roman" w:hAnsi="Times New Roman"/>
          <w:sz w:val="18"/>
          <w:szCs w:val="18"/>
          <w:color w:val="auto"/>
          <w:vertAlign w:val="superscript"/>
        </w:rPr>
        <w:t>(7)</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Matthew L. Posard</w:t>
      </w:r>
      <w:r>
        <w:rPr>
          <w:rFonts w:ascii="Times New Roman" w:cs="Times New Roman" w:eastAsia="Times New Roman" w:hAnsi="Times New Roman"/>
          <w:sz w:val="18"/>
          <w:szCs w:val="18"/>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Michael Altman</w:t>
      </w:r>
      <w:r>
        <w:rPr>
          <w:rFonts w:ascii="Times New Roman" w:cs="Times New Roman" w:eastAsia="Times New Roman" w:hAnsi="Times New Roman"/>
          <w:sz w:val="18"/>
          <w:szCs w:val="18"/>
          <w:color w:val="auto"/>
          <w:vertAlign w:val="superscript"/>
        </w:rPr>
        <w:t>(9)</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Karen Akinsanya</w:t>
      </w:r>
      <w:r>
        <w:rPr>
          <w:rFonts w:ascii="Times New Roman" w:cs="Times New Roman" w:eastAsia="Times New Roman" w:hAnsi="Times New Roman"/>
          <w:sz w:val="18"/>
          <w:szCs w:val="18"/>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i w:val="1"/>
          <w:iCs w:val="1"/>
          <w:color w:val="auto"/>
        </w:rPr>
        <w:t>All directors and officers as a group (15 persons)</w:t>
      </w:r>
      <w:r>
        <w:rPr>
          <w:rFonts w:ascii="Times New Roman" w:cs="Times New Roman" w:eastAsia="Times New Roman" w:hAnsi="Times New Roman"/>
          <w:sz w:val="17"/>
          <w:szCs w:val="17"/>
          <w:i w:val="1"/>
          <w:iCs w:val="1"/>
          <w:color w:val="auto"/>
          <w:vertAlign w:val="superscript"/>
        </w:rPr>
        <w:t>(11)</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color w:val="auto"/>
        </w:rPr>
        <w:t>18,271,466</w:t>
      </w:r>
      <w:r>
        <w:rPr>
          <w:sz w:val="20"/>
          <w:szCs w:val="20"/>
          <w:color w:val="auto"/>
        </w:rPr>
        <w:tab/>
      </w:r>
      <w:r>
        <w:rPr>
          <w:rFonts w:ascii="Times New Roman" w:cs="Times New Roman" w:eastAsia="Times New Roman" w:hAnsi="Times New Roman"/>
          <w:sz w:val="13"/>
          <w:szCs w:val="13"/>
          <w:color w:val="auto"/>
        </w:rPr>
        <w:t>14.5%</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color w:val="auto"/>
        </w:rPr>
        <w:t>21,323,237</w:t>
      </w:r>
      <w:r>
        <w:rPr>
          <w:sz w:val="20"/>
          <w:szCs w:val="20"/>
          <w:color w:val="auto"/>
        </w:rPr>
        <w:tab/>
      </w:r>
      <w:r>
        <w:rPr>
          <w:rFonts w:ascii="Times New Roman" w:cs="Times New Roman" w:eastAsia="Times New Roman" w:hAnsi="Times New Roman"/>
          <w:sz w:val="13"/>
          <w:szCs w:val="13"/>
          <w:color w:val="auto"/>
        </w:rPr>
        <w:t>16.9%</w:t>
      </w:r>
    </w:p>
    <w:p>
      <w:pPr>
        <w:spacing w:after="0" w:line="63"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auto"/>
        </w:rPr>
        <w:t>647,839</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auto"/>
        </w:rPr>
        <w:t>204,028</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4"/>
          <w:szCs w:val="14"/>
          <w:color w:val="auto"/>
        </w:rPr>
        <w:t>6,647,592</w:t>
      </w:r>
      <w:r>
        <w:rPr>
          <w:sz w:val="20"/>
          <w:szCs w:val="20"/>
          <w:color w:val="auto"/>
        </w:rPr>
        <w:tab/>
      </w:r>
      <w:r>
        <w:rPr>
          <w:rFonts w:ascii="Times New Roman" w:cs="Times New Roman" w:eastAsia="Times New Roman" w:hAnsi="Times New Roman"/>
          <w:sz w:val="14"/>
          <w:szCs w:val="14"/>
          <w:color w:val="auto"/>
        </w:rPr>
        <w:t>5.3%</w:t>
      </w:r>
    </w:p>
    <w:p>
      <w:pPr>
        <w:spacing w:after="0" w:line="51"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4"/>
          <w:szCs w:val="14"/>
          <w:color w:val="auto"/>
        </w:rPr>
        <w:t>2,055,893</w:t>
      </w:r>
      <w:r>
        <w:rPr>
          <w:sz w:val="20"/>
          <w:szCs w:val="20"/>
          <w:color w:val="auto"/>
        </w:rPr>
        <w:tab/>
      </w:r>
      <w:r>
        <w:rPr>
          <w:rFonts w:ascii="Times New Roman" w:cs="Times New Roman" w:eastAsia="Times New Roman" w:hAnsi="Times New Roman"/>
          <w:sz w:val="14"/>
          <w:szCs w:val="14"/>
          <w:color w:val="auto"/>
        </w:rPr>
        <w:t>1.6%</w:t>
      </w:r>
    </w:p>
    <w:p>
      <w:pPr>
        <w:spacing w:after="0" w:line="51"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auto"/>
        </w:rPr>
        <w:t>167,747</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auto"/>
        </w:rPr>
        <w:t>545,863</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4"/>
          <w:szCs w:val="14"/>
          <w:color w:val="auto"/>
        </w:rPr>
        <w:t>341,762</w:t>
      </w:r>
      <w:r>
        <w:rPr>
          <w:sz w:val="20"/>
          <w:szCs w:val="20"/>
          <w:color w:val="auto"/>
        </w:rPr>
        <w:tab/>
      </w:r>
      <w:r>
        <w:rPr>
          <w:rFonts w:ascii="Times New Roman" w:cs="Times New Roman" w:eastAsia="Times New Roman" w:hAnsi="Times New Roman"/>
          <w:sz w:val="14"/>
          <w:szCs w:val="14"/>
          <w:color w:val="auto"/>
        </w:rPr>
        <w:t>3.4%</w:t>
      </w:r>
    </w:p>
    <w:p>
      <w:pPr>
        <w:spacing w:after="0" w:line="51"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auto"/>
        </w:rPr>
        <w:t>135,965</w:t>
      </w:r>
      <w:r>
        <w:rPr>
          <w:sz w:val="20"/>
          <w:szCs w:val="20"/>
          <w:color w:val="auto"/>
        </w:rPr>
        <w:tab/>
      </w:r>
      <w:r>
        <w:rPr>
          <w:rFonts w:ascii="Times New Roman" w:cs="Times New Roman" w:eastAsia="Times New Roman" w:hAnsi="Times New Roman"/>
          <w:sz w:val="14"/>
          <w:szCs w:val="14"/>
          <w:color w:val="auto"/>
        </w:rPr>
        <w:t>*</w:t>
      </w:r>
    </w:p>
    <w:p>
      <w:pPr>
        <w:spacing w:after="0" w:line="5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color w:val="auto"/>
        </w:rPr>
        <w:t>53,446,986</w:t>
      </w:r>
      <w:r>
        <w:rPr>
          <w:sz w:val="20"/>
          <w:szCs w:val="20"/>
          <w:color w:val="auto"/>
        </w:rPr>
        <w:tab/>
      </w:r>
      <w:r>
        <w:rPr>
          <w:rFonts w:ascii="Times New Roman" w:cs="Times New Roman" w:eastAsia="Times New Roman" w:hAnsi="Times New Roman"/>
          <w:sz w:val="13"/>
          <w:szCs w:val="13"/>
          <w:color w:val="auto"/>
        </w:rPr>
        <w:t>40.5%</w:t>
      </w:r>
    </w:p>
    <w:p>
      <w:pPr>
        <w:spacing w:after="0" w:line="250" w:lineRule="exact"/>
        <w:rPr>
          <w:sz w:val="20"/>
          <w:szCs w:val="20"/>
          <w:color w:val="auto"/>
        </w:rPr>
      </w:pPr>
    </w:p>
    <w:p>
      <w:pPr>
        <w:sectPr>
          <w:pgSz w:w="11900" w:h="16838" w:orient="portrait"/>
          <w:cols w:equalWidth="0" w:num="2">
            <w:col w:w="7940" w:space="720"/>
            <w:col w:w="2620"/>
          </w:cols>
          <w:pgMar w:left="300" w:top="929" w:right="31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Perceptive Life Sciences Master Fund Ltd.</w:t>
      </w:r>
      <w:r>
        <w:rPr>
          <w:rFonts w:ascii="Times New Roman" w:cs="Times New Roman" w:eastAsia="Times New Roman" w:hAnsi="Times New Roman"/>
          <w:sz w:val="18"/>
          <w:szCs w:val="18"/>
          <w:color w:val="auto"/>
          <w:vertAlign w:val="superscript"/>
        </w:rPr>
        <w:t>(12)</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Entities affiliated with Andreessen Horowitz</w:t>
      </w:r>
      <w:r>
        <w:rPr>
          <w:rFonts w:ascii="Times New Roman" w:cs="Times New Roman" w:eastAsia="Times New Roman" w:hAnsi="Times New Roman"/>
          <w:sz w:val="17"/>
          <w:szCs w:val="17"/>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3"/>
          <w:szCs w:val="13"/>
          <w:color w:val="auto"/>
        </w:rPr>
        <w:t>Entities affiliated with Cercano Management</w:t>
      </w:r>
      <w:r>
        <w:rPr>
          <w:rFonts w:ascii="Times New Roman" w:cs="Times New Roman" w:eastAsia="Times New Roman" w:hAnsi="Times New Roman"/>
          <w:sz w:val="17"/>
          <w:szCs w:val="17"/>
          <w:color w:val="auto"/>
          <w:vertAlign w:val="superscript"/>
        </w:rPr>
        <w:t>(14)</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Entities affiliated with Madrona Ventures</w:t>
      </w:r>
      <w:r>
        <w:rPr>
          <w:rFonts w:ascii="Times New Roman" w:cs="Times New Roman" w:eastAsia="Times New Roman" w:hAnsi="Times New Roman"/>
          <w:sz w:val="18"/>
          <w:szCs w:val="18"/>
          <w:color w:val="auto"/>
          <w:vertAlign w:val="superscript"/>
        </w:rPr>
        <w:t>(15)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3"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color w:val="auto"/>
        </w:rPr>
        <w:t>12,594,211</w:t>
      </w:r>
      <w:r>
        <w:rPr>
          <w:sz w:val="20"/>
          <w:szCs w:val="20"/>
          <w:color w:val="auto"/>
        </w:rPr>
        <w:tab/>
      </w:r>
      <w:r>
        <w:rPr>
          <w:rFonts w:ascii="Times New Roman" w:cs="Times New Roman" w:eastAsia="Times New Roman" w:hAnsi="Times New Roman"/>
          <w:sz w:val="13"/>
          <w:szCs w:val="13"/>
          <w:color w:val="auto"/>
        </w:rPr>
        <w:t>10.1%</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3"/>
          <w:szCs w:val="13"/>
          <w:color w:val="auto"/>
        </w:rPr>
        <w:t>17,653,917</w:t>
      </w:r>
      <w:r>
        <w:rPr>
          <w:sz w:val="20"/>
          <w:szCs w:val="20"/>
          <w:color w:val="auto"/>
        </w:rPr>
        <w:tab/>
      </w:r>
      <w:r>
        <w:rPr>
          <w:rFonts w:ascii="Times New Roman" w:cs="Times New Roman" w:eastAsia="Times New Roman" w:hAnsi="Times New Roman"/>
          <w:sz w:val="13"/>
          <w:szCs w:val="13"/>
          <w:color w:val="auto"/>
        </w:rPr>
        <w:t>14.1%</w:t>
      </w:r>
    </w:p>
    <w:p>
      <w:pPr>
        <w:spacing w:after="0" w:line="63"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4"/>
          <w:szCs w:val="14"/>
          <w:color w:val="auto"/>
        </w:rPr>
        <w:t>7,172,985</w:t>
      </w:r>
      <w:r>
        <w:rPr>
          <w:sz w:val="20"/>
          <w:szCs w:val="20"/>
          <w:color w:val="auto"/>
        </w:rPr>
        <w:tab/>
      </w:r>
      <w:r>
        <w:rPr>
          <w:rFonts w:ascii="Times New Roman" w:cs="Times New Roman" w:eastAsia="Times New Roman" w:hAnsi="Times New Roman"/>
          <w:sz w:val="14"/>
          <w:szCs w:val="14"/>
          <w:color w:val="auto"/>
        </w:rPr>
        <w:t>5.7%</w:t>
      </w:r>
    </w:p>
    <w:p>
      <w:pPr>
        <w:spacing w:after="0" w:line="51"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4"/>
          <w:szCs w:val="14"/>
          <w:color w:val="auto"/>
        </w:rPr>
        <w:t>6,647,592</w:t>
      </w:r>
      <w:r>
        <w:rPr>
          <w:sz w:val="20"/>
          <w:szCs w:val="20"/>
          <w:color w:val="auto"/>
        </w:rPr>
        <w:tab/>
      </w:r>
      <w:r>
        <w:rPr>
          <w:rFonts w:ascii="Times New Roman" w:cs="Times New Roman" w:eastAsia="Times New Roman" w:hAnsi="Times New Roman"/>
          <w:sz w:val="14"/>
          <w:szCs w:val="14"/>
          <w:color w:val="auto"/>
        </w:rPr>
        <w:t>5.3%</w:t>
      </w:r>
    </w:p>
    <w:p>
      <w:pPr>
        <w:spacing w:after="0" w:line="354" w:lineRule="exact"/>
        <w:rPr>
          <w:sz w:val="20"/>
          <w:szCs w:val="20"/>
          <w:color w:val="auto"/>
        </w:rPr>
      </w:pPr>
    </w:p>
    <w:p>
      <w:pPr>
        <w:sectPr>
          <w:pgSz w:w="11900" w:h="16838" w:orient="portrait"/>
          <w:cols w:equalWidth="0" w:num="2">
            <w:col w:w="7940" w:space="720"/>
            <w:col w:w="2620"/>
          </w:cols>
          <w:pgMar w:left="300" w:top="929" w:right="319" w:bottom="1440" w:gutter="0" w:footer="0" w:header="0"/>
          <w:type w:val="continuous"/>
        </w:sectPr>
      </w:pPr>
    </w:p>
    <w:p>
      <w:pPr>
        <w:ind w:left="260" w:right="100" w:hanging="255"/>
        <w:spacing w:after="0" w:line="258" w:lineRule="auto"/>
        <w:tabs>
          <w:tab w:leader="none" w:pos="254"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10,064,488 shares held by Mr. Patel, (ii) 5,280,476 shares held by PFV I, LLC, (iii) 1,814,035 shares held by the Sujal Patel 2020 Children's Trust, u/a/d December 3, 2020 (the “Patel Trust”) and (iv) 1,112,467 shares subject to options held by Mr. Patel exercisable withing 60 days of April 16, 2024.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ind w:left="260" w:right="120" w:hanging="255"/>
        <w:spacing w:after="0" w:line="259" w:lineRule="auto"/>
        <w:tabs>
          <w:tab w:leader="none" w:pos="254"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20,479,892 shares held by Dr. Mallick, (ii) 200,000 shares held by The Dream Finder Foundation, and (iii) 643,345 shares subject to options held by Dr. Mallick exercisable within 60 days of April 16, 2024.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w:t>
      </w:r>
    </w:p>
    <w:p>
      <w:pPr>
        <w:spacing w:after="0" w:line="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60,500 shares held by Ms. Mowry and (ii) 587,339 shares subject to options held by Ms. Mowry exercisable within 60 days of April 16, 2024.</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shares subject to options held by Ms. Epperly exercisable within 60 days of April 16, 2024.</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280"/>
          </w:cols>
          <w:pgMar w:left="300" w:top="929" w:right="319" w:bottom="1440" w:gutter="0" w:footer="0" w:header="0"/>
          <w:type w:val="continuous"/>
        </w:sectPr>
      </w:pPr>
    </w:p>
    <w:bookmarkStart w:id="46" w:name="page47"/>
    <w:bookmarkEnd w:id="46"/>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the shares set forth in footnote 15 below.</w:t>
      </w:r>
    </w:p>
    <w:p>
      <w:pPr>
        <w:spacing w:after="0" w:line="20" w:lineRule="exact"/>
        <w:rPr>
          <w:rFonts w:ascii="Times New Roman" w:cs="Times New Roman" w:eastAsia="Times New Roman" w:hAnsi="Times New Roman"/>
          <w:sz w:val="11"/>
          <w:szCs w:val="11"/>
          <w:color w:val="auto"/>
        </w:rPr>
      </w:pPr>
    </w:p>
    <w:p>
      <w:pPr>
        <w:ind w:left="260" w:right="20" w:hanging="255"/>
        <w:spacing w:after="0" w:line="254" w:lineRule="auto"/>
        <w:tabs>
          <w:tab w:leader="none" w:pos="25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1,888,146 shares held by HAND Capital, LLC and (ii) 167,747 shares subject to options held by Mr. Nazem exercisable within 60 days of April 16, 2024. Mr. Nazem is the manager of HAND Capital, LLC and as such has voting and investment power over the shares held by HAND Capital, LLC.</w:t>
      </w:r>
    </w:p>
    <w:p>
      <w:pPr>
        <w:ind w:left="260" w:right="340" w:hanging="255"/>
        <w:spacing w:after="0" w:line="258" w:lineRule="auto"/>
        <w:tabs>
          <w:tab w:leader="none" w:pos="25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shares subject to options held by Mr. Pande exercisable within 60 days of April 16, 2024. Mr. Pande has no voting or investment control over the shares held by entities affiliated with Andreessen Horowitz that are included in footnote 13 below.</w:t>
      </w:r>
    </w:p>
    <w:p>
      <w:pPr>
        <w:ind w:left="260" w:right="60" w:hanging="255"/>
        <w:spacing w:after="0" w:line="261" w:lineRule="auto"/>
        <w:tabs>
          <w:tab w:leader="none" w:pos="25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50,000 shares held by Mr. Posard, (ii) 100,000 shares held by the Matthew and Elizabeth Posard Trust and (iii) 395,863 shares subject to options held by Mr. Posard exercisable within 60 days of April 16, 2024. Mr. Posard is the trustee of the Matthew and Elizabeth Posard Trust and as such has voting and investment control over shares held by the Matthew and Elizabeth Posard Trust.</w:t>
      </w: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165,860 shares held by Mr. Altman and (ii) 175,902 shares subject to options held by Mr. Altman exercisable within 60 days of April 16, 2024.</w:t>
      </w:r>
    </w:p>
    <w:p>
      <w:pPr>
        <w:spacing w:after="0" w:line="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shares subject to options held by Ms. Akinsanya exercisable within 60 days of April 16, 2024.</w:t>
      </w:r>
    </w:p>
    <w:p>
      <w:pPr>
        <w:spacing w:after="0" w:line="8"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46,763,632 shares beneficially owned by the directors and officers and (ii) 6,683,354 shares subject to options held by the directors and officers exercisable within 60 days of April 16, 2024.</w:t>
      </w:r>
    </w:p>
    <w:p>
      <w:pPr>
        <w:spacing w:after="0" w:line="11" w:lineRule="exact"/>
        <w:rPr>
          <w:rFonts w:ascii="Times New Roman" w:cs="Times New Roman" w:eastAsia="Times New Roman" w:hAnsi="Times New Roman"/>
          <w:sz w:val="11"/>
          <w:szCs w:val="11"/>
          <w:color w:val="auto"/>
        </w:rPr>
      </w:pPr>
    </w:p>
    <w:p>
      <w:pPr>
        <w:ind w:left="260" w:right="80" w:hanging="255"/>
        <w:spacing w:after="0" w:line="256" w:lineRule="auto"/>
        <w:tabs>
          <w:tab w:leader="none" w:pos="257"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12,428,351 shares held by Perceptive Life Sciences Master Fund Ltd. (the “Master Fund”) and (ii) 165,860 shares held by C2 Life Sciences LLC (“C2 Life Sciences”).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spacing w:after="0" w:line="1" w:lineRule="exact"/>
        <w:rPr>
          <w:rFonts w:ascii="Times New Roman" w:cs="Times New Roman" w:eastAsia="Times New Roman" w:hAnsi="Times New Roman"/>
          <w:sz w:val="11"/>
          <w:szCs w:val="11"/>
          <w:color w:val="auto"/>
        </w:rPr>
      </w:pPr>
    </w:p>
    <w:p>
      <w:pPr>
        <w:ind w:left="260" w:hanging="255"/>
        <w:spacing w:after="0" w:line="262" w:lineRule="auto"/>
        <w:tabs>
          <w:tab w:leader="none" w:pos="257"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spacing w:after="0" w:line="126" w:lineRule="exact"/>
        <w:rPr>
          <w:rFonts w:ascii="Times New Roman" w:cs="Times New Roman" w:eastAsia="Times New Roman" w:hAnsi="Times New Roman"/>
          <w:sz w:val="11"/>
          <w:szCs w:val="11"/>
          <w:color w:val="auto"/>
        </w:rPr>
      </w:pPr>
    </w:p>
    <w:p>
      <w:pPr>
        <w:ind w:left="260" w:right="80" w:hanging="255"/>
        <w:spacing w:after="0" w:line="258" w:lineRule="auto"/>
        <w:tabs>
          <w:tab w:leader="none" w:pos="257"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3,586,493 shares held by Vulcan Capital Holdings Columbia LLC (“VCHC”) and (ii) 3,586,492 shares held by VCVC V LLC (“VCVC”). Based solely on the most recently available Schedule 13G filed with the SEC on February 13, 2023, Cercano Management LLC (“Cercano”) may be deemed to be the beneficial owner of such shares as Cercano acts as an investment adviser to VCHC and VCVC pursuant to investment management agreements whereby all voting and investment discretion has been contractually allocated to Cercano, and such discretion may not be revoked with less than 61 days’ notice, and Christopher N. Ordnorff may also be deemed to be the beneficial owner of such shares because he controls Cercano in his position as managing member of Cercano.  Both Cercano and Mr. Orndorff disclaim, for purposes of Section 16 of the Securities Exchange Act of 1934, beneficial ownership of these securities, except to the extent of their respective pecuniary interests therein, and this report shall not be deemed an admission that either of Cercano or Mr. Orndorff is the beneficial owner of such securities for purposes of Section 16 or for any other purposes. The address for the foregoing entities is 1110 112th Avenue NE, Suite 202, Bellevue, WA 98004. </w:t>
      </w:r>
    </w:p>
    <w:p>
      <w:pPr>
        <w:spacing w:after="0" w:line="1" w:lineRule="exact"/>
        <w:rPr>
          <w:rFonts w:ascii="Times New Roman" w:cs="Times New Roman" w:eastAsia="Times New Roman" w:hAnsi="Times New Roman"/>
          <w:sz w:val="11"/>
          <w:szCs w:val="11"/>
          <w:color w:val="auto"/>
        </w:rPr>
      </w:pPr>
    </w:p>
    <w:p>
      <w:pPr>
        <w:ind w:left="260" w:right="120" w:hanging="255"/>
        <w:spacing w:after="0" w:line="262" w:lineRule="auto"/>
        <w:tabs>
          <w:tab w:leader="none" w:pos="257"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5,798,394 shares held by Madrona Venture Fund VI, LP (“Madrona Fund VI”), (ii) 222,376 shares held by Madrona Venture Fund VI-A, LP (“Madrona Fund VI-A”), (iii) 459,075 shares held by Mr. McIlwain and (iv) 167,747 shares subject to options held by Mr. McIlwain exercisable within 60 days of April 16, 2024. Madrona Investment Partners VI, L.P. (“Madrona Partners VI”) is the general partner of each of Madrona Fund VI and Madrona Fund VI-A, and Madrona VI General Partner, LLC (“Madrona VI LLC”) is the general partner of Madrona Partners VI. Matthew McIlwain, together with Paul Goodrich, Scott Jacobson, Len Jordan, Tim Porter, Soma Somasegar, Hope Cochran, and Steve Singh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150" w:lineRule="exact"/>
        <w:rPr>
          <w:sz w:val="20"/>
          <w:szCs w:val="20"/>
          <w:color w:val="auto"/>
        </w:rPr>
      </w:pPr>
    </w:p>
    <w:p>
      <w:pPr>
        <w:ind w:right="60" w:firstLine="255"/>
        <w:spacing w:after="0" w:line="290" w:lineRule="auto"/>
        <w:rPr>
          <w:sz w:val="20"/>
          <w:szCs w:val="20"/>
          <w:color w:val="auto"/>
        </w:rPr>
      </w:pPr>
      <w:r>
        <w:rPr>
          <w:rFonts w:ascii="Times New Roman" w:cs="Times New Roman" w:eastAsia="Times New Roman" w:hAnsi="Times New Roman"/>
          <w:sz w:val="14"/>
          <w:szCs w:val="14"/>
          <w:color w:val="auto"/>
        </w:rPr>
        <w:t>Please see the sections 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Related Person Transactions</w:t>
      </w:r>
      <w:r>
        <w:rPr>
          <w:rFonts w:ascii="Times New Roman" w:cs="Times New Roman" w:eastAsia="Times New Roman" w:hAnsi="Times New Roman"/>
          <w:sz w:val="14"/>
          <w:szCs w:val="14"/>
          <w:color w:val="auto"/>
        </w:rPr>
        <w:t>” appearing elsewhere in this proxy statement for information regarding material relationships with our principal securityholders within the past two years.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280"/>
          </w:cols>
          <w:pgMar w:left="300" w:top="759"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RELATED PERSON TRANSACTIONS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Described below are any transactions occurring since January 1, 2022 and any currently proposed transactions in which we have been or are a party, and in which:</w:t>
      </w:r>
    </w:p>
    <w:p>
      <w:pPr>
        <w:spacing w:after="0" w:line="136"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the lesser of $120,000 or 1% of the average of our total assets at year-end for the last two completed fiscal years; and</w:t>
      </w:r>
    </w:p>
    <w:p>
      <w:pPr>
        <w:spacing w:after="0" w:line="136" w:lineRule="exact"/>
        <w:rPr>
          <w:rFonts w:ascii="Times New Roman" w:cs="Times New Roman" w:eastAsia="Times New Roman" w:hAnsi="Times New Roman"/>
          <w:sz w:val="14"/>
          <w:szCs w:val="14"/>
          <w:color w:val="auto"/>
        </w:rPr>
      </w:pPr>
    </w:p>
    <w:p>
      <w:pPr>
        <w:ind w:right="60" w:firstLine="260"/>
        <w:spacing w:after="0" w:line="441" w:lineRule="auto"/>
        <w:tabs>
          <w:tab w:leader="none" w:pos="50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director, executive officer, holder of more than 5% of our outstanding capital stock, or any member of such person’s immediate family had or will have a direct or indirect material interest. From January 1, 2022 through the present, there have been no related party transactions that are disclosable under Item 404 of Regulation S-K and no such transactions are currently proposed.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Policies and Procedures for Related Party Transactions</w:t>
      </w:r>
    </w:p>
    <w:p>
      <w:pPr>
        <w:spacing w:after="0" w:line="138"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9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93"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01"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costs, and benefits to us;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a director’s independence in the event the related person is a director, immediate family member of a director or an entity with which a director is affiliated;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transaction;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other sources for comparable services or products;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available to or from, as the case may be, unrelated third parties.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audit committee will approve only those transactions that it determines are fair to us and in our best interests.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280"/>
          </w:cols>
          <w:pgMar w:left="300" w:top="929" w:right="31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Proposals or Director Nominations for 2025 Annual Meeting</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If a stockholder would like us to consider including a proposal in our proxy statement for our 2025 annual meeting pursuant to Rule 14a-8 of the Exchange Act, then the proposal must be received by our corporate secretary at our principal executive offices on or before December 27, 2024. In addition, stockholder proposals must comply with the requirements of Rule 14a-8 regarding the inclusion of stockholder proposals in company-sponsored proxy materials. Proposals should be addressed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Nautilus Biotechnology,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2701 Eastlake Avenue East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Seattle, Washington 98102</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2025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140"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8:00 a.m., Pacific Time, on February 13, 2025,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5:00 p.m., Pacific Time, on March 15, 2025.</w:t>
      </w:r>
    </w:p>
    <w:p>
      <w:pPr>
        <w:spacing w:after="0" w:line="17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the event that we hold our 2025 annual meeting more or less than 25 days after the one-year anniversary of this year’s annual meeting, then such written notice must be received by our corporate secretary at our principal executive offices:</w:t>
      </w:r>
    </w:p>
    <w:p>
      <w:pPr>
        <w:spacing w:after="0" w:line="124"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8:00 a.m., Pacific Time, on the 120th day prior to the day of our 2025 annual meeting, and</w:t>
      </w:r>
    </w:p>
    <w:p>
      <w:pPr>
        <w:spacing w:after="0" w:line="178" w:lineRule="exact"/>
        <w:rPr>
          <w:rFonts w:ascii="Times New Roman" w:cs="Times New Roman" w:eastAsia="Times New Roman" w:hAnsi="Times New Roman"/>
          <w:sz w:val="14"/>
          <w:szCs w:val="14"/>
          <w:color w:val="auto"/>
        </w:rPr>
      </w:pPr>
    </w:p>
    <w:p>
      <w:pPr>
        <w:ind w:left="520" w:right="20" w:hanging="260"/>
        <w:spacing w:after="0" w:line="28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5:00 p.m., Pacific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is first made by us.</w:t>
      </w:r>
    </w:p>
    <w:p>
      <w:pPr>
        <w:spacing w:after="0" w:line="12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addition to satisfying the requirements of our amended and restated bylaws, including the earlier notice deadlines set forth above and therein, to comply with universal proxy rules, stockholders who intend to solicit proxies in support of director nominees (other than our nominees) must also provide notice that sets forth the information required by Rule 14a-19 of the Exchange Act, no later than April 14, 2025.</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Availability of Bylaws</w:t>
      </w:r>
    </w:p>
    <w:p>
      <w:pPr>
        <w:spacing w:after="0" w:line="179"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color w:val="auto"/>
        </w:rPr>
        <w:t xml:space="preserve">A copy of our amended and restated bylaws may be obtained by accessing our filings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8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280"/>
          </w:cols>
          <w:pgMar w:left="300" w:top="929"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fiscal year ended December 31, 2023, all directors, executive officers and greater than 10% stockholders complied with all Section 16(a) filing requirements applicable to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making these statements, we have relied upon examination of the filings made with the SEC and the written representations of our directors and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Annual Report</w:t>
      </w:r>
    </w:p>
    <w:p>
      <w:pPr>
        <w:spacing w:after="0" w:line="18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 xml:space="preserve">Our financial statements for our fiscal year ended December 31, 2023 are included in our annual report, which we will make available to stockholders at the same time as this proxy statement. Our proxy materials and our annual report are posted on our website at https://investors.nautilus.bio/ and are available from the SEC at its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You may also obtain a copy of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annual report, free of charge, by sending a written request to Nautilus Biotechnology, Inc., 2701 Eastlake Avenue East, Seattle, Washington 98102, Attention: Investor Relations.</w:t>
      </w:r>
    </w:p>
    <w:p>
      <w:pPr>
        <w:spacing w:after="0" w:line="136"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4"/>
          <w:szCs w:val="14"/>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w:t>
      </w:r>
    </w:p>
    <w:p>
      <w:pPr>
        <w:spacing w:after="0" w:line="1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2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It is important that your shares be represented at the annual meeting, regardless of the number of shares that you hold. You are, therefore, urged to vote as promptly as possible to ensure your vote is recorded.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Seattle, 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26, 2024</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280"/>
          </w:cols>
          <w:pgMar w:left="300" w:top="931" w:right="319" w:bottom="1440"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x"/>
      <w:numFmt w:val="bullet"/>
      <w:start w:val="1"/>
    </w:lvl>
  </w:abstractNum>
  <w:abstractNum w:abstractNumId="2">
    <w:nsid w:val="628C895D"/>
    <w:multiLevelType w:val="hybridMultilevel"/>
    <w:lvl w:ilvl="0">
      <w:lvlJc w:val="left"/>
      <w:lvlText w:val="o"/>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28">
    <w:nsid w:val="614FD4A1"/>
    <w:multiLevelType w:val="hybridMultilevel"/>
    <w:lvl w:ilvl="0">
      <w:lvlJc w:val="left"/>
      <w:lvlText w:val="•"/>
      <w:numFmt w:val="bullet"/>
      <w:start w:val="1"/>
    </w:lvl>
    <w:lvl w:ilvl="1">
      <w:lvlJc w:val="left"/>
      <w:lvlText w:val="•"/>
      <w:numFmt w:val="bullet"/>
      <w:start w:val="1"/>
    </w:lvl>
  </w:abstractNum>
  <w:abstractNum w:abstractNumId="29">
    <w:nsid w:val="419AC241"/>
    <w:multiLevelType w:val="hybridMultilevel"/>
    <w:lvl w:ilvl="0">
      <w:lvlJc w:val="left"/>
      <w:lvlText w:val="(%1)"/>
      <w:numFmt w:val="lowerLetter"/>
      <w:start w:val="4"/>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2024-04-26T15:43:54Z</dcterms:created>
  <dcterms:modified xsi:type="dcterms:W3CDTF">2024-04-26T15:43:54Z</dcterms:modified>
</cp:coreProperties>
</file>