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April 30, 2024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April 30, 2024, Nautilus Biotechnology, Inc. issued a press release reporting its financial results for the quarter ended March 31, 2024. A copy of the press release is furnished herewith as Exhibit 99.1 to this Current Report on Form 8-K.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30, 2024.</w:t>
      </w:r>
    </w:p>
    <w:p>
      <w:pPr>
        <w:spacing w:after="0" w:line="27" w:lineRule="exact"/>
        <w:rPr>
          <w:sz w:val="20"/>
          <w:szCs w:val="20"/>
          <w:color w:val="auto"/>
        </w:rPr>
      </w:pPr>
    </w:p>
    <w:p>
      <w:pPr>
        <w:ind w:left="980" w:hanging="95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30, 2024</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Reports First Quarter 2024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WA, </w:t>
      </w:r>
      <w:r>
        <w:rPr>
          <w:rFonts w:ascii="Times New Roman" w:cs="Times New Roman" w:eastAsia="Times New Roman" w:hAnsi="Times New Roman"/>
          <w:sz w:val="18"/>
          <w:szCs w:val="18"/>
          <w:color w:val="auto"/>
        </w:rPr>
        <w:t>April 30, 2024 – Nautilus Biotechnology, Inc. (NASDAQ: NAUT; or “Nautilus”), a company pioneering a single molecule proteome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analysis platform, today reported financial results for the first quarter ended March 31, 2024.</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continued to make solid progress against our core development goals in Q1,” said Sujal Patel, CEO of Nautilus. “We remain incredibly focused on increasing the scale, stability, and reproducibility of our consumables, assay, instrument, and software and continue to see meaningful gains along each of those dimensions. We are clear-eyed about what work remains to be done and confident that we have a foundational understanding of what is required to establish a new gold standard for the creation and comprehensive analysis of high-value proteomic data.”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were $21.6 million for the first quarter of 2024, a $3.5 million or 20% increase from $18.1 million for the corresponding prior year period. The increase in operating expenses was driven primarily by an increase in headcount to support ongoing development of our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was $18.7 million for the first quarter of 2024, as compared to a net loss of $15.0 million for the corresponding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$247.7 million as of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Nautilus will host a conference call to discuss the first quarter 2024 financial results, business developments and outlook before market open on Wednesday, April 30, 2024 at 5:30 AM Pacific Time / 8:30 AM Eastern Time. Live audio of the webcast will be available on the “Investors” section of the company website at: </w:t>
      </w:r>
      <w:r>
        <w:rPr>
          <w:rFonts w:ascii="Times New Roman" w:cs="Times New Roman" w:eastAsia="Times New Roman" w:hAnsi="Times New Roman"/>
          <w:sz w:val="18"/>
          <w:szCs w:val="18"/>
          <w:u w:val="single" w:color="auto"/>
          <w:color w:val="0563C1"/>
        </w:rPr>
        <w:t>www.nautilus.bio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its corporate headquarters in Seattle, Washington and its research and development headquarters in San Carlos, California,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development required for and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March 31, 2024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30"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of March 31, 2024 and December 31, 2023 (Unaudited)</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2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176,837</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0" w:type="dxa"/>
            <w:vAlign w:val="bottom"/>
          </w:tcPr>
          <w:p>
            <w:pPr>
              <w:spacing w:after="0"/>
              <w:rPr>
                <w:sz w:val="1"/>
                <w:szCs w:val="1"/>
                <w:color w:val="auto"/>
              </w:rPr>
            </w:pPr>
          </w:p>
        </w:tc>
      </w:tr>
      <w:tr>
        <w:trPr>
          <w:trHeight w:val="230"/>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40,212</w:t>
            </w:r>
          </w:p>
        </w:tc>
        <w:tc>
          <w:tcPr>
            <w:tcW w:w="0" w:type="dxa"/>
            <w:vAlign w:val="bottom"/>
          </w:tcPr>
          <w:p>
            <w:pPr>
              <w:spacing w:after="0"/>
              <w:rPr>
                <w:sz w:val="1"/>
                <w:szCs w:val="1"/>
                <w:color w:val="auto"/>
              </w:rPr>
            </w:pPr>
          </w:p>
        </w:tc>
      </w:tr>
      <w:tr>
        <w:trPr>
          <w:trHeight w:val="236"/>
        </w:trPr>
        <w:tc>
          <w:tcPr>
            <w:tcW w:w="7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0" w:type="dxa"/>
            <w:vAlign w:val="bottom"/>
          </w:tcPr>
          <w:p>
            <w:pPr>
              <w:spacing w:after="0"/>
              <w:rPr>
                <w:sz w:val="1"/>
                <w:szCs w:val="1"/>
                <w:color w:val="auto"/>
              </w:rPr>
            </w:pPr>
          </w:p>
        </w:tc>
      </w:tr>
      <w:tr>
        <w:trPr>
          <w:trHeight w:val="22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40" w:top="140"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March 31, 2024 and 2023 (Unaudited)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23"/>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common stockholders, basic and</w:t>
            </w: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125,135,451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124,590,351</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40" w:top="1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Three Months Ended March 31, 2024 and 2023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0" w:type="dxa"/>
            <w:vAlign w:val="bottom"/>
          </w:tcPr>
          <w:p>
            <w:pPr>
              <w:spacing w:after="0"/>
              <w:rPr>
                <w:sz w:val="1"/>
                <w:szCs w:val="1"/>
                <w:color w:val="auto"/>
              </w:rPr>
            </w:pPr>
          </w:p>
        </w:tc>
      </w:tr>
      <w:tr>
        <w:trPr>
          <w:trHeight w:val="257"/>
        </w:trPr>
        <w:tc>
          <w:tcPr>
            <w:tcW w:w="8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115,477</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00"/>
      </w:cols>
      <w:pgMar w:left="340" w:top="1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2024-04-30T05:16:33Z</dcterms:created>
  <dcterms:modified xsi:type="dcterms:W3CDTF">2024-04-30T05:16:33Z</dcterms:modified>
</cp:coreProperties>
</file>