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Nautilus Biotechnology, Inc.</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63909J 108</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Alexander Rakitin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Perceptive Advisors LLC</w:t>
      </w:r>
    </w:p>
    <w:p>
      <w:pPr>
        <w:jc w:val="center"/>
        <w:ind w:right="-63"/>
        <w:spacing w:after="0" w:line="181" w:lineRule="auto"/>
        <w:rPr>
          <w:sz w:val="20"/>
          <w:szCs w:val="20"/>
          <w:color w:val="auto"/>
        </w:rPr>
      </w:pPr>
      <w:r>
        <w:rPr>
          <w:rFonts w:ascii="Arial" w:cs="Arial" w:eastAsia="Arial" w:hAnsi="Arial"/>
          <w:sz w:val="18"/>
          <w:szCs w:val="18"/>
          <w:b w:val="1"/>
          <w:bCs w:val="1"/>
          <w:color w:val="auto"/>
        </w:rPr>
        <w:t>51 Astor Place, 10</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10003</w:t>
      </w:r>
    </w:p>
    <w:p>
      <w:pPr>
        <w:spacing w:after="0" w:line="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(646) 205-5340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November 15,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4"/>
          <w:szCs w:val="24"/>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Section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63909J 108</w:t>
      </w:r>
    </w:p>
    <w:p>
      <w:pPr>
        <w:spacing w:after="0" w:line="266" w:lineRule="exact"/>
        <w:rPr>
          <w:sz w:val="20"/>
          <w:szCs w:val="20"/>
          <w:color w:val="auto"/>
        </w:rPr>
      </w:pPr>
    </w:p>
    <w:p>
      <w:pPr>
        <w:ind w:left="660" w:right="8140" w:hanging="417"/>
        <w:spacing w:after="0" w:line="45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Perceptive Advisors LLC</w:t>
      </w:r>
    </w:p>
    <w:p>
      <w:pPr>
        <w:spacing w:after="0" w:line="1" w:lineRule="exact"/>
        <w:rPr>
          <w:rFonts w:ascii="Arial" w:cs="Arial" w:eastAsia="Arial" w:hAnsi="Arial"/>
          <w:sz w:val="16"/>
          <w:szCs w:val="16"/>
          <w:color w:val="auto"/>
        </w:rPr>
      </w:pPr>
    </w:p>
    <w:p>
      <w:pPr>
        <w:ind w:left="660" w:hanging="41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12,594,211</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7" w:lineRule="auto"/>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12,594,211</w:t>
      </w:r>
    </w:p>
    <w:p>
      <w:pPr>
        <w:spacing w:after="0" w:line="1" w:lineRule="exact"/>
        <w:rPr>
          <w:rFonts w:ascii="Arial" w:cs="Arial" w:eastAsia="Arial" w:hAnsi="Arial"/>
          <w:sz w:val="18"/>
          <w:szCs w:val="18"/>
          <w:color w:val="auto"/>
        </w:rPr>
      </w:pPr>
    </w:p>
    <w:p>
      <w:pPr>
        <w:ind w:left="660" w:right="5440" w:hanging="507"/>
        <w:spacing w:after="0" w:line="40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12,594,211</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07"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0" w:right="6380" w:hanging="507"/>
        <w:spacing w:after="0" w:line="3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w:t>
      </w:r>
    </w:p>
    <w:p>
      <w:pPr>
        <w:ind w:left="660" w:hanging="50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IA</w:t>
      </w:r>
    </w:p>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63909J 108</w:t>
      </w:r>
    </w:p>
    <w:p>
      <w:pPr>
        <w:spacing w:after="0" w:line="266" w:lineRule="exact"/>
        <w:rPr>
          <w:sz w:val="20"/>
          <w:szCs w:val="20"/>
          <w:color w:val="auto"/>
        </w:rPr>
      </w:pPr>
    </w:p>
    <w:p>
      <w:pPr>
        <w:ind w:left="660" w:right="8140" w:hanging="417"/>
        <w:spacing w:after="0" w:line="43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Names of Reporting Persons. Joseph Edelman</w:t>
      </w:r>
    </w:p>
    <w:p>
      <w:pPr>
        <w:spacing w:after="0" w:line="1" w:lineRule="exact"/>
        <w:rPr>
          <w:rFonts w:ascii="Arial" w:cs="Arial" w:eastAsia="Arial" w:hAnsi="Arial"/>
          <w:sz w:val="17"/>
          <w:szCs w:val="17"/>
          <w:color w:val="auto"/>
        </w:rPr>
      </w:pPr>
    </w:p>
    <w:p>
      <w:pPr>
        <w:ind w:left="660" w:hanging="41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1740" w:hanging="426"/>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12,594,211</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7" w:lineRule="auto"/>
        <w:tabs>
          <w:tab w:leader="none" w:pos="1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 12,594,211</w:t>
      </w:r>
    </w:p>
    <w:p>
      <w:pPr>
        <w:spacing w:after="0" w:line="1" w:lineRule="exact"/>
        <w:rPr>
          <w:rFonts w:ascii="Arial" w:cs="Arial" w:eastAsia="Arial" w:hAnsi="Arial"/>
          <w:sz w:val="18"/>
          <w:szCs w:val="18"/>
          <w:color w:val="auto"/>
        </w:rPr>
      </w:pPr>
    </w:p>
    <w:p>
      <w:pPr>
        <w:ind w:left="660" w:right="5440" w:hanging="507"/>
        <w:spacing w:after="0" w:line="40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12,594,211</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07"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0" w:right="6380" w:hanging="507"/>
        <w:spacing w:after="0" w:line="39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10.1%</w:t>
      </w:r>
    </w:p>
    <w:p>
      <w:pPr>
        <w:ind w:left="660" w:hanging="50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0900"/>
          </w:cols>
          <w:pgMar w:left="440" w:top="274"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63909J 108</w:t>
      </w:r>
    </w:p>
    <w:p>
      <w:pPr>
        <w:spacing w:after="0" w:line="266" w:lineRule="exact"/>
        <w:rPr>
          <w:sz w:val="20"/>
          <w:szCs w:val="20"/>
          <w:color w:val="auto"/>
        </w:rPr>
      </w:pPr>
    </w:p>
    <w:p>
      <w:pPr>
        <w:ind w:left="660" w:hanging="41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Perceptive Life Sciences Master Fund, Ltd.</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0" w:hanging="4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Cayman Islands</w:t>
      </w:r>
    </w:p>
    <w:p>
      <w:pPr>
        <w:spacing w:after="0" w:line="36" w:lineRule="exact"/>
        <w:rPr>
          <w:sz w:val="20"/>
          <w:szCs w:val="20"/>
          <w:color w:val="auto"/>
        </w:rPr>
      </w:pPr>
    </w:p>
    <w:p>
      <w:pPr>
        <w:ind w:left="1740" w:hanging="426"/>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12,428,351</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7" w:lineRule="auto"/>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Dispositive Power 12,428,351</w:t>
      </w:r>
    </w:p>
    <w:p>
      <w:pPr>
        <w:spacing w:after="0" w:line="1" w:lineRule="exact"/>
        <w:rPr>
          <w:rFonts w:ascii="Arial" w:cs="Arial" w:eastAsia="Arial" w:hAnsi="Arial"/>
          <w:sz w:val="18"/>
          <w:szCs w:val="18"/>
          <w:color w:val="auto"/>
        </w:rPr>
      </w:pPr>
    </w:p>
    <w:p>
      <w:pPr>
        <w:ind w:left="660" w:right="5440" w:hanging="507"/>
        <w:spacing w:after="0" w:line="40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12,428,351</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07"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60" w:right="6380" w:hanging="507"/>
        <w:spacing w:after="0" w:line="39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9.9%</w:t>
      </w:r>
    </w:p>
    <w:p>
      <w:pPr>
        <w:ind w:left="660" w:hanging="5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w:t>
      </w:r>
    </w:p>
    <w:p>
      <w:pPr>
        <w:sectPr>
          <w:pgSz w:w="11900" w:h="16838" w:orient="portrait"/>
          <w:cols w:equalWidth="0" w:num="1">
            <w:col w:w="10900"/>
          </w:cols>
          <w:pgMar w:left="440" w:top="274" w:right="55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3 of the Schedule 13D is amended and supplemented as follows:</w:t>
      </w:r>
    </w:p>
    <w:p>
      <w:pPr>
        <w:spacing w:after="0" w:line="225"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The shares of Common Stock received in the Distributions (as defined below) were the result of the Master Fund’s and the Co-Investment Fund’s (as defined below) investment in the Sponsor (as defined below). The source of the funds for the acquisition of the Common Stock reported on this Schedule 13D was working capital of the Master Fund and the Co-Investment Fund.</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5 of the Schedule 13D is amended and supplemented as follows:</w:t>
      </w:r>
    </w:p>
    <w:p>
      <w:pPr>
        <w:spacing w:after="0" w:line="131" w:lineRule="exact"/>
        <w:rPr>
          <w:sz w:val="20"/>
          <w:szCs w:val="20"/>
          <w:color w:val="auto"/>
        </w:rPr>
      </w:pPr>
    </w:p>
    <w:p>
      <w:pPr>
        <w:ind w:left="960" w:right="20" w:hanging="532"/>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set forth in rows 11 and 13 of the cover pages to this Schedule 13D is incorporated by reference. The percentage set forth in row 13 is based on 124,945,744 outstanding shares of Common Stock as reported by the Issuer in its Quarterly Report on Form 10-Q filed with the Securities and Exchange Commission on October 31, 2023.</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set forth in rows 7 through 10 of the cover pages to this Schedule 13D is incorporated by reference.</w:t>
      </w:r>
    </w:p>
    <w:p>
      <w:pPr>
        <w:spacing w:after="0" w:line="130" w:lineRule="exact"/>
        <w:rPr>
          <w:rFonts w:ascii="Arial" w:cs="Arial" w:eastAsia="Arial" w:hAnsi="Arial"/>
          <w:sz w:val="18"/>
          <w:szCs w:val="18"/>
          <w:color w:val="auto"/>
        </w:rPr>
      </w:pPr>
    </w:p>
    <w:p>
      <w:pPr>
        <w:ind w:left="960" w:right="60" w:hanging="532"/>
        <w:spacing w:after="0" w:line="25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and pursuant to a liquidating distribution by ARYA Sciences Holdings III (the “Sponsor”) on November 15, 2023 (the “</w:t>
      </w:r>
      <w:r>
        <w:rPr>
          <w:rFonts w:ascii="Arial" w:cs="Arial" w:eastAsia="Arial" w:hAnsi="Arial"/>
          <w:sz w:val="18"/>
          <w:szCs w:val="18"/>
          <w:u w:val="single" w:color="auto"/>
          <w:color w:val="auto"/>
        </w:rPr>
        <w:t>Sponsor Distribution</w:t>
      </w:r>
      <w:r>
        <w:rPr>
          <w:rFonts w:ascii="Arial" w:cs="Arial" w:eastAsia="Arial" w:hAnsi="Arial"/>
          <w:sz w:val="18"/>
          <w:szCs w:val="18"/>
          <w:color w:val="auto"/>
        </w:rPr>
        <w:t>”), the Master Fund received 3,317,200 shares of Common Stock and Perceptive SP(B), L.P. (the “</w:t>
      </w:r>
      <w:r>
        <w:rPr>
          <w:rFonts w:ascii="Arial" w:cs="Arial" w:eastAsia="Arial" w:hAnsi="Arial"/>
          <w:sz w:val="18"/>
          <w:szCs w:val="18"/>
          <w:u w:val="single" w:color="auto"/>
          <w:color w:val="auto"/>
        </w:rPr>
        <w:t>Co-Investment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w:t>
      </w:r>
      <w:r>
        <w:rPr>
          <w:rFonts w:ascii="Arial" w:cs="Arial" w:eastAsia="Arial" w:hAnsi="Arial"/>
          <w:sz w:val="18"/>
          <w:szCs w:val="18"/>
          <w:color w:val="auto"/>
        </w:rPr>
        <w:t>”) received 829,300 shares of Common Stock. In connection with and pursuant to a distribution by the Co-Investment Fund of all of the shares of Common Stock it received in the Sponsor Distribution (the “</w:t>
      </w:r>
      <w:r>
        <w:rPr>
          <w:rFonts w:ascii="Arial" w:cs="Arial" w:eastAsia="Arial" w:hAnsi="Arial"/>
          <w:sz w:val="18"/>
          <w:szCs w:val="18"/>
          <w:u w:val="single" w:color="auto"/>
          <w:color w:val="auto"/>
        </w:rPr>
        <w:t>Co-Invest Distribution</w:t>
      </w:r>
      <w:r>
        <w:rPr>
          <w:rFonts w:ascii="Arial" w:cs="Arial" w:eastAsia="Arial" w:hAnsi="Arial"/>
          <w:sz w:val="18"/>
          <w:szCs w:val="18"/>
          <w:color w:val="auto"/>
        </w:rPr>
        <w:t>” and together with the Sponsor Distribution, the “</w:t>
      </w:r>
      <w:r>
        <w:rPr>
          <w:rFonts w:ascii="Arial" w:cs="Arial" w:eastAsia="Arial" w:hAnsi="Arial"/>
          <w:sz w:val="18"/>
          <w:szCs w:val="18"/>
          <w:u w:val="single" w:color="auto"/>
          <w:color w:val="auto"/>
        </w:rPr>
        <w:t>Distributions</w:t>
      </w:r>
      <w:r>
        <w:rPr>
          <w:rFonts w:ascii="Arial" w:cs="Arial" w:eastAsia="Arial" w:hAnsi="Arial"/>
          <w:sz w:val="18"/>
          <w:szCs w:val="18"/>
          <w:color w:val="auto"/>
        </w:rPr>
        <w:t>”), which immediately followed the Sponsor Distribution, Mr. Edelman received 165,860 shares of Common Stock, which are held by C2 Life Sciences LLC.</w:t>
      </w:r>
    </w:p>
    <w:p>
      <w:pPr>
        <w:sectPr>
          <w:pgSz w:w="11900" w:h="16838" w:orient="portrait"/>
          <w:cols w:equalWidth="0" w:num="1">
            <w:col w:w="10920"/>
          </w:cols>
          <w:pgMar w:left="440" w:top="270" w:right="5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1"/>
    </w:lvl>
    <w:lvl w:ilvl="1">
      <w:lvlJc w:val="left"/>
      <w:lvlText w:val="%2."/>
      <w:numFmt w:val="decimal"/>
      <w:start w:val="10"/>
    </w:lvl>
  </w:abstractNum>
  <w:abstractNum w:abstractNumId="4">
    <w:nsid w:val="216231B"/>
    <w:multiLevelType w:val="hybridMultilevel"/>
    <w:lvl w:ilvl="0">
      <w:lvlJc w:val="left"/>
      <w:lvlText w:val="%1."/>
      <w:numFmt w:val="decimal"/>
      <w:start w:val="11"/>
    </w:lvl>
    <w:lvl w:ilvl="1">
      <w:lvlJc w:val="left"/>
      <w:lvlText w:val="%2"/>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1"/>
    </w:lvl>
    <w:lvl w:ilvl="1">
      <w:lvlJc w:val="left"/>
      <w:lvlText w:val="%2."/>
      <w:numFmt w:val="decimal"/>
      <w:start w:val="10"/>
    </w:lvl>
  </w:abstractNum>
  <w:abstractNum w:abstractNumId="9">
    <w:nsid w:val="3352255A"/>
    <w:multiLevelType w:val="hybridMultilevel"/>
    <w:lvl w:ilvl="0">
      <w:lvlJc w:val="left"/>
      <w:lvlText w:val="%1."/>
      <w:numFmt w:val="decimal"/>
      <w:start w:val="11"/>
    </w:lvl>
    <w:lvl w:ilvl="1">
      <w:lvlJc w:val="left"/>
      <w:lvlText w:val="%2"/>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1."/>
      <w:numFmt w:val="decimal"/>
      <w:start w:val="7"/>
    </w:lvl>
  </w:abstractNum>
  <w:abstractNum w:abstractNumId="13">
    <w:nsid w:val="1BEFD79F"/>
    <w:multiLevelType w:val="hybridMultilevel"/>
    <w:lvl w:ilvl="0">
      <w:lvlJc w:val="left"/>
      <w:lvlText w:val="%1"/>
      <w:numFmt w:val="decimal"/>
      <w:start w:val="1"/>
    </w:lvl>
    <w:lvl w:ilvl="1">
      <w:lvlJc w:val="left"/>
      <w:lvlText w:val="%2."/>
      <w:numFmt w:val="decimal"/>
      <w:start w:val="10"/>
    </w:lvl>
  </w:abstractNum>
  <w:abstractNum w:abstractNumId="14">
    <w:nsid w:val="41A7C4C9"/>
    <w:multiLevelType w:val="hybridMultilevel"/>
    <w:lvl w:ilvl="0">
      <w:lvlJc w:val="left"/>
      <w:lvlText w:val="%1."/>
      <w:numFmt w:val="decimal"/>
      <w:start w:val="11"/>
    </w:lvl>
    <w:lvl w:ilvl="1">
      <w:lvlJc w:val="left"/>
      <w:lvlText w:val="%2"/>
      <w:numFmt w:val="decimal"/>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2023-11-17T05:16:15Z</dcterms:created>
  <dcterms:modified xsi:type="dcterms:W3CDTF">2023-11-17T05:16:15Z</dcterms:modified>
</cp:coreProperties>
</file>