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August 6, 2020 under the Securities Act of 1933, as amended.</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ARYA Sciences Acquisition Corp III</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tbl>
      <w:tblPr>
        <w:tblLayout w:type="fixed"/>
        <w:tblInd w:w="360" w:type="dxa"/>
        <w:tblCellMar>
          <w:top w:w="0" w:type="dxa"/>
          <w:left w:w="0" w:type="dxa"/>
          <w:bottom w:w="0" w:type="dxa"/>
          <w:right w:w="0" w:type="dxa"/>
        </w:tblCellMar>
      </w:tblPr>
      <w:tr>
        <w:trPr>
          <w:trHeight w:val="224"/>
        </w:trPr>
        <w:tc>
          <w:tcPr>
            <w:tcW w:w="3260" w:type="dxa"/>
            <w:vAlign w:val="bottom"/>
          </w:tcPr>
          <w:p>
            <w:pPr>
              <w:jc w:val="center"/>
              <w:ind w:right="196"/>
              <w:spacing w:after="0"/>
              <w:rPr>
                <w:sz w:val="20"/>
                <w:szCs w:val="20"/>
                <w:color w:val="auto"/>
              </w:rPr>
            </w:pPr>
            <w:r>
              <w:rPr>
                <w:rFonts w:ascii="Arial" w:cs="Arial" w:eastAsia="Arial" w:hAnsi="Arial"/>
                <w:sz w:val="18"/>
                <w:szCs w:val="18"/>
                <w:b w:val="1"/>
                <w:bCs w:val="1"/>
                <w:color w:val="auto"/>
                <w:w w:val="91"/>
              </w:rPr>
              <w:t>Cayman Islands</w:t>
            </w:r>
          </w:p>
        </w:tc>
        <w:tc>
          <w:tcPr>
            <w:tcW w:w="3900" w:type="dxa"/>
            <w:vAlign w:val="bottom"/>
          </w:tcPr>
          <w:p>
            <w:pPr>
              <w:jc w:val="center"/>
              <w:ind w:right="56"/>
              <w:spacing w:after="0"/>
              <w:rPr>
                <w:sz w:val="20"/>
                <w:szCs w:val="20"/>
                <w:color w:val="auto"/>
              </w:rPr>
            </w:pPr>
            <w:r>
              <w:rPr>
                <w:rFonts w:ascii="Arial" w:cs="Arial" w:eastAsia="Arial" w:hAnsi="Arial"/>
                <w:sz w:val="18"/>
                <w:szCs w:val="18"/>
                <w:b w:val="1"/>
                <w:bCs w:val="1"/>
                <w:color w:val="auto"/>
                <w:w w:val="89"/>
              </w:rPr>
              <w:t>6770</w:t>
            </w:r>
          </w:p>
        </w:tc>
        <w:tc>
          <w:tcPr>
            <w:tcW w:w="3080" w:type="dxa"/>
            <w:vAlign w:val="bottom"/>
          </w:tcPr>
          <w:p>
            <w:pPr>
              <w:jc w:val="right"/>
              <w:ind w:right="815"/>
              <w:spacing w:after="0"/>
              <w:rPr>
                <w:sz w:val="20"/>
                <w:szCs w:val="20"/>
                <w:color w:val="auto"/>
              </w:rPr>
            </w:pPr>
            <w:r>
              <w:rPr>
                <w:rFonts w:ascii="Arial" w:cs="Arial" w:eastAsia="Arial" w:hAnsi="Arial"/>
                <w:sz w:val="18"/>
                <w:szCs w:val="18"/>
                <w:b w:val="1"/>
                <w:bCs w:val="1"/>
                <w:color w:val="auto"/>
              </w:rPr>
              <w:t>98-1541723</w:t>
            </w:r>
          </w:p>
        </w:tc>
      </w:tr>
      <w:tr>
        <w:trPr>
          <w:trHeight w:val="203"/>
        </w:trPr>
        <w:tc>
          <w:tcPr>
            <w:tcW w:w="3260" w:type="dxa"/>
            <w:vAlign w:val="bottom"/>
          </w:tcPr>
          <w:p>
            <w:pPr>
              <w:jc w:val="center"/>
              <w:ind w:right="196"/>
              <w:spacing w:after="0"/>
              <w:rPr>
                <w:sz w:val="20"/>
                <w:szCs w:val="20"/>
                <w:color w:val="auto"/>
              </w:rPr>
            </w:pPr>
            <w:r>
              <w:rPr>
                <w:rFonts w:ascii="Arial" w:cs="Arial" w:eastAsia="Arial" w:hAnsi="Arial"/>
                <w:sz w:val="16"/>
                <w:szCs w:val="16"/>
                <w:color w:val="auto"/>
                <w:w w:val="94"/>
              </w:rPr>
              <w:t>(State or other jurisdiction of incorporation or</w:t>
            </w:r>
          </w:p>
        </w:tc>
        <w:tc>
          <w:tcPr>
            <w:tcW w:w="3900" w:type="dxa"/>
            <w:vAlign w:val="bottom"/>
          </w:tcPr>
          <w:p>
            <w:pPr>
              <w:jc w:val="center"/>
              <w:ind w:right="56"/>
              <w:spacing w:after="0"/>
              <w:rPr>
                <w:sz w:val="20"/>
                <w:szCs w:val="20"/>
                <w:color w:val="auto"/>
              </w:rPr>
            </w:pPr>
            <w:r>
              <w:rPr>
                <w:rFonts w:ascii="Arial" w:cs="Arial" w:eastAsia="Arial" w:hAnsi="Arial"/>
                <w:sz w:val="16"/>
                <w:szCs w:val="16"/>
                <w:color w:val="auto"/>
                <w:w w:val="92"/>
              </w:rPr>
              <w:t>(Primary Standard Industrial Classification Code</w:t>
            </w:r>
          </w:p>
        </w:tc>
        <w:tc>
          <w:tcPr>
            <w:tcW w:w="3080" w:type="dxa"/>
            <w:vAlign w:val="bottom"/>
          </w:tcPr>
          <w:p>
            <w:pPr>
              <w:jc w:val="center"/>
              <w:ind w:left="335"/>
              <w:spacing w:after="0"/>
              <w:rPr>
                <w:sz w:val="20"/>
                <w:szCs w:val="20"/>
                <w:color w:val="auto"/>
              </w:rPr>
            </w:pPr>
            <w:r>
              <w:rPr>
                <w:rFonts w:ascii="Arial" w:cs="Arial" w:eastAsia="Arial" w:hAnsi="Arial"/>
                <w:sz w:val="16"/>
                <w:szCs w:val="16"/>
                <w:color w:val="auto"/>
                <w:w w:val="95"/>
              </w:rPr>
              <w:t>(I.R.S. Employer Identification Number)</w:t>
            </w:r>
          </w:p>
        </w:tc>
      </w:tr>
      <w:tr>
        <w:trPr>
          <w:trHeight w:val="206"/>
        </w:trPr>
        <w:tc>
          <w:tcPr>
            <w:tcW w:w="3260" w:type="dxa"/>
            <w:vAlign w:val="bottom"/>
          </w:tcPr>
          <w:p>
            <w:pPr>
              <w:jc w:val="center"/>
              <w:ind w:right="196"/>
              <w:spacing w:after="0"/>
              <w:rPr>
                <w:sz w:val="20"/>
                <w:szCs w:val="20"/>
                <w:color w:val="auto"/>
              </w:rPr>
            </w:pPr>
            <w:r>
              <w:rPr>
                <w:rFonts w:ascii="Arial" w:cs="Arial" w:eastAsia="Arial" w:hAnsi="Arial"/>
                <w:sz w:val="16"/>
                <w:szCs w:val="16"/>
                <w:color w:val="auto"/>
                <w:w w:val="92"/>
              </w:rPr>
              <w:t>organization)</w:t>
            </w:r>
          </w:p>
        </w:tc>
        <w:tc>
          <w:tcPr>
            <w:tcW w:w="3900" w:type="dxa"/>
            <w:vAlign w:val="bottom"/>
          </w:tcPr>
          <w:p>
            <w:pPr>
              <w:jc w:val="center"/>
              <w:ind w:right="76"/>
              <w:spacing w:after="0"/>
              <w:rPr>
                <w:sz w:val="20"/>
                <w:szCs w:val="20"/>
                <w:color w:val="auto"/>
              </w:rPr>
            </w:pPr>
            <w:r>
              <w:rPr>
                <w:rFonts w:ascii="Arial" w:cs="Arial" w:eastAsia="Arial" w:hAnsi="Arial"/>
                <w:sz w:val="16"/>
                <w:szCs w:val="16"/>
                <w:color w:val="auto"/>
                <w:w w:val="93"/>
              </w:rPr>
              <w:t>Number)</w:t>
            </w:r>
          </w:p>
        </w:tc>
        <w:tc>
          <w:tcPr>
            <w:tcW w:w="3080" w:type="dxa"/>
            <w:vAlign w:val="bottom"/>
          </w:tcPr>
          <w:p>
            <w:pPr>
              <w:spacing w:after="0"/>
              <w:rPr>
                <w:sz w:val="17"/>
                <w:szCs w:val="17"/>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51 Astor Place, 10th Floor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New York, New York 10003</w:t>
      </w:r>
    </w:p>
    <w:p>
      <w:pPr>
        <w:jc w:val="center"/>
        <w:spacing w:after="0" w:line="237" w:lineRule="auto"/>
        <w:rPr>
          <w:sz w:val="20"/>
          <w:szCs w:val="20"/>
          <w:color w:val="auto"/>
        </w:rPr>
      </w:pPr>
      <w:r>
        <w:rPr>
          <w:rFonts w:ascii="Arial" w:cs="Arial" w:eastAsia="Arial" w:hAnsi="Arial"/>
          <w:sz w:val="22"/>
          <w:szCs w:val="22"/>
          <w:b w:val="1"/>
          <w:bCs w:val="1"/>
          <w:color w:val="auto"/>
        </w:rPr>
        <w:t>(212) 248-2300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Adam Stone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51 Astor Place, 10th Floor</w:t>
      </w:r>
    </w:p>
    <w:p>
      <w:pPr>
        <w:jc w:val="center"/>
        <w:spacing w:after="0" w:line="230" w:lineRule="auto"/>
        <w:rPr>
          <w:sz w:val="20"/>
          <w:szCs w:val="20"/>
          <w:color w:val="auto"/>
        </w:rPr>
      </w:pPr>
      <w:r>
        <w:rPr>
          <w:rFonts w:ascii="Arial" w:cs="Arial" w:eastAsia="Arial" w:hAnsi="Arial"/>
          <w:sz w:val="22"/>
          <w:szCs w:val="22"/>
          <w:b w:val="1"/>
          <w:bCs w:val="1"/>
          <w:color w:val="auto"/>
        </w:rPr>
        <w:t>New York, New York 10003</w:t>
      </w:r>
    </w:p>
    <w:p>
      <w:pPr>
        <w:jc w:val="center"/>
        <w:spacing w:after="0" w:line="238" w:lineRule="auto"/>
        <w:rPr>
          <w:sz w:val="20"/>
          <w:szCs w:val="20"/>
          <w:color w:val="auto"/>
        </w:rPr>
      </w:pPr>
      <w:r>
        <w:rPr>
          <w:rFonts w:ascii="Arial" w:cs="Arial" w:eastAsia="Arial" w:hAnsi="Arial"/>
          <w:sz w:val="22"/>
          <w:szCs w:val="22"/>
          <w:b w:val="1"/>
          <w:bCs w:val="1"/>
          <w:color w:val="auto"/>
        </w:rPr>
        <w:t>(212) 248-2300</w:t>
      </w: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Copies:</w:t>
      </w:r>
    </w:p>
    <w:p>
      <w:pPr>
        <w:spacing w:after="0" w:line="2" w:lineRule="exact"/>
        <w:rPr>
          <w:sz w:val="24"/>
          <w:szCs w:val="24"/>
          <w:color w:val="auto"/>
        </w:rPr>
      </w:pPr>
    </w:p>
    <w:tbl>
      <w:tblPr>
        <w:tblLayout w:type="fixed"/>
        <w:tblInd w:w="1760" w:type="dxa"/>
        <w:tblCellMar>
          <w:top w:w="0" w:type="dxa"/>
          <w:left w:w="0" w:type="dxa"/>
          <w:bottom w:w="0" w:type="dxa"/>
          <w:right w:w="0" w:type="dxa"/>
        </w:tblCellMar>
      </w:tblPr>
      <w:tr>
        <w:trPr>
          <w:trHeight w:val="207"/>
        </w:trPr>
        <w:tc>
          <w:tcPr>
            <w:tcW w:w="35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3"/>
              </w:rPr>
              <w:t>Christian O. Nagler</w:t>
            </w:r>
          </w:p>
        </w:tc>
        <w:tc>
          <w:tcPr>
            <w:tcW w:w="484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Gregg A. Noel</w:t>
            </w:r>
          </w:p>
        </w:tc>
      </w:tr>
      <w:tr>
        <w:trPr>
          <w:trHeight w:val="216"/>
        </w:trPr>
        <w:tc>
          <w:tcPr>
            <w:tcW w:w="3540" w:type="dxa"/>
            <w:vAlign w:val="bottom"/>
          </w:tcPr>
          <w:p>
            <w:pPr>
              <w:jc w:val="center"/>
              <w:ind w:right="1330"/>
              <w:spacing w:after="0"/>
              <w:rPr>
                <w:sz w:val="20"/>
                <w:szCs w:val="20"/>
                <w:color w:val="auto"/>
              </w:rPr>
            </w:pPr>
            <w:r>
              <w:rPr>
                <w:rFonts w:ascii="Arial" w:cs="Arial" w:eastAsia="Arial" w:hAnsi="Arial"/>
                <w:sz w:val="18"/>
                <w:szCs w:val="18"/>
                <w:b w:val="1"/>
                <w:bCs w:val="1"/>
                <w:color w:val="auto"/>
                <w:w w:val="87"/>
              </w:rPr>
              <w:t>Ross Leff</w:t>
            </w:r>
          </w:p>
        </w:tc>
        <w:tc>
          <w:tcPr>
            <w:tcW w:w="4840" w:type="dxa"/>
            <w:vAlign w:val="bottom"/>
          </w:tcPr>
          <w:p>
            <w:pPr>
              <w:jc w:val="center"/>
              <w:ind w:left="1330"/>
              <w:spacing w:after="0"/>
              <w:rPr>
                <w:sz w:val="20"/>
                <w:szCs w:val="20"/>
                <w:color w:val="auto"/>
              </w:rPr>
            </w:pPr>
            <w:r>
              <w:rPr>
                <w:rFonts w:ascii="Arial" w:cs="Arial" w:eastAsia="Arial" w:hAnsi="Arial"/>
                <w:sz w:val="18"/>
                <w:szCs w:val="18"/>
                <w:b w:val="1"/>
                <w:bCs w:val="1"/>
                <w:color w:val="auto"/>
                <w:w w:val="93"/>
              </w:rPr>
              <w:t>Michael J. Mies</w:t>
            </w:r>
          </w:p>
        </w:tc>
      </w:tr>
      <w:tr>
        <w:trPr>
          <w:trHeight w:val="216"/>
        </w:trPr>
        <w:tc>
          <w:tcPr>
            <w:tcW w:w="35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8"/>
              </w:rPr>
              <w:t>Kirkland &amp; Ellis LLP</w:t>
            </w:r>
          </w:p>
        </w:tc>
        <w:tc>
          <w:tcPr>
            <w:tcW w:w="484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3540" w:type="dxa"/>
            <w:vAlign w:val="bottom"/>
          </w:tcPr>
          <w:p>
            <w:pPr>
              <w:jc w:val="center"/>
              <w:ind w:right="1350"/>
              <w:spacing w:after="0"/>
              <w:rPr>
                <w:sz w:val="20"/>
                <w:szCs w:val="20"/>
                <w:color w:val="auto"/>
              </w:rPr>
            </w:pPr>
            <w:r>
              <w:rPr>
                <w:rFonts w:ascii="Arial" w:cs="Arial" w:eastAsia="Arial" w:hAnsi="Arial"/>
                <w:sz w:val="18"/>
                <w:szCs w:val="18"/>
                <w:b w:val="1"/>
                <w:bCs w:val="1"/>
                <w:color w:val="auto"/>
                <w:w w:val="88"/>
              </w:rPr>
              <w:t>601 Lexington Avenue</w:t>
            </w:r>
          </w:p>
        </w:tc>
        <w:tc>
          <w:tcPr>
            <w:tcW w:w="484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525 University Avenue, Suite 1400</w:t>
            </w:r>
          </w:p>
        </w:tc>
      </w:tr>
      <w:tr>
        <w:trPr>
          <w:trHeight w:val="216"/>
        </w:trPr>
        <w:tc>
          <w:tcPr>
            <w:tcW w:w="35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2"/>
              </w:rPr>
              <w:t>New York, New York 10022</w:t>
            </w:r>
          </w:p>
        </w:tc>
        <w:tc>
          <w:tcPr>
            <w:tcW w:w="484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Palo Alto, California 94301</w:t>
            </w:r>
          </w:p>
        </w:tc>
      </w:tr>
      <w:tr>
        <w:trPr>
          <w:trHeight w:val="216"/>
        </w:trPr>
        <w:tc>
          <w:tcPr>
            <w:tcW w:w="3540" w:type="dxa"/>
            <w:vAlign w:val="bottom"/>
          </w:tcPr>
          <w:p>
            <w:pPr>
              <w:jc w:val="center"/>
              <w:ind w:right="1350"/>
              <w:spacing w:after="0"/>
              <w:rPr>
                <w:sz w:val="20"/>
                <w:szCs w:val="20"/>
                <w:color w:val="auto"/>
              </w:rPr>
            </w:pPr>
            <w:r>
              <w:rPr>
                <w:rFonts w:ascii="Arial" w:cs="Arial" w:eastAsia="Arial" w:hAnsi="Arial"/>
                <w:sz w:val="18"/>
                <w:szCs w:val="18"/>
                <w:b w:val="1"/>
                <w:bCs w:val="1"/>
                <w:color w:val="auto"/>
                <w:w w:val="91"/>
              </w:rPr>
              <w:t>Tel: (212) 446-4800</w:t>
            </w:r>
          </w:p>
        </w:tc>
        <w:tc>
          <w:tcPr>
            <w:tcW w:w="484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Tel: (650) 470-4500</w:t>
            </w:r>
          </w:p>
        </w:tc>
      </w:tr>
      <w:tr>
        <w:trPr>
          <w:trHeight w:val="234"/>
        </w:trPr>
        <w:tc>
          <w:tcPr>
            <w:tcW w:w="35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2"/>
              </w:rPr>
              <w:t>Fax: (212) 446-4900</w:t>
            </w:r>
          </w:p>
        </w:tc>
        <w:tc>
          <w:tcPr>
            <w:tcW w:w="4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2"/>
              </w:rPr>
              <w:t>Fax: (650) 470-4570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2" w:lineRule="exact"/>
        <w:rPr>
          <w:sz w:val="24"/>
          <w:szCs w:val="24"/>
          <w:color w:val="auto"/>
        </w:rPr>
      </w:pPr>
    </w:p>
    <w:p>
      <w:pPr>
        <w:ind w:right="160" w:firstLine="648"/>
        <w:spacing w:after="0" w:line="256" w:lineRule="auto"/>
        <w:rPr>
          <w:sz w:val="20"/>
          <w:szCs w:val="20"/>
          <w:color w:val="auto"/>
        </w:rPr>
      </w:pPr>
      <w:r>
        <w:rPr>
          <w:rFonts w:ascii="Arial" w:cs="Arial" w:eastAsia="Arial" w:hAnsi="Arial"/>
          <w:sz w:val="22"/>
          <w:szCs w:val="22"/>
          <w:b w:val="1"/>
          <w:bCs w:val="1"/>
          <w:color w:val="auto"/>
        </w:rPr>
        <w:t xml:space="preserve">Approximate date of commencement of proposed sale to the public: </w:t>
      </w:r>
      <w:r>
        <w:rPr>
          <w:rFonts w:ascii="Arial" w:cs="Arial" w:eastAsia="Arial" w:hAnsi="Arial"/>
          <w:sz w:val="22"/>
          <w:szCs w:val="22"/>
          <w:color w:val="auto"/>
        </w:rPr>
        <w:t>As soon as practicable after the effective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registration statement.</w:t>
      </w:r>
    </w:p>
    <w:p>
      <w:pPr>
        <w:spacing w:after="0" w:line="195" w:lineRule="exact"/>
        <w:rPr>
          <w:sz w:val="24"/>
          <w:szCs w:val="24"/>
          <w:color w:val="auto"/>
        </w:rPr>
      </w:pPr>
    </w:p>
    <w:p>
      <w:pPr>
        <w:ind w:right="340" w:firstLine="648"/>
        <w:spacing w:after="0" w:line="278" w:lineRule="exact"/>
        <w:rPr>
          <w:sz w:val="20"/>
          <w:szCs w:val="20"/>
          <w:color w:val="auto"/>
        </w:rPr>
      </w:pPr>
      <w:r>
        <w:rPr>
          <w:rFonts w:ascii="Arial" w:cs="Arial" w:eastAsia="Arial" w:hAnsi="Arial"/>
          <w:sz w:val="22"/>
          <w:szCs w:val="2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ind w:right="240" w:firstLine="648"/>
        <w:spacing w:after="0" w:line="278"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22"/>
          <w:szCs w:val="22"/>
          <w:color w:val="auto"/>
        </w:rPr>
        <w:t>☐</w:t>
      </w:r>
    </w:p>
    <w:p>
      <w:pPr>
        <w:spacing w:after="0" w:line="188" w:lineRule="exact"/>
        <w:rPr>
          <w:sz w:val="24"/>
          <w:szCs w:val="24"/>
          <w:color w:val="auto"/>
        </w:rPr>
      </w:pPr>
    </w:p>
    <w:p>
      <w:pPr>
        <w:jc w:val="both"/>
        <w:ind w:right="580" w:firstLine="648"/>
        <w:spacing w:after="0" w:line="266" w:lineRule="exact"/>
        <w:rPr>
          <w:sz w:val="20"/>
          <w:szCs w:val="20"/>
          <w:color w:val="auto"/>
        </w:rPr>
      </w:pPr>
      <w:r>
        <w:rPr>
          <w:rFonts w:ascii="Arial" w:cs="Arial" w:eastAsia="Arial" w:hAnsi="Arial"/>
          <w:sz w:val="22"/>
          <w:szCs w:val="2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2"/>
          <w:szCs w:val="22"/>
          <w:color w:val="auto"/>
        </w:rPr>
        <w:t>☒</w:t>
      </w:r>
      <w:r>
        <w:rPr>
          <w:rFonts w:ascii="Arial" w:cs="Arial" w:eastAsia="Arial" w:hAnsi="Arial"/>
          <w:sz w:val="22"/>
          <w:szCs w:val="22"/>
          <w:color w:val="auto"/>
        </w:rPr>
        <w:t xml:space="preserve"> 333-239986</w:t>
      </w:r>
    </w:p>
    <w:p>
      <w:pPr>
        <w:spacing w:after="0" w:line="189" w:lineRule="exact"/>
        <w:rPr>
          <w:sz w:val="24"/>
          <w:szCs w:val="24"/>
          <w:color w:val="auto"/>
        </w:rPr>
      </w:pPr>
    </w:p>
    <w:p>
      <w:pPr>
        <w:ind w:right="20" w:firstLine="648"/>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89" w:lineRule="exact"/>
        <w:rPr>
          <w:sz w:val="24"/>
          <w:szCs w:val="24"/>
          <w:color w:val="auto"/>
        </w:rPr>
      </w:pPr>
    </w:p>
    <w:p>
      <w:pPr>
        <w:ind w:firstLine="648"/>
        <w:spacing w:after="0" w:line="277" w:lineRule="exact"/>
        <w:rPr>
          <w:sz w:val="20"/>
          <w:szCs w:val="20"/>
          <w:color w:val="auto"/>
        </w:rPr>
      </w:pPr>
      <w:r>
        <w:rPr>
          <w:rFonts w:ascii="Arial" w:cs="Arial" w:eastAsia="Arial" w:hAnsi="Arial"/>
          <w:sz w:val="19"/>
          <w:szCs w:val="19"/>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89" w:lineRule="exact"/>
        <w:rPr>
          <w:sz w:val="24"/>
          <w:szCs w:val="24"/>
          <w:color w:val="auto"/>
        </w:rPr>
      </w:pPr>
    </w:p>
    <w:p>
      <w:pPr>
        <w:ind w:right="220" w:firstLine="648"/>
        <w:spacing w:after="0" w:line="297"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21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gridSpan w:val="2"/>
          </w:tcPr>
          <w:p>
            <w:pPr>
              <w:ind w:left="1700"/>
              <w:spacing w:after="0"/>
              <w:rPr>
                <w:sz w:val="20"/>
                <w:szCs w:val="20"/>
                <w:color w:val="auto"/>
              </w:rPr>
            </w:pPr>
            <w:r>
              <w:rPr>
                <w:rFonts w:ascii="Arial" w:cs="Arial" w:eastAsia="Arial" w:hAnsi="Arial"/>
                <w:sz w:val="18"/>
                <w:szCs w:val="18"/>
                <w:color w:val="auto"/>
              </w:rPr>
              <w:t>Smaller reporting 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900" w:type="dxa"/>
            <w:vAlign w:val="bottom"/>
            <w:gridSpan w:val="2"/>
          </w:tcPr>
          <w:p>
            <w:pPr>
              <w:ind w:left="170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3" w:gutter="0" w:footer="0" w:header="0"/>
        </w:sectPr>
      </w:pPr>
    </w:p>
    <w:bookmarkStart w:id="1" w:name="page2"/>
    <w:bookmarkEnd w:id="1"/>
    <w:p>
      <w:pPr>
        <w:ind w:right="400" w:firstLine="648"/>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48260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8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18"/>
                <w:szCs w:val="18"/>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 of Securities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r>
      <w:tr>
        <w:trPr>
          <w:trHeight w:val="241"/>
        </w:trPr>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being Registered</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being Registered</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Security(1)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r>
      <w:tr>
        <w:trPr>
          <w:trHeight w:val="223"/>
        </w:trPr>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Class A ordinary shares, $0.0001 par value(2)(3)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575,000 shares</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$5,750,000</w:t>
            </w: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$747</w:t>
            </w:r>
          </w:p>
        </w:tc>
      </w:tr>
      <w:tr>
        <w:trPr>
          <w:trHeight w:val="216"/>
        </w:trPr>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$5,750,000</w:t>
            </w: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$747(4)</w:t>
            </w:r>
          </w:p>
        </w:tc>
      </w:tr>
      <w:tr>
        <w:trPr>
          <w:trHeight w:val="21"/>
        </w:trPr>
        <w:tc>
          <w:tcPr>
            <w:tcW w:w="37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w:t>
      </w:r>
    </w:p>
    <w:p>
      <w:pPr>
        <w:spacing w:after="0" w:line="23" w:lineRule="exact"/>
        <w:rPr>
          <w:rFonts w:ascii="Arial" w:cs="Arial" w:eastAsia="Arial" w:hAnsi="Arial"/>
          <w:sz w:val="18"/>
          <w:szCs w:val="18"/>
          <w:color w:val="auto"/>
        </w:rPr>
      </w:pPr>
    </w:p>
    <w:p>
      <w:pPr>
        <w:ind w:left="560" w:right="80" w:hanging="552"/>
        <w:spacing w:after="0" w:line="250"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only the additional number of securities being registered. Does not include the securities that the Registrant previously registered on the Registration Statement on Form S-1 (File No. 333-239986).</w:t>
      </w:r>
    </w:p>
    <w:p>
      <w:pPr>
        <w:ind w:left="560" w:right="320" w:hanging="552"/>
        <w:spacing w:after="0" w:line="250" w:lineRule="auto"/>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there are also being registered an indeterminable number of additional securities as may be offered or issued to prevent dilution resulting from stock splits, stock dividends, or similar transactions.</w:t>
      </w:r>
    </w:p>
    <w:p>
      <w:pPr>
        <w:jc w:val="both"/>
        <w:ind w:left="560" w:right="20" w:hanging="552"/>
        <w:spacing w:after="0" w:line="295" w:lineRule="auto"/>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previously registered securities having a proposed maximum aggregate offering price of $143,750,000 on its Registration Statement on Form S-1, as amended (File No. 333-239986), which was declared effective by the Securities and Exchange Commission on August 6, 2020. In accordance with Rule 462(b) under the Securities Act, an additional number of securities having a proposed maximum offering price of $5,750,000 is hereby registered, which includes securities issuable upon the exercise of the underwriters’ option to purchase additional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Registration Statement on Form S-1 is being filed with respect to the registration of 575,000 additional Class A ordinary shares of ARYA Sciences Acquisition Corp III, a Cayman Islands exempted company (the “Registrant”), pursuant to Rule 462(b) under the Securities Act of 1933, as amended, and General Instruction V to Form S-1. This Registration Statement relates to the Registrant’s Registration Statement on Form S-1, as amended (File No. 333-239986) (the “Prior Registration Statement”), initially filed by the Registrant on July 21, 2020 and declared effective by the Securities and Exchange Commission (the “Commission”) on August 6, 2020. The required opinions of counsel and related consents and accountant’s consent are attached hereto and filed herewith. Pursuant to Rule 462(b), the contents of the Prior Registration Statement, including the exhibits thereto, are incorporated by reference into this Registration Statement.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The Registrant hereby certifies to the Commission that (1) it has instructed its bank to pay the filing fee set forth on the cover page of this Registration Statement by a wire transfer of such amount to the Commission’s account at U.S. Bank as soon as practicable (but no later than the close of business as of August 7, 2020), (2) it will not revoke such instructions, (3) it has sufficient funds in the relevant account to cover the amount of such filing fee and (4) it will confirm receipt of such instructions by its bank during regular business hours no later than 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PART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Exhibits and Financial Statement Schedules.</w:t>
      </w:r>
    </w:p>
    <w:p>
      <w:pPr>
        <w:spacing w:after="0" w:line="239" w:lineRule="exact"/>
        <w:rPr>
          <w:sz w:val="20"/>
          <w:szCs w:val="20"/>
          <w:color w:val="auto"/>
        </w:rPr>
      </w:pPr>
    </w:p>
    <w:p>
      <w:pPr>
        <w:ind w:right="20" w:firstLine="656"/>
        <w:spacing w:after="0" w:line="257" w:lineRule="auto"/>
        <w:tabs>
          <w:tab w:leader="none" w:pos="1428" w:val="left"/>
        </w:tabs>
        <w:numPr>
          <w:ilvl w:val="0"/>
          <w:numId w:val="2"/>
        </w:numPr>
        <w:rPr>
          <w:rFonts w:ascii="Arial" w:cs="Arial" w:eastAsia="Arial" w:hAnsi="Arial"/>
          <w:sz w:val="21"/>
          <w:szCs w:val="21"/>
          <w:color w:val="auto"/>
        </w:rPr>
      </w:pPr>
      <w:r>
        <w:rPr>
          <w:rFonts w:ascii="Arial" w:cs="Arial" w:eastAsia="Arial" w:hAnsi="Arial"/>
          <w:sz w:val="21"/>
          <w:szCs w:val="21"/>
          <w:color w:val="auto"/>
        </w:rPr>
        <w:t>Exhibits. All exhibits filed with or incorporated by reference in the Prior Registration Statement on Form S-1 (SEC File No. 333-239986) are incorporated by reference into, and shall be deemed a part of, this Registration Statement, and the following additional exhibits are filed herewith, as part of this Registration Statement: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2"/>
                <w:szCs w:val="22"/>
                <w:color w:val="auto"/>
              </w:rPr>
            </w:pPr>
          </w:p>
        </w:tc>
        <w:tc>
          <w:tcPr>
            <w:tcW w:w="9540" w:type="dxa"/>
            <w:vAlign w:val="bottom"/>
            <w:tcBorders>
              <w:bottom w:val="single" w:sz="8" w:color="auto"/>
            </w:tcBorders>
          </w:tcPr>
          <w:p>
            <w:pPr>
              <w:ind w:left="432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480" w:type="dxa"/>
            <w:vAlign w:val="bottom"/>
          </w:tcPr>
          <w:p>
            <w:pPr>
              <w:jc w:val="center"/>
              <w:spacing w:after="0" w:line="201" w:lineRule="exact"/>
              <w:rPr>
                <w:rFonts w:ascii="Arial" w:cs="Arial" w:eastAsia="Arial" w:hAnsi="Arial"/>
                <w:sz w:val="18"/>
                <w:szCs w:val="18"/>
                <w:u w:val="single" w:color="auto"/>
                <w:color w:val="0000EE"/>
                <w:w w:val="87"/>
              </w:rPr>
            </w:pPr>
            <w:hyperlink w:anchor="page6">
              <w:r>
                <w:rPr>
                  <w:rFonts w:ascii="Arial" w:cs="Arial" w:eastAsia="Arial" w:hAnsi="Arial"/>
                  <w:sz w:val="18"/>
                  <w:szCs w:val="18"/>
                  <w:u w:val="single" w:color="auto"/>
                  <w:color w:val="0000EE"/>
                  <w:w w:val="87"/>
                </w:rPr>
                <w:t>5.1</w:t>
              </w:r>
            </w:hyperlink>
          </w:p>
        </w:tc>
        <w:tc>
          <w:tcPr>
            <w:tcW w:w="220" w:type="dxa"/>
            <w:vAlign w:val="bottom"/>
          </w:tcPr>
          <w:p>
            <w:pPr>
              <w:spacing w:after="0"/>
              <w:rPr>
                <w:sz w:val="17"/>
                <w:szCs w:val="17"/>
                <w:color w:val="auto"/>
              </w:rPr>
            </w:pPr>
          </w:p>
        </w:tc>
        <w:tc>
          <w:tcPr>
            <w:tcW w:w="9540" w:type="dxa"/>
            <w:vAlign w:val="bottom"/>
          </w:tcPr>
          <w:p>
            <w:pPr>
              <w:spacing w:after="0" w:line="201" w:lineRule="exact"/>
              <w:rPr>
                <w:sz w:val="20"/>
                <w:szCs w:val="20"/>
                <w:color w:val="auto"/>
              </w:rPr>
            </w:pPr>
            <w:r>
              <w:rPr>
                <w:rFonts w:ascii="Arial" w:cs="Arial" w:eastAsia="Arial" w:hAnsi="Arial"/>
                <w:sz w:val="18"/>
                <w:szCs w:val="18"/>
                <w:color w:val="auto"/>
              </w:rPr>
              <w:t>Opinion of Ogier, Cayman Islands Counsel to the Registrant.</w:t>
            </w:r>
          </w:p>
        </w:tc>
      </w:tr>
      <w:tr>
        <w:trPr>
          <w:trHeight w:val="216"/>
        </w:trPr>
        <w:tc>
          <w:tcPr>
            <w:tcW w:w="1480" w:type="dxa"/>
            <w:vAlign w:val="bottom"/>
          </w:tcPr>
          <w:p>
            <w:pPr>
              <w:jc w:val="center"/>
              <w:spacing w:after="0"/>
              <w:rPr>
                <w:rFonts w:ascii="Arial" w:cs="Arial" w:eastAsia="Arial" w:hAnsi="Arial"/>
                <w:sz w:val="18"/>
                <w:szCs w:val="18"/>
                <w:u w:val="single" w:color="auto"/>
                <w:color w:val="0000EE"/>
                <w:w w:val="91"/>
              </w:rPr>
            </w:pPr>
            <w:hyperlink w:anchor="page15">
              <w:r>
                <w:rPr>
                  <w:rFonts w:ascii="Arial" w:cs="Arial" w:eastAsia="Arial" w:hAnsi="Arial"/>
                  <w:sz w:val="18"/>
                  <w:szCs w:val="18"/>
                  <w:u w:val="single" w:color="auto"/>
                  <w:color w:val="0000EE"/>
                  <w:w w:val="91"/>
                </w:rPr>
                <w:t>23.1</w:t>
              </w:r>
            </w:hyperlink>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Consent of WithumSmith+Brown, PC.</w:t>
            </w:r>
          </w:p>
        </w:tc>
      </w:tr>
      <w:tr>
        <w:trPr>
          <w:trHeight w:val="230"/>
        </w:trPr>
        <w:tc>
          <w:tcPr>
            <w:tcW w:w="1480" w:type="dxa"/>
            <w:vAlign w:val="bottom"/>
          </w:tcPr>
          <w:p>
            <w:pPr>
              <w:jc w:val="center"/>
              <w:spacing w:after="0"/>
              <w:rPr>
                <w:rFonts w:ascii="Arial" w:cs="Arial" w:eastAsia="Arial" w:hAnsi="Arial"/>
                <w:sz w:val="18"/>
                <w:szCs w:val="18"/>
                <w:u w:val="single" w:color="auto"/>
                <w:color w:val="0000EE"/>
                <w:w w:val="91"/>
              </w:rPr>
            </w:pPr>
            <w:hyperlink w:anchor="page6">
              <w:r>
                <w:rPr>
                  <w:rFonts w:ascii="Arial" w:cs="Arial" w:eastAsia="Arial" w:hAnsi="Arial"/>
                  <w:sz w:val="18"/>
                  <w:szCs w:val="18"/>
                  <w:u w:val="single" w:color="auto"/>
                  <w:color w:val="0000EE"/>
                  <w:w w:val="91"/>
                </w:rPr>
                <w:t>23.2</w:t>
              </w:r>
            </w:hyperlink>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Consent of Ogier (included on Exhibit 5.1).</w:t>
            </w:r>
          </w:p>
        </w:tc>
      </w:tr>
    </w:tbl>
    <w:p>
      <w:pPr>
        <w:ind w:left="1700" w:right="100" w:hanging="1046"/>
        <w:spacing w:after="0" w:line="260" w:lineRule="auto"/>
        <w:tabs>
          <w:tab w:leader="none" w:pos="1700" w:val="left"/>
        </w:tabs>
        <w:numPr>
          <w:ilvl w:val="0"/>
          <w:numId w:val="3"/>
        </w:numPr>
        <w:rPr>
          <w:rFonts w:ascii="Arial" w:cs="Arial" w:eastAsia="Arial" w:hAnsi="Arial"/>
          <w:sz w:val="18"/>
          <w:szCs w:val="18"/>
          <w:u w:val="single" w:color="auto"/>
          <w:color w:val="0000EE"/>
        </w:rPr>
      </w:pPr>
      <w:r>
        <w:rPr>
          <w:rFonts w:ascii="Arial" w:cs="Arial" w:eastAsia="Arial" w:hAnsi="Arial"/>
          <w:sz w:val="18"/>
          <w:szCs w:val="18"/>
          <w:color w:val="auto"/>
        </w:rPr>
        <w:t>Power of Attorney (included on signature page to the Registrant’s Prior Registration Statement (File No. 333-239986) filed on July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Pursuant to the requirements of the Securities Act of 1933, as amended, the registrant has duly caused this Registration Statement to be signed on its behalf by the undersigned, thereunto duly authorized, in the city of New York, New York, on the 6th day of August 2020.</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ACQUISITION CORP III</w:t>
      </w:r>
    </w:p>
    <w:p>
      <w:pPr>
        <w:spacing w:after="0" w:line="212" w:lineRule="exact"/>
        <w:rPr>
          <w:sz w:val="20"/>
          <w:szCs w:val="20"/>
          <w:color w:val="auto"/>
        </w:rPr>
      </w:pPr>
    </w:p>
    <w:tbl>
      <w:tblPr>
        <w:tblLayout w:type="fixed"/>
        <w:tblInd w:w="564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720" w:type="dxa"/>
            <w:vAlign w:val="bottom"/>
            <w:gridSpan w:val="2"/>
          </w:tcPr>
          <w:p>
            <w:pPr>
              <w:spacing w:after="0"/>
              <w:rPr>
                <w:sz w:val="20"/>
                <w:szCs w:val="20"/>
                <w:color w:val="auto"/>
              </w:rPr>
            </w:pPr>
            <w:r>
              <w:rPr>
                <w:rFonts w:ascii="Arial" w:cs="Arial" w:eastAsia="Arial" w:hAnsi="Arial"/>
                <w:sz w:val="18"/>
                <w:szCs w:val="18"/>
                <w:color w:val="auto"/>
              </w:rPr>
              <w:t>/s/ Adam Stone</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Adams Stone</w:t>
            </w:r>
          </w:p>
        </w:tc>
        <w:tc>
          <w:tcPr>
            <w:tcW w:w="62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720" w:type="dxa"/>
            <w:vAlign w:val="bottom"/>
            <w:gridSpan w:val="2"/>
          </w:tcPr>
          <w:p>
            <w:pPr>
              <w:spacing w:after="0"/>
              <w:rPr>
                <w:sz w:val="20"/>
                <w:szCs w:val="20"/>
                <w:color w:val="auto"/>
              </w:rPr>
            </w:pPr>
            <w:r>
              <w:rPr>
                <w:rFonts w:ascii="Arial" w:cs="Arial" w:eastAsia="Arial" w:hAnsi="Arial"/>
                <w:sz w:val="18"/>
                <w:szCs w:val="18"/>
                <w:color w:val="auto"/>
                <w:w w:val="92"/>
              </w:rPr>
              <w:t>Chief Executive Officer</w:t>
            </w:r>
          </w:p>
        </w:tc>
      </w:tr>
    </w:tbl>
    <w:p>
      <w:pPr>
        <w:spacing w:after="0" w:line="22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220"/>
          </w:cols>
          <w:pgMar w:left="320" w:top="112" w:right="359" w:bottom="1440" w:gutter="0" w:footer="0" w:header="0"/>
        </w:sectPr>
      </w:pPr>
    </w:p>
    <w:p>
      <w:pPr>
        <w:spacing w:after="0" w:line="20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Name</w:t>
      </w:r>
    </w:p>
    <w:p>
      <w:pPr>
        <w:spacing w:after="0" w:line="22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Adam Stone</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Michael Altman</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/s/ 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571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3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Bradley L. Campbell</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Saqib Islam</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Todd Wider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72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87"/>
              </w:rPr>
              <w:t>Position</w:t>
            </w:r>
          </w:p>
        </w:tc>
        <w:tc>
          <w:tcPr>
            <w:tcW w:w="1180" w:type="dxa"/>
            <w:vAlign w:val="bottom"/>
          </w:tcPr>
          <w:p>
            <w:pPr>
              <w:spacing w:after="0"/>
              <w:rPr>
                <w:sz w:val="17"/>
                <w:szCs w:val="17"/>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82"/>
        </w:trPr>
        <w:tc>
          <w:tcPr>
            <w:tcW w:w="40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Chairman</w:t>
            </w:r>
          </w:p>
        </w:tc>
        <w:tc>
          <w:tcPr>
            <w:tcW w:w="190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August 6, 2020</w:t>
            </w:r>
          </w:p>
        </w:tc>
      </w:tr>
      <w:tr>
        <w:trPr>
          <w:trHeight w:val="431"/>
        </w:trPr>
        <w:tc>
          <w:tcPr>
            <w:tcW w:w="402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Chief Executive Officer and Director</w:t>
            </w:r>
          </w:p>
        </w:tc>
        <w:tc>
          <w:tcPr>
            <w:tcW w:w="190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August 6, 2020</w:t>
            </w:r>
          </w:p>
        </w:tc>
      </w:tr>
      <w:tr>
        <w:trPr>
          <w:trHeight w:val="230"/>
        </w:trPr>
        <w:tc>
          <w:tcPr>
            <w:tcW w:w="402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(Principal Executive Officer)</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40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Chief Financial Officer and Director</w:t>
            </w:r>
          </w:p>
        </w:tc>
        <w:tc>
          <w:tcPr>
            <w:tcW w:w="190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August 6, 2020</w:t>
            </w:r>
          </w:p>
        </w:tc>
      </w:tr>
      <w:tr>
        <w:trPr>
          <w:trHeight w:val="230"/>
        </w:trPr>
        <w:tc>
          <w:tcPr>
            <w:tcW w:w="40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(Principal Financial and Accounting Officer)</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88"/>
        </w:trPr>
        <w:tc>
          <w:tcPr>
            <w:tcW w:w="1300" w:type="dxa"/>
            <w:vAlign w:val="bottom"/>
          </w:tcPr>
          <w:p>
            <w:pPr>
              <w:spacing w:after="0"/>
              <w:rPr>
                <w:sz w:val="24"/>
                <w:szCs w:val="24"/>
                <w:color w:val="auto"/>
              </w:rPr>
            </w:pPr>
          </w:p>
        </w:tc>
        <w:tc>
          <w:tcPr>
            <w:tcW w:w="2720" w:type="dxa"/>
            <w:vAlign w:val="bottom"/>
            <w:gridSpan w:val="2"/>
          </w:tcPr>
          <w:p>
            <w:pPr>
              <w:jc w:val="center"/>
              <w:ind w:right="208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August 6, 2020</w:t>
            </w:r>
          </w:p>
        </w:tc>
      </w:tr>
      <w:tr>
        <w:trPr>
          <w:trHeight w:val="675"/>
        </w:trPr>
        <w:tc>
          <w:tcPr>
            <w:tcW w:w="1300" w:type="dxa"/>
            <w:vAlign w:val="bottom"/>
          </w:tcPr>
          <w:p>
            <w:pPr>
              <w:spacing w:after="0"/>
              <w:rPr>
                <w:sz w:val="24"/>
                <w:szCs w:val="24"/>
                <w:color w:val="auto"/>
              </w:rPr>
            </w:pPr>
          </w:p>
        </w:tc>
        <w:tc>
          <w:tcPr>
            <w:tcW w:w="2720" w:type="dxa"/>
            <w:vAlign w:val="bottom"/>
            <w:gridSpan w:val="2"/>
          </w:tcPr>
          <w:p>
            <w:pPr>
              <w:jc w:val="center"/>
              <w:ind w:right="208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August 6, 2020</w:t>
            </w:r>
          </w:p>
        </w:tc>
      </w:tr>
      <w:tr>
        <w:trPr>
          <w:trHeight w:val="675"/>
        </w:trPr>
        <w:tc>
          <w:tcPr>
            <w:tcW w:w="1300" w:type="dxa"/>
            <w:vAlign w:val="bottom"/>
          </w:tcPr>
          <w:p>
            <w:pPr>
              <w:spacing w:after="0"/>
              <w:rPr>
                <w:sz w:val="24"/>
                <w:szCs w:val="24"/>
                <w:color w:val="auto"/>
              </w:rPr>
            </w:pPr>
          </w:p>
        </w:tc>
        <w:tc>
          <w:tcPr>
            <w:tcW w:w="2720" w:type="dxa"/>
            <w:vAlign w:val="bottom"/>
            <w:gridSpan w:val="2"/>
          </w:tcPr>
          <w:p>
            <w:pPr>
              <w:jc w:val="center"/>
              <w:ind w:right="2080"/>
              <w:spacing w:after="0"/>
              <w:rPr>
                <w:sz w:val="20"/>
                <w:szCs w:val="20"/>
                <w:color w:val="auto"/>
              </w:rPr>
            </w:pPr>
            <w:r>
              <w:rPr>
                <w:rFonts w:ascii="Arial" w:cs="Arial" w:eastAsia="Arial" w:hAnsi="Arial"/>
                <w:sz w:val="18"/>
                <w:szCs w:val="18"/>
                <w:color w:val="auto"/>
                <w:w w:val="95"/>
              </w:rPr>
              <w:t>Director</w:t>
            </w:r>
          </w:p>
        </w:tc>
        <w:tc>
          <w:tcPr>
            <w:tcW w:w="190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August 6,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231140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300" w:space="720"/>
            <w:col w:w="7200"/>
          </w:cols>
          <w:pgMar w:left="320" w:top="112" w:right="35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165100</wp:posOffset>
            </wp:positionV>
            <wp:extent cx="934085" cy="3771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0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40" w:type="dxa"/>
            <w:vAlign w:val="bottom"/>
          </w:tcPr>
          <w:p>
            <w:pPr>
              <w:spacing w:after="0"/>
              <w:rPr>
                <w:sz w:val="20"/>
                <w:szCs w:val="20"/>
                <w:color w:val="auto"/>
              </w:rPr>
            </w:pPr>
            <w:r>
              <w:rPr>
                <w:rFonts w:ascii="Arial" w:cs="Arial" w:eastAsia="Arial" w:hAnsi="Arial"/>
                <w:sz w:val="18"/>
                <w:szCs w:val="18"/>
                <w:color w:val="auto"/>
              </w:rPr>
              <w:t>ARYA Sciences Acquisition Corp III</w:t>
            </w:r>
          </w:p>
        </w:tc>
        <w:tc>
          <w:tcPr>
            <w:tcW w:w="3960" w:type="dxa"/>
            <w:vAlign w:val="bottom"/>
          </w:tcPr>
          <w:p>
            <w:pPr>
              <w:ind w:left="1760"/>
              <w:spacing w:after="0"/>
              <w:rPr>
                <w:sz w:val="20"/>
                <w:szCs w:val="20"/>
                <w:color w:val="auto"/>
              </w:rPr>
            </w:pPr>
            <w:r>
              <w:rPr>
                <w:rFonts w:ascii="Arial" w:cs="Arial" w:eastAsia="Arial" w:hAnsi="Arial"/>
                <w:sz w:val="18"/>
                <w:szCs w:val="18"/>
                <w:b w:val="1"/>
                <w:bCs w:val="1"/>
                <w:color w:val="auto"/>
              </w:rPr>
              <w:t>D +1 345 815 1788</w:t>
            </w:r>
          </w:p>
        </w:tc>
        <w:tc>
          <w:tcPr>
            <w:tcW w:w="0" w:type="dxa"/>
            <w:vAlign w:val="bottom"/>
          </w:tcPr>
          <w:p>
            <w:pPr>
              <w:spacing w:after="0"/>
              <w:rPr>
                <w:sz w:val="1"/>
                <w:szCs w:val="1"/>
                <w:color w:val="auto"/>
              </w:rPr>
            </w:pPr>
          </w:p>
        </w:tc>
      </w:t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89 Nexus Way</w:t>
            </w:r>
          </w:p>
        </w:tc>
        <w:tc>
          <w:tcPr>
            <w:tcW w:w="3960" w:type="dxa"/>
            <w:vAlign w:val="bottom"/>
          </w:tcPr>
          <w:p>
            <w:pPr>
              <w:ind w:left="1760"/>
              <w:spacing w:after="0"/>
              <w:rPr>
                <w:sz w:val="20"/>
                <w:szCs w:val="20"/>
                <w:color w:val="auto"/>
              </w:rPr>
            </w:pPr>
            <w:r>
              <w:rPr>
                <w:rFonts w:ascii="Arial" w:cs="Arial" w:eastAsia="Arial" w:hAnsi="Arial"/>
                <w:sz w:val="18"/>
                <w:szCs w:val="18"/>
                <w:b w:val="1"/>
                <w:bCs w:val="1"/>
                <w:color w:val="auto"/>
                <w:w w:val="88"/>
              </w:rPr>
              <w:t>E angus.davison@ogier.com</w:t>
            </w:r>
          </w:p>
        </w:tc>
        <w:tc>
          <w:tcPr>
            <w:tcW w:w="0" w:type="dxa"/>
            <w:vAlign w:val="bottom"/>
          </w:tcPr>
          <w:p>
            <w:pPr>
              <w:spacing w:after="0"/>
              <w:rPr>
                <w:sz w:val="1"/>
                <w:szCs w:val="1"/>
                <w:color w:val="auto"/>
              </w:rPr>
            </w:pPr>
          </w:p>
        </w:tc>
      </w:tr>
      <w:tr>
        <w:trPr>
          <w:trHeight w:val="215"/>
        </w:trPr>
        <w:tc>
          <w:tcPr>
            <w:tcW w:w="4440" w:type="dxa"/>
            <w:vAlign w:val="bottom"/>
          </w:tcPr>
          <w:p>
            <w:pPr>
              <w:spacing w:after="0"/>
              <w:rPr>
                <w:sz w:val="20"/>
                <w:szCs w:val="20"/>
                <w:color w:val="auto"/>
              </w:rPr>
            </w:pPr>
            <w:r>
              <w:rPr>
                <w:rFonts w:ascii="Arial" w:cs="Arial" w:eastAsia="Arial" w:hAnsi="Arial"/>
                <w:sz w:val="18"/>
                <w:szCs w:val="18"/>
                <w:color w:val="auto"/>
              </w:rPr>
              <w:t>Camana Bay</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Grand Cayman, KY1-9009</w:t>
            </w:r>
          </w:p>
        </w:tc>
        <w:tc>
          <w:tcPr>
            <w:tcW w:w="3960" w:type="dxa"/>
            <w:vAlign w:val="bottom"/>
            <w:vMerge w:val="restart"/>
          </w:tcPr>
          <w:p>
            <w:pPr>
              <w:ind w:left="1760"/>
              <w:spacing w:after="0"/>
              <w:rPr>
                <w:sz w:val="20"/>
                <w:szCs w:val="20"/>
                <w:color w:val="auto"/>
              </w:rPr>
            </w:pPr>
            <w:r>
              <w:rPr>
                <w:rFonts w:ascii="Arial" w:cs="Arial" w:eastAsia="Arial" w:hAnsi="Arial"/>
                <w:sz w:val="18"/>
                <w:szCs w:val="18"/>
                <w:color w:val="auto"/>
              </w:rPr>
              <w:t>Reference: 421268.00018</w:t>
            </w:r>
          </w:p>
        </w:tc>
        <w:tc>
          <w:tcPr>
            <w:tcW w:w="0" w:type="dxa"/>
            <w:vAlign w:val="bottom"/>
          </w:tcPr>
          <w:p>
            <w:pPr>
              <w:spacing w:after="0"/>
              <w:rPr>
                <w:sz w:val="1"/>
                <w:szCs w:val="1"/>
                <w:color w:val="auto"/>
              </w:rPr>
            </w:pPr>
          </w:p>
        </w:tc>
      </w:tr>
      <w:tr>
        <w:trPr>
          <w:trHeight w:val="136"/>
        </w:trPr>
        <w:tc>
          <w:tcPr>
            <w:tcW w:w="4440" w:type="dxa"/>
            <w:vAlign w:val="bottom"/>
            <w:vMerge w:val="restart"/>
          </w:tcPr>
          <w:p>
            <w:pPr>
              <w:spacing w:after="0"/>
              <w:rPr>
                <w:sz w:val="20"/>
                <w:szCs w:val="20"/>
                <w:color w:val="auto"/>
              </w:rPr>
            </w:pPr>
            <w:r>
              <w:rPr>
                <w:rFonts w:ascii="Arial" w:cs="Arial" w:eastAsia="Arial" w:hAnsi="Arial"/>
                <w:sz w:val="18"/>
                <w:szCs w:val="18"/>
                <w:color w:val="auto"/>
              </w:rPr>
              <w:t>Cayman Islands</w:t>
            </w:r>
          </w:p>
        </w:tc>
        <w:tc>
          <w:tcPr>
            <w:tcW w:w="3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44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8"/>
        </w:trPr>
        <w:tc>
          <w:tcPr>
            <w:tcW w:w="4440" w:type="dxa"/>
            <w:vAlign w:val="bottom"/>
          </w:tcPr>
          <w:p>
            <w:pPr>
              <w:spacing w:after="0"/>
              <w:rPr>
                <w:sz w:val="24"/>
                <w:szCs w:val="24"/>
                <w:color w:val="auto"/>
              </w:rPr>
            </w:pPr>
          </w:p>
        </w:tc>
        <w:tc>
          <w:tcPr>
            <w:tcW w:w="3960" w:type="dxa"/>
            <w:vAlign w:val="bottom"/>
          </w:tcPr>
          <w:p>
            <w:pPr>
              <w:ind w:left="1760"/>
              <w:spacing w:after="0"/>
              <w:rPr>
                <w:sz w:val="20"/>
                <w:szCs w:val="20"/>
                <w:color w:val="auto"/>
              </w:rPr>
            </w:pPr>
            <w:r>
              <w:rPr>
                <w:rFonts w:ascii="Arial" w:cs="Arial" w:eastAsia="Arial" w:hAnsi="Arial"/>
                <w:sz w:val="18"/>
                <w:szCs w:val="18"/>
                <w:color w:val="auto"/>
              </w:rPr>
              <w:t>6 August 2020</w:t>
            </w:r>
          </w:p>
        </w:tc>
        <w:tc>
          <w:tcPr>
            <w:tcW w:w="0" w:type="dxa"/>
            <w:vAlign w:val="bottom"/>
          </w:tcPr>
          <w:p>
            <w:pPr>
              <w:spacing w:after="0"/>
              <w:rPr>
                <w:sz w:val="1"/>
                <w:szCs w:val="1"/>
                <w:color w:val="auto"/>
              </w:rPr>
            </w:pPr>
          </w:p>
        </w:tc>
      </w:tr>
      <w:tr>
        <w:trPr>
          <w:trHeight w:val="496"/>
        </w:trPr>
        <w:tc>
          <w:tcPr>
            <w:tcW w:w="4440" w:type="dxa"/>
            <w:vAlign w:val="bottom"/>
          </w:tcPr>
          <w:p>
            <w:pPr>
              <w:spacing w:after="0"/>
              <w:rPr>
                <w:sz w:val="20"/>
                <w:szCs w:val="20"/>
                <w:color w:val="auto"/>
              </w:rPr>
            </w:pPr>
            <w:r>
              <w:rPr>
                <w:rFonts w:ascii="Arial" w:cs="Arial" w:eastAsia="Arial" w:hAnsi="Arial"/>
                <w:sz w:val="22"/>
                <w:szCs w:val="22"/>
                <w:color w:val="auto"/>
              </w:rPr>
              <w:t>Dear Sirs</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ARYA Sciences Acquisition Corp III (the Company)</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We have been requested to provide you with an opinion on matters of Cayman Islands law in connection with the Company’s registration statement on Form S-1, including all amendments or supplements thereto, filed with the United States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xml:space="preserve">) under the United States Securities Act of 1933 (the </w:t>
      </w:r>
      <w:r>
        <w:rPr>
          <w:rFonts w:ascii="Arial" w:cs="Arial" w:eastAsia="Arial" w:hAnsi="Arial"/>
          <w:sz w:val="19"/>
          <w:szCs w:val="19"/>
          <w:b w:val="1"/>
          <w:bCs w:val="1"/>
          <w:color w:val="auto"/>
        </w:rPr>
        <w:t>Act</w:t>
      </w:r>
      <w:r>
        <w:rPr>
          <w:rFonts w:ascii="Arial" w:cs="Arial" w:eastAsia="Arial" w:hAnsi="Arial"/>
          <w:sz w:val="19"/>
          <w:szCs w:val="19"/>
          <w:color w:val="auto"/>
        </w:rPr>
        <w:t xml:space="preserve">), as amended, (including its exhibits,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xml:space="preserve">) related to the registration with the Commission under Rule 462(b) of the Act and the offering and sale of up to an additional 575,000 Class A Ordinary Shares of the Company with a par value of US$0.0001 each (the </w:t>
      </w:r>
      <w:r>
        <w:rPr>
          <w:rFonts w:ascii="Arial" w:cs="Arial" w:eastAsia="Arial" w:hAnsi="Arial"/>
          <w:sz w:val="19"/>
          <w:szCs w:val="19"/>
          <w:b w:val="1"/>
          <w:bCs w:val="1"/>
          <w:color w:val="auto"/>
        </w:rPr>
        <w:t>Ordinary Shares</w:t>
      </w:r>
      <w:r>
        <w:rPr>
          <w:rFonts w:ascii="Arial" w:cs="Arial" w:eastAsia="Arial" w:hAnsi="Arial"/>
          <w:sz w:val="19"/>
          <w:szCs w:val="19"/>
          <w:color w:val="auto"/>
        </w:rPr>
        <w:t>) which includes Ordinary Shares, which the several underwriters, for whom Jefferies LLC and Goldman Sachs &amp; Co. LLC are acting as representatives, will have a right to purchase from the Company to cover over-allotments, if 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This opinion letter is given in accordance with the terms of the Legal Matters section of the Registration Statement.</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 reference to a Schedule is a reference to a schedule to this opinion and the headings herein are for convenience only and do not affect the construction of this opinion.</w:t>
      </w:r>
    </w:p>
    <w:p>
      <w:pPr>
        <w:spacing w:after="0" w:line="20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249" w:lineRule="exact"/>
        <w:rPr>
          <w:sz w:val="20"/>
          <w:szCs w:val="20"/>
          <w:color w:val="auto"/>
        </w:rPr>
      </w:pPr>
    </w:p>
    <w:p>
      <w:pPr>
        <w:jc w:val="both"/>
        <w:ind w:left="640"/>
        <w:spacing w:after="0" w:line="238" w:lineRule="auto"/>
        <w:rPr>
          <w:sz w:val="20"/>
          <w:szCs w:val="20"/>
          <w:color w:val="auto"/>
        </w:rPr>
      </w:pPr>
      <w:r>
        <w:rPr>
          <w:rFonts w:ascii="Arial" w:cs="Arial" w:eastAsia="Arial" w:hAnsi="Arial"/>
          <w:sz w:val="22"/>
          <w:szCs w:val="22"/>
          <w:color w:val="auto"/>
        </w:rPr>
        <w:t>For the purposes of giving this opinion,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Ogier</w:t>
      </w:r>
    </w:p>
    <w:p>
      <w:pPr>
        <w:spacing w:after="0" w:line="226" w:lineRule="auto"/>
        <w:rPr>
          <w:sz w:val="20"/>
          <w:szCs w:val="20"/>
          <w:color w:val="auto"/>
        </w:rPr>
      </w:pPr>
      <w:r>
        <w:rPr>
          <w:rFonts w:ascii="Arial" w:cs="Arial" w:eastAsia="Arial" w:hAnsi="Arial"/>
          <w:sz w:val="14"/>
          <w:szCs w:val="14"/>
          <w:color w:val="auto"/>
        </w:rPr>
        <w:t>89 Nexus Way</w:t>
      </w:r>
    </w:p>
    <w:p>
      <w:pPr>
        <w:spacing w:after="0" w:line="221" w:lineRule="auto"/>
        <w:rPr>
          <w:sz w:val="20"/>
          <w:szCs w:val="20"/>
          <w:color w:val="auto"/>
        </w:rPr>
      </w:pPr>
      <w:r>
        <w:rPr>
          <w:rFonts w:ascii="Arial" w:cs="Arial" w:eastAsia="Arial" w:hAnsi="Arial"/>
          <w:sz w:val="14"/>
          <w:szCs w:val="14"/>
          <w:color w:val="auto"/>
        </w:rPr>
        <w:t>Camana Bay</w:t>
      </w:r>
    </w:p>
    <w:p>
      <w:pPr>
        <w:spacing w:after="0" w:line="222" w:lineRule="auto"/>
        <w:rPr>
          <w:sz w:val="20"/>
          <w:szCs w:val="20"/>
          <w:color w:val="auto"/>
        </w:rPr>
      </w:pPr>
      <w:r>
        <w:rPr>
          <w:rFonts w:ascii="Arial" w:cs="Arial" w:eastAsia="Arial" w:hAnsi="Arial"/>
          <w:sz w:val="14"/>
          <w:szCs w:val="14"/>
          <w:color w:val="auto"/>
        </w:rPr>
        <w:t>Grand Cayman, KY1-9009</w:t>
      </w:r>
    </w:p>
    <w:p>
      <w:pPr>
        <w:spacing w:after="0"/>
        <w:rPr>
          <w:sz w:val="20"/>
          <w:szCs w:val="20"/>
          <w:color w:val="auto"/>
        </w:rPr>
      </w:pPr>
      <w:r>
        <w:rPr>
          <w:rFonts w:ascii="Arial" w:cs="Arial" w:eastAsia="Arial" w:hAnsi="Arial"/>
          <w:sz w:val="14"/>
          <w:szCs w:val="14"/>
          <w:color w:val="auto"/>
        </w:rPr>
        <w:t>Cayman Islands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20"/>
                <w:szCs w:val="20"/>
                <w:color w:val="auto"/>
              </w:rPr>
            </w:pPr>
            <w:r>
              <w:rPr>
                <w:rFonts w:ascii="Arial" w:cs="Arial" w:eastAsia="Arial" w:hAnsi="Arial"/>
                <w:sz w:val="14"/>
                <w:szCs w:val="14"/>
                <w:color w:val="auto"/>
              </w:rPr>
              <w:t>T +1 345 949 9876</w:t>
            </w:r>
          </w:p>
        </w:tc>
        <w:tc>
          <w:tcPr>
            <w:tcW w:w="5420" w:type="dxa"/>
            <w:vAlign w:val="bottom"/>
          </w:tcPr>
          <w:p>
            <w:pPr>
              <w:spacing w:after="0"/>
              <w:rPr>
                <w:sz w:val="14"/>
                <w:szCs w:val="14"/>
                <w:color w:val="auto"/>
              </w:rPr>
            </w:pPr>
          </w:p>
        </w:tc>
      </w:tr>
      <w:tr>
        <w:trPr>
          <w:trHeight w:val="145"/>
        </w:trPr>
        <w:tc>
          <w:tcPr>
            <w:tcW w:w="3660" w:type="dxa"/>
            <w:vAlign w:val="bottom"/>
          </w:tcPr>
          <w:p>
            <w:pPr>
              <w:spacing w:after="0" w:line="145" w:lineRule="exact"/>
              <w:rPr>
                <w:sz w:val="20"/>
                <w:szCs w:val="20"/>
                <w:color w:val="auto"/>
              </w:rPr>
            </w:pPr>
            <w:r>
              <w:rPr>
                <w:rFonts w:ascii="Arial" w:cs="Arial" w:eastAsia="Arial" w:hAnsi="Arial"/>
                <w:sz w:val="14"/>
                <w:szCs w:val="14"/>
                <w:color w:val="auto"/>
              </w:rPr>
              <w:t>F +1 345 949 9877</w:t>
            </w:r>
          </w:p>
        </w:tc>
        <w:tc>
          <w:tcPr>
            <w:tcW w:w="5420" w:type="dxa"/>
            <w:vAlign w:val="bottom"/>
          </w:tcPr>
          <w:p>
            <w:pPr>
              <w:spacing w:after="0"/>
              <w:rPr>
                <w:sz w:val="12"/>
                <w:szCs w:val="12"/>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4"/>
                <w:szCs w:val="14"/>
                <w:b w:val="1"/>
                <w:bCs w:val="1"/>
                <w:color w:val="auto"/>
              </w:rPr>
              <w:t>ogier.com</w:t>
            </w:r>
          </w:p>
        </w:tc>
        <w:tc>
          <w:tcPr>
            <w:tcW w:w="5420" w:type="dxa"/>
            <w:vAlign w:val="bottom"/>
          </w:tcPr>
          <w:p>
            <w:pPr>
              <w:ind w:left="2540"/>
              <w:spacing w:after="0"/>
              <w:rPr>
                <w:sz w:val="20"/>
                <w:szCs w:val="20"/>
                <w:color w:val="auto"/>
              </w:rPr>
            </w:pPr>
            <w:r>
              <w:rPr>
                <w:rFonts w:ascii="Arial" w:cs="Arial" w:eastAsia="Arial" w:hAnsi="Arial"/>
                <w:sz w:val="14"/>
                <w:szCs w:val="14"/>
                <w:color w:val="auto"/>
                <w:w w:val="91"/>
              </w:rPr>
              <w:t>A list of Partners may be inspected on our website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 w:name="page7"/>
    <w:bookmarkEnd w:id="6"/>
    <w:p>
      <w:pPr>
        <w:ind w:left="632" w:hanging="632"/>
        <w:spacing w:after="0"/>
        <w:tabs>
          <w:tab w:leader="none" w:pos="6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49" w:lineRule="exact"/>
        <w:rPr>
          <w:sz w:val="20"/>
          <w:szCs w:val="20"/>
          <w:color w:val="auto"/>
        </w:rPr>
      </w:pPr>
    </w:p>
    <w:p>
      <w:pPr>
        <w:ind w:left="632"/>
        <w:spacing w:after="0" w:line="250" w:lineRule="auto"/>
        <w:rPr>
          <w:sz w:val="20"/>
          <w:szCs w:val="20"/>
          <w:color w:val="auto"/>
        </w:rPr>
      </w:pPr>
      <w:r>
        <w:rPr>
          <w:rFonts w:ascii="Arial" w:cs="Arial" w:eastAsia="Arial" w:hAnsi="Arial"/>
          <w:sz w:val="22"/>
          <w:szCs w:val="22"/>
          <w:color w:val="auto"/>
        </w:rPr>
        <w:t>In giving this opinion we have relied upon the assumptions set forth in Schedule 2 without having carried out any independent investigation or verification in respect of those assumptions.</w:t>
      </w:r>
    </w:p>
    <w:p>
      <w:pPr>
        <w:spacing w:after="0" w:line="205" w:lineRule="exact"/>
        <w:rPr>
          <w:sz w:val="20"/>
          <w:szCs w:val="20"/>
          <w:color w:val="auto"/>
        </w:rPr>
      </w:pPr>
    </w:p>
    <w:p>
      <w:pPr>
        <w:ind w:left="632" w:hanging="632"/>
        <w:spacing w:after="0"/>
        <w:tabs>
          <w:tab w:leader="none" w:pos="63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49" w:lineRule="exact"/>
        <w:rPr>
          <w:sz w:val="20"/>
          <w:szCs w:val="20"/>
          <w:color w:val="auto"/>
        </w:rPr>
      </w:pPr>
    </w:p>
    <w:p>
      <w:pPr>
        <w:ind w:left="632"/>
        <w:spacing w:after="0" w:line="250" w:lineRule="auto"/>
        <w:rPr>
          <w:sz w:val="20"/>
          <w:szCs w:val="20"/>
          <w:color w:val="auto"/>
        </w:rPr>
      </w:pPr>
      <w:r>
        <w:rPr>
          <w:rFonts w:ascii="Arial" w:cs="Arial" w:eastAsia="Arial" w:hAnsi="Arial"/>
          <w:sz w:val="22"/>
          <w:szCs w:val="22"/>
          <w:color w:val="auto"/>
        </w:rPr>
        <w:t>On the basis of the examinations and assumptions referred to above and subject to the qualifications set forth in Schedule 3 and the limitations set forth below, we are of the opinion that:</w:t>
      </w:r>
    </w:p>
    <w:p>
      <w:pPr>
        <w:spacing w:after="0" w:line="196" w:lineRule="exact"/>
        <w:rPr>
          <w:sz w:val="20"/>
          <w:szCs w:val="20"/>
          <w:color w:val="auto"/>
        </w:rPr>
      </w:pPr>
    </w:p>
    <w:p>
      <w:pPr>
        <w:ind w:left="632"/>
        <w:spacing w:after="0"/>
        <w:rPr>
          <w:sz w:val="20"/>
          <w:szCs w:val="20"/>
          <w:color w:val="auto"/>
        </w:rPr>
      </w:pPr>
      <w:r>
        <w:rPr>
          <w:rFonts w:ascii="Arial" w:cs="Arial" w:eastAsia="Arial" w:hAnsi="Arial"/>
          <w:sz w:val="22"/>
          <w:szCs w:val="22"/>
          <w:b w:val="1"/>
          <w:bCs w:val="1"/>
          <w:color w:val="auto"/>
        </w:rPr>
        <w:t>Corporate status</w:t>
      </w:r>
    </w:p>
    <w:p>
      <w:pPr>
        <w:spacing w:after="0" w:line="246" w:lineRule="exact"/>
        <w:rPr>
          <w:sz w:val="20"/>
          <w:szCs w:val="20"/>
          <w:color w:val="auto"/>
        </w:rPr>
      </w:pPr>
    </w:p>
    <w:p>
      <w:pPr>
        <w:ind w:left="1272" w:right="20" w:hanging="638"/>
        <w:spacing w:after="0" w:line="277" w:lineRule="auto"/>
        <w:tabs>
          <w:tab w:leader="none" w:pos="12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been duly incorporated as an exempted company with limited liability and is validly existing and in good standing with the Registrar of Companies of the Cayman Islands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84" w:lineRule="exact"/>
        <w:rPr>
          <w:sz w:val="20"/>
          <w:szCs w:val="20"/>
          <w:color w:val="auto"/>
        </w:rPr>
      </w:pPr>
    </w:p>
    <w:p>
      <w:pPr>
        <w:ind w:left="632"/>
        <w:spacing w:after="0"/>
        <w:rPr>
          <w:sz w:val="20"/>
          <w:szCs w:val="20"/>
          <w:color w:val="auto"/>
        </w:rPr>
      </w:pPr>
      <w:r>
        <w:rPr>
          <w:rFonts w:ascii="Arial" w:cs="Arial" w:eastAsia="Arial" w:hAnsi="Arial"/>
          <w:sz w:val="22"/>
          <w:szCs w:val="22"/>
          <w:b w:val="1"/>
          <w:bCs w:val="1"/>
          <w:color w:val="auto"/>
        </w:rPr>
        <w:t>Corporate power</w:t>
      </w:r>
    </w:p>
    <w:p>
      <w:pPr>
        <w:spacing w:after="0" w:line="246" w:lineRule="exact"/>
        <w:rPr>
          <w:sz w:val="20"/>
          <w:szCs w:val="20"/>
          <w:color w:val="auto"/>
        </w:rPr>
      </w:pPr>
    </w:p>
    <w:p>
      <w:pPr>
        <w:jc w:val="both"/>
        <w:ind w:left="1272" w:hanging="638"/>
        <w:spacing w:after="0" w:line="263" w:lineRule="auto"/>
        <w:tabs>
          <w:tab w:leader="none" w:pos="127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all requisite power under its Memorandum and Articles of Association (as defined in Schedule 1) to issue the Ordinary Shares, to execute and deliver the Share Certificates (as defined in Schedule 1) and to perform its obligations, and exercise its rights, under such documents.</w:t>
      </w:r>
    </w:p>
    <w:p>
      <w:pPr>
        <w:spacing w:after="0" w:line="197" w:lineRule="exact"/>
        <w:rPr>
          <w:sz w:val="20"/>
          <w:szCs w:val="20"/>
          <w:color w:val="auto"/>
        </w:rPr>
      </w:pPr>
    </w:p>
    <w:p>
      <w:pPr>
        <w:ind w:left="632"/>
        <w:spacing w:after="0"/>
        <w:rPr>
          <w:sz w:val="20"/>
          <w:szCs w:val="20"/>
          <w:color w:val="auto"/>
        </w:rPr>
      </w:pPr>
      <w:r>
        <w:rPr>
          <w:rFonts w:ascii="Arial" w:cs="Arial" w:eastAsia="Arial" w:hAnsi="Arial"/>
          <w:sz w:val="22"/>
          <w:szCs w:val="22"/>
          <w:b w:val="1"/>
          <w:bCs w:val="1"/>
          <w:color w:val="auto"/>
        </w:rPr>
        <w:t>Corporate authorisation</w:t>
      </w:r>
    </w:p>
    <w:p>
      <w:pPr>
        <w:spacing w:after="0" w:line="246" w:lineRule="exact"/>
        <w:rPr>
          <w:sz w:val="20"/>
          <w:szCs w:val="20"/>
          <w:color w:val="auto"/>
        </w:rPr>
      </w:pPr>
    </w:p>
    <w:p>
      <w:pPr>
        <w:ind w:left="1272" w:hanging="638"/>
        <w:spacing w:after="0"/>
        <w:tabs>
          <w:tab w:leader="none" w:pos="127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taken all requisite corporate action to authorise:</w:t>
      </w:r>
    </w:p>
    <w:p>
      <w:pPr>
        <w:spacing w:after="0" w:line="252" w:lineRule="exact"/>
        <w:rPr>
          <w:rFonts w:ascii="Arial" w:cs="Arial" w:eastAsia="Arial" w:hAnsi="Arial"/>
          <w:sz w:val="18"/>
          <w:szCs w:val="18"/>
          <w:color w:val="auto"/>
        </w:rPr>
      </w:pPr>
    </w:p>
    <w:p>
      <w:pPr>
        <w:ind w:left="1912" w:hanging="643"/>
        <w:spacing w:after="0"/>
        <w:tabs>
          <w:tab w:leader="none" w:pos="191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issue of the Ordinary Shares; and</w:t>
      </w:r>
    </w:p>
    <w:p>
      <w:pPr>
        <w:spacing w:after="0" w:line="252" w:lineRule="exact"/>
        <w:rPr>
          <w:rFonts w:ascii="Arial" w:cs="Arial" w:eastAsia="Arial" w:hAnsi="Arial"/>
          <w:sz w:val="18"/>
          <w:szCs w:val="18"/>
          <w:color w:val="auto"/>
        </w:rPr>
      </w:pPr>
    </w:p>
    <w:p>
      <w:pPr>
        <w:ind w:left="1912" w:hanging="643"/>
        <w:spacing w:after="0" w:line="277" w:lineRule="auto"/>
        <w:tabs>
          <w:tab w:leader="none" w:pos="191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execution and delivery of the Share Certificates and the performance of its obligations, and the exercise of its rights, under such documents.</w:t>
      </w:r>
    </w:p>
    <w:p>
      <w:pPr>
        <w:spacing w:after="0" w:line="184" w:lineRule="exact"/>
        <w:rPr>
          <w:sz w:val="20"/>
          <w:szCs w:val="20"/>
          <w:color w:val="auto"/>
        </w:rPr>
      </w:pPr>
    </w:p>
    <w:p>
      <w:pPr>
        <w:ind w:left="632"/>
        <w:spacing w:after="0"/>
        <w:rPr>
          <w:sz w:val="20"/>
          <w:szCs w:val="20"/>
          <w:color w:val="auto"/>
        </w:rPr>
      </w:pPr>
      <w:r>
        <w:rPr>
          <w:rFonts w:ascii="Arial" w:cs="Arial" w:eastAsia="Arial" w:hAnsi="Arial"/>
          <w:sz w:val="22"/>
          <w:szCs w:val="22"/>
          <w:b w:val="1"/>
          <w:bCs w:val="1"/>
          <w:color w:val="auto"/>
        </w:rPr>
        <w:t>Shares</w:t>
      </w:r>
    </w:p>
    <w:p>
      <w:pPr>
        <w:spacing w:after="0" w:line="246" w:lineRule="exact"/>
        <w:rPr>
          <w:sz w:val="20"/>
          <w:szCs w:val="20"/>
          <w:color w:val="auto"/>
        </w:rPr>
      </w:pPr>
    </w:p>
    <w:p>
      <w:pPr>
        <w:ind w:left="1272" w:hanging="638"/>
        <w:spacing w:after="0" w:line="277" w:lineRule="auto"/>
        <w:tabs>
          <w:tab w:leader="none" w:pos="12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Ordinary Shares to be offered and issued by the Company as contemplated by the Registration Statement, when issued by the Company upon:</w:t>
      </w:r>
    </w:p>
    <w:p>
      <w:pPr>
        <w:spacing w:after="0" w:line="197" w:lineRule="exact"/>
        <w:rPr>
          <w:rFonts w:ascii="Arial" w:cs="Arial" w:eastAsia="Arial" w:hAnsi="Arial"/>
          <w:sz w:val="18"/>
          <w:szCs w:val="18"/>
          <w:color w:val="auto"/>
        </w:rPr>
      </w:pPr>
    </w:p>
    <w:p>
      <w:pPr>
        <w:ind w:left="1912" w:hanging="643"/>
        <w:spacing w:after="0" w:line="277" w:lineRule="auto"/>
        <w:tabs>
          <w:tab w:leader="none" w:pos="19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payment in full of the consideration as set out in the Registration Statement and in accordance with the terms set out in the Registration Statement and in accordance with the Memorandum and Articles of Association; and</w:t>
      </w:r>
    </w:p>
    <w:p>
      <w:pPr>
        <w:spacing w:after="0" w:line="197" w:lineRule="exact"/>
        <w:rPr>
          <w:rFonts w:ascii="Arial" w:cs="Arial" w:eastAsia="Arial" w:hAnsi="Arial"/>
          <w:sz w:val="18"/>
          <w:szCs w:val="18"/>
          <w:color w:val="auto"/>
        </w:rPr>
      </w:pPr>
    </w:p>
    <w:p>
      <w:pPr>
        <w:ind w:left="1912" w:hanging="643"/>
        <w:spacing w:after="0"/>
        <w:tabs>
          <w:tab w:leader="none" w:pos="19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entry of those Ordinary Shares as fully paid on the register of members of the Company,</w:t>
      </w:r>
    </w:p>
    <w:p>
      <w:pPr>
        <w:spacing w:after="0" w:line="245" w:lineRule="exact"/>
        <w:rPr>
          <w:sz w:val="20"/>
          <w:szCs w:val="20"/>
          <w:color w:val="auto"/>
        </w:rPr>
      </w:pPr>
    </w:p>
    <w:p>
      <w:pPr>
        <w:ind w:left="1272"/>
        <w:spacing w:after="0"/>
        <w:rPr>
          <w:sz w:val="20"/>
          <w:szCs w:val="20"/>
          <w:color w:val="auto"/>
        </w:rPr>
      </w:pPr>
      <w:r>
        <w:rPr>
          <w:rFonts w:ascii="Arial" w:cs="Arial" w:eastAsia="Arial" w:hAnsi="Arial"/>
          <w:sz w:val="22"/>
          <w:szCs w:val="22"/>
          <w:color w:val="auto"/>
        </w:rPr>
        <w:t>shall be validly issued, fully paid and non-assessable.</w:t>
      </w:r>
    </w:p>
    <w:p>
      <w:pPr>
        <w:spacing w:after="0" w:line="166" w:lineRule="exact"/>
        <w:rPr>
          <w:sz w:val="20"/>
          <w:szCs w:val="20"/>
          <w:color w:val="auto"/>
        </w:rPr>
      </w:pPr>
    </w:p>
    <w:p>
      <w:pPr>
        <w:ind w:left="5572"/>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7" w:name="page8"/>
    <w:bookmarkEnd w:id="7"/>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Matters not covered</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We offer no opinion:</w:t>
      </w:r>
    </w:p>
    <w:p>
      <w:pPr>
        <w:spacing w:after="0" w:line="240" w:lineRule="exact"/>
        <w:rPr>
          <w:sz w:val="20"/>
          <w:szCs w:val="20"/>
          <w:color w:val="auto"/>
        </w:rPr>
      </w:pPr>
    </w:p>
    <w:p>
      <w:pPr>
        <w:jc w:val="both"/>
        <w:ind w:left="1280" w:hanging="638"/>
        <w:spacing w:after="0" w:line="286"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to any laws other than the laws of the Cayman Islands, and we have not, for the purposes of this opinion, made any investigation of the laws of any other jurisdiction, and we express no opinion as to the meaning, validity, or effect of references in the Share Certificates to statutes, rules, regulations, codes or judicial authority of any jurisdiction other than the Cayman Islands;</w:t>
      </w:r>
    </w:p>
    <w:p>
      <w:pPr>
        <w:spacing w:after="0" w:line="192" w:lineRule="exact"/>
        <w:rPr>
          <w:rFonts w:ascii="Arial" w:cs="Arial" w:eastAsia="Arial" w:hAnsi="Arial"/>
          <w:sz w:val="17"/>
          <w:szCs w:val="17"/>
          <w:color w:val="auto"/>
        </w:rPr>
      </w:pPr>
    </w:p>
    <w:p>
      <w:pPr>
        <w:jc w:val="both"/>
        <w:ind w:left="1280" w:hanging="638"/>
        <w:spacing w:after="0" w:line="257"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p>
      <w:pPr>
        <w:spacing w:after="0" w:line="214"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to whether the acceptance, execution or performance of the Company’s obligations under the documents reviewed by us will result in the breach of or infringe any other agreement, deed or document (other than the Company’s Memorandum and Articles of Association) entered into by or binding on the Company.</w:t>
      </w:r>
    </w:p>
    <w:p>
      <w:pPr>
        <w:spacing w:after="0" w:line="20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2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This opinion is:</w:t>
      </w:r>
    </w:p>
    <w:p>
      <w:pPr>
        <w:spacing w:after="0" w:line="252" w:lineRule="exact"/>
        <w:rPr>
          <w:sz w:val="20"/>
          <w:szCs w:val="20"/>
          <w:color w:val="auto"/>
        </w:rPr>
      </w:pPr>
    </w:p>
    <w:p>
      <w:pPr>
        <w:ind w:left="1280" w:hanging="63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252" w:lineRule="exact"/>
        <w:rPr>
          <w:rFonts w:ascii="Arial" w:cs="Arial" w:eastAsia="Arial" w:hAnsi="Arial"/>
          <w:sz w:val="18"/>
          <w:szCs w:val="18"/>
          <w:color w:val="auto"/>
        </w:rPr>
      </w:pPr>
    </w:p>
    <w:p>
      <w:pPr>
        <w:ind w:left="1280" w:hanging="63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252" w:lineRule="exact"/>
        <w:rPr>
          <w:rFonts w:ascii="Arial" w:cs="Arial" w:eastAsia="Arial" w:hAnsi="Arial"/>
          <w:sz w:val="18"/>
          <w:szCs w:val="18"/>
          <w:color w:val="auto"/>
        </w:rPr>
      </w:pPr>
    </w:p>
    <w:p>
      <w:pPr>
        <w:ind w:left="1280" w:hanging="63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w:t>
      </w:r>
    </w:p>
    <w:p>
      <w:pPr>
        <w:spacing w:after="0" w:line="252"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Who can rely on this opinion</w:t>
      </w:r>
    </w:p>
    <w:p>
      <w:pPr>
        <w:spacing w:after="0" w:line="256"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This opinion is given for your benefit in connection with the Company. With the exception of your professional advisers (acting only in that capacity), it may not be relied upon by any person, other than persons entitled to rely upon it pursuant to the provisions of the Act, without our prior written consent.</w:t>
      </w:r>
    </w:p>
    <w:p>
      <w:pPr>
        <w:spacing w:after="0" w:line="211"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We hereby consent to the filing of this opinion as an exhibit to the Registration Statement. We also consent to the reference to this firm in the Registration Statement under the heading “Legal Matters”.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Ogier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Ogier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SCHEDULE 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Documents examined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Corporate and other documents</w:t>
      </w:r>
    </w:p>
    <w:p>
      <w:pPr>
        <w:spacing w:after="0" w:line="24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Certificate of Incorporation of the Company dated 27 March 2020 issued by the Registrar.</w:t>
      </w:r>
    </w:p>
    <w:p>
      <w:pPr>
        <w:spacing w:after="0" w:line="252" w:lineRule="exact"/>
        <w:rPr>
          <w:sz w:val="20"/>
          <w:szCs w:val="20"/>
          <w:color w:val="auto"/>
        </w:rPr>
      </w:pPr>
    </w:p>
    <w:p>
      <w:pPr>
        <w:ind w:left="640" w:hanging="632"/>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amended and restated memorandum of association of the Company adopted by special resolution passed by the Company on 6 August 2020 (</w:t>
      </w:r>
      <w:r>
        <w:rPr>
          <w:rFonts w:ascii="Arial" w:cs="Arial" w:eastAsia="Arial" w:hAnsi="Arial"/>
          <w:sz w:val="18"/>
          <w:szCs w:val="18"/>
          <w:b w:val="1"/>
          <w:bCs w:val="1"/>
          <w:color w:val="auto"/>
        </w:rPr>
        <w:t>Memorandum</w:t>
      </w:r>
      <w:r>
        <w:rPr>
          <w:rFonts w:ascii="Arial" w:cs="Arial" w:eastAsia="Arial" w:hAnsi="Arial"/>
          <w:sz w:val="18"/>
          <w:szCs w:val="18"/>
          <w:color w:val="auto"/>
        </w:rPr>
        <w:t>).</w:t>
      </w:r>
    </w:p>
    <w:p>
      <w:pPr>
        <w:spacing w:after="0" w:line="197" w:lineRule="exact"/>
        <w:rPr>
          <w:sz w:val="20"/>
          <w:szCs w:val="20"/>
          <w:color w:val="auto"/>
        </w:rPr>
      </w:pPr>
    </w:p>
    <w:p>
      <w:pPr>
        <w:ind w:left="640" w:hanging="632"/>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amended and restated articles of association of the Company adopted by special resolution passed by the Company on 6 August 2020 (</w:t>
      </w:r>
      <w:r>
        <w:rPr>
          <w:rFonts w:ascii="Arial" w:cs="Arial" w:eastAsia="Arial" w:hAnsi="Arial"/>
          <w:sz w:val="18"/>
          <w:szCs w:val="18"/>
          <w:b w:val="1"/>
          <w:bCs w:val="1"/>
          <w:color w:val="auto"/>
        </w:rPr>
        <w:t>Articles of Association</w:t>
      </w:r>
      <w:r>
        <w:rPr>
          <w:rFonts w:ascii="Arial" w:cs="Arial" w:eastAsia="Arial" w:hAnsi="Arial"/>
          <w:sz w:val="18"/>
          <w:szCs w:val="18"/>
          <w:color w:val="auto"/>
        </w:rPr>
        <w:t>).</w:t>
      </w:r>
    </w:p>
    <w:p>
      <w:pPr>
        <w:spacing w:after="0" w:line="193"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Certificate of Good Standing dated 6 August 2020 (</w:t>
      </w:r>
      <w:r>
        <w:rPr>
          <w:rFonts w:ascii="Arial" w:cs="Arial" w:eastAsia="Arial" w:hAnsi="Arial"/>
          <w:sz w:val="17"/>
          <w:szCs w:val="17"/>
          <w:b w:val="1"/>
          <w:bCs w:val="1"/>
          <w:color w:val="auto"/>
        </w:rPr>
        <w:t>Good Standing Certificate</w:t>
      </w:r>
      <w:r>
        <w:rPr>
          <w:rFonts w:ascii="Arial" w:cs="Arial" w:eastAsia="Arial" w:hAnsi="Arial"/>
          <w:sz w:val="17"/>
          <w:szCs w:val="17"/>
          <w:color w:val="auto"/>
        </w:rPr>
        <w:t>) issued by the Registrar in respect of the Company.</w:t>
      </w:r>
    </w:p>
    <w:p>
      <w:pPr>
        <w:spacing w:after="0" w:line="264" w:lineRule="exact"/>
        <w:rPr>
          <w:sz w:val="20"/>
          <w:szCs w:val="20"/>
          <w:color w:val="auto"/>
        </w:rPr>
      </w:pPr>
    </w:p>
    <w:p>
      <w:pPr>
        <w:jc w:val="both"/>
        <w:ind w:left="640" w:hanging="632"/>
        <w:spacing w:after="0" w:line="261"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 certificate dated on the date hereof as to certain matters of fact signed by a director of the Company in the form annexed hereto (the </w:t>
      </w:r>
      <w:r>
        <w:rPr>
          <w:rFonts w:ascii="Arial" w:cs="Arial" w:eastAsia="Arial" w:hAnsi="Arial"/>
          <w:sz w:val="18"/>
          <w:szCs w:val="18"/>
          <w:b w:val="1"/>
          <w:bCs w:val="1"/>
          <w:color w:val="auto"/>
        </w:rPr>
        <w:t>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w:t>
      </w:r>
      <w:r>
        <w:rPr>
          <w:rFonts w:ascii="Arial" w:cs="Arial" w:eastAsia="Arial" w:hAnsi="Arial"/>
          <w:sz w:val="18"/>
          <w:szCs w:val="18"/>
          <w:color w:val="auto"/>
        </w:rPr>
        <w:t>), having attached to it a copy of written resolutions of the directors of the Company passed on 24 July 2020 and 6 August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(together, the </w:t>
      </w:r>
      <w:r>
        <w:rPr>
          <w:rFonts w:ascii="Arial" w:cs="Arial" w:eastAsia="Arial" w:hAnsi="Arial"/>
          <w:sz w:val="18"/>
          <w:szCs w:val="18"/>
          <w:b w:val="1"/>
          <w:bCs w:val="1"/>
          <w:color w:val="auto"/>
        </w:rPr>
        <w:t>Board Resolutions</w:t>
      </w:r>
      <w:r>
        <w:rPr>
          <w:rFonts w:ascii="Arial" w:cs="Arial" w:eastAsia="Arial" w:hAnsi="Arial"/>
          <w:sz w:val="18"/>
          <w:szCs w:val="18"/>
          <w:color w:val="auto"/>
        </w:rPr>
        <w:t xml:space="preserve">) and the written resolutions of the pricing committee (the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dated 6 August 2020 (the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Resolutions </w:t>
      </w:r>
      <w:r>
        <w:rPr>
          <w:rFonts w:ascii="Arial" w:cs="Arial" w:eastAsia="Arial" w:hAnsi="Arial"/>
          <w:sz w:val="18"/>
          <w:szCs w:val="18"/>
          <w:color w:val="auto"/>
        </w:rPr>
        <w:t>and, together with the Board Resolutions, the</w:t>
      </w:r>
      <w:r>
        <w:rPr>
          <w:rFonts w:ascii="Arial" w:cs="Arial" w:eastAsia="Arial" w:hAnsi="Arial"/>
          <w:sz w:val="18"/>
          <w:szCs w:val="18"/>
          <w:b w:val="1"/>
          <w:bCs w:val="1"/>
          <w:color w:val="auto"/>
        </w:rPr>
        <w:t xml:space="preserve"> Resolutions</w:t>
      </w:r>
      <w:r>
        <w:rPr>
          <w:rFonts w:ascii="Arial" w:cs="Arial" w:eastAsia="Arial" w:hAnsi="Arial"/>
          <w:sz w:val="18"/>
          <w:szCs w:val="18"/>
          <w:color w:val="auto"/>
        </w:rPr>
        <w:t>).</w:t>
      </w:r>
    </w:p>
    <w:p>
      <w:pPr>
        <w:spacing w:after="0" w:line="207"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Register of Writs at the office of the Clerk of Courts in the Cayman Islands as inspected by us on 6 August 2020 (</w:t>
      </w:r>
      <w:r>
        <w:rPr>
          <w:rFonts w:ascii="Arial" w:cs="Arial" w:eastAsia="Arial" w:hAnsi="Arial"/>
          <w:sz w:val="17"/>
          <w:szCs w:val="17"/>
          <w:b w:val="1"/>
          <w:bCs w:val="1"/>
          <w:color w:val="auto"/>
        </w:rPr>
        <w:t>Register of Writs</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w:t>
      </w:r>
      <w:r>
        <w:rPr>
          <w:rFonts w:ascii="Arial" w:cs="Arial" w:eastAsia="Arial" w:hAnsi="Arial"/>
          <w:sz w:val="16"/>
          <w:szCs w:val="16"/>
          <w:color w:val="auto"/>
        </w:rPr>
        <w:t>The Registration Statement.</w:t>
      </w:r>
    </w:p>
    <w:p>
      <w:pPr>
        <w:spacing w:after="0" w:line="248"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draft specimen certificate for Ordinary Shares (the </w:t>
      </w:r>
      <w:r>
        <w:rPr>
          <w:rFonts w:ascii="Arial" w:cs="Arial" w:eastAsia="Arial" w:hAnsi="Arial"/>
          <w:sz w:val="18"/>
          <w:szCs w:val="18"/>
          <w:b w:val="1"/>
          <w:bCs w:val="1"/>
          <w:color w:val="auto"/>
        </w:rPr>
        <w:t>Share Certificates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SCHEDULE 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Assumptions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Assumptions of general application</w:t>
      </w:r>
    </w:p>
    <w:p>
      <w:pPr>
        <w:spacing w:after="0" w:line="246"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252" w:lineRule="exact"/>
        <w:rPr>
          <w:sz w:val="20"/>
          <w:szCs w:val="20"/>
          <w:color w:val="auto"/>
        </w:rPr>
      </w:pPr>
    </w:p>
    <w:p>
      <w:pPr>
        <w:ind w:left="640" w:right="20" w:hanging="63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197"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252"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the Good Standing Certificate and the Director’s Certificate is accurate and complete as at the date of this opinion.</w:t>
      </w:r>
    </w:p>
    <w:p>
      <w:pPr>
        <w:spacing w:after="0" w:line="252" w:lineRule="exact"/>
        <w:rPr>
          <w:sz w:val="20"/>
          <w:szCs w:val="20"/>
          <w:color w:val="auto"/>
        </w:rPr>
      </w:pPr>
    </w:p>
    <w:p>
      <w:pPr>
        <w:jc w:val="both"/>
        <w:ind w:left="640" w:hanging="632"/>
        <w:spacing w:after="0" w:line="263"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any document has been provided to us in draft or undated form, such document has been executed by all parties in materially the form provided to us and, where we have been provided with successive drafts of the documents marked to show changes from a previous draft, all such changes have been accurately marked.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Status, authorisation and execution</w:t>
      </w:r>
    </w:p>
    <w:p>
      <w:pPr>
        <w:spacing w:after="0" w:line="246" w:lineRule="exact"/>
        <w:rPr>
          <w:sz w:val="20"/>
          <w:szCs w:val="20"/>
          <w:color w:val="auto"/>
        </w:rPr>
      </w:pPr>
    </w:p>
    <w:p>
      <w:pPr>
        <w:jc w:val="both"/>
        <w:ind w:left="640" w:hanging="632"/>
        <w:spacing w:after="0" w:line="263"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authorising the execution and delivery of the Share Certificates by the Company, the exercise of its rights and performance of its obligations under the Share Certificates, each of the directors of the Company has acted in good faith with a view to the best interests of the Company and has exercised the standard of care, diligence and skill that is required of him or her.</w:t>
      </w:r>
    </w:p>
    <w:p>
      <w:pPr>
        <w:spacing w:after="0" w:line="211"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Share Certificates has or will be duly executed and unconditionally delivered by the Company in the manner authorised in the Resolutions.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Enforceability</w:t>
      </w:r>
    </w:p>
    <w:p>
      <w:pPr>
        <w:spacing w:after="0" w:line="246" w:lineRule="exact"/>
        <w:rPr>
          <w:sz w:val="20"/>
          <w:szCs w:val="20"/>
          <w:color w:val="auto"/>
        </w:rPr>
      </w:pPr>
    </w:p>
    <w:p>
      <w:pPr>
        <w:ind w:left="640" w:right="60" w:hanging="632"/>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 of the opinions expressed herein will be adversely affected by the laws or public policies of any jurisdiction other than the Cayman Islands. In particular, but without limitation to the previous sentence:</w:t>
      </w:r>
    </w:p>
    <w:p>
      <w:pPr>
        <w:spacing w:after="0" w:line="197"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laws or public policies of any jurisdiction other than the Cayman Islands will not adversely affect the capacity or authority of the Company; and</w:t>
      </w:r>
    </w:p>
    <w:p>
      <w:pPr>
        <w:spacing w:after="0" w:line="197" w:lineRule="exact"/>
        <w:rPr>
          <w:rFonts w:ascii="Arial" w:cs="Arial" w:eastAsia="Arial" w:hAnsi="Arial"/>
          <w:sz w:val="18"/>
          <w:szCs w:val="18"/>
          <w:color w:val="auto"/>
        </w:rPr>
      </w:pPr>
    </w:p>
    <w:p>
      <w:pPr>
        <w:ind w:left="1280" w:right="20" w:hanging="638"/>
        <w:spacing w:after="0" w:line="277" w:lineRule="auto"/>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neither the execution or delivery of the Share Certificates nor the exercise by any party of its rights or the performance of its obligations under the Share Certificates contravene those laws or public policies.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ind w:left="640" w:hanging="632"/>
        <w:spacing w:after="0" w:line="263"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no agreements, documents or arrangements (other than the documents expressly referred to in this opinion as having been examined by us) that materially affect or modify the Share Certificates or the transactions contemplated by them or restrict the powers and authority of the Company in any way.</w:t>
      </w:r>
    </w:p>
    <w:p>
      <w:pPr>
        <w:spacing w:after="0" w:line="207" w:lineRule="exact"/>
        <w:rPr>
          <w:sz w:val="20"/>
          <w:szCs w:val="20"/>
          <w:color w:val="auto"/>
        </w:rPr>
      </w:pPr>
    </w:p>
    <w:p>
      <w:pPr>
        <w:jc w:val="both"/>
        <w:ind w:left="640" w:hanging="632"/>
        <w:spacing w:after="0" w:line="347"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the transactions contemplated by the Share Certificates relate to any shares, voting rights or other rights (</w:t>
      </w:r>
      <w:r>
        <w:rPr>
          <w:rFonts w:ascii="Arial" w:cs="Arial" w:eastAsia="Arial" w:hAnsi="Arial"/>
          <w:sz w:val="16"/>
          <w:szCs w:val="16"/>
          <w:b w:val="1"/>
          <w:bCs w:val="1"/>
          <w:color w:val="auto"/>
        </w:rPr>
        <w:t>Relevant Interests</w:t>
      </w:r>
      <w:r>
        <w:rPr>
          <w:rFonts w:ascii="Arial" w:cs="Arial" w:eastAsia="Arial" w:hAnsi="Arial"/>
          <w:sz w:val="16"/>
          <w:szCs w:val="16"/>
          <w:color w:val="auto"/>
        </w:rPr>
        <w:t>) that are subject to a restrictions notice issued pursuant to the Companies Law (Revised) (</w:t>
      </w:r>
      <w:r>
        <w:rPr>
          <w:rFonts w:ascii="Arial" w:cs="Arial" w:eastAsia="Arial" w:hAnsi="Arial"/>
          <w:sz w:val="16"/>
          <w:szCs w:val="16"/>
          <w:b w:val="1"/>
          <w:bCs w:val="1"/>
          <w:color w:val="auto"/>
        </w:rPr>
        <w:t>Companies Law</w:t>
      </w:r>
      <w:r>
        <w:rPr>
          <w:rFonts w:ascii="Arial" w:cs="Arial" w:eastAsia="Arial" w:hAnsi="Arial"/>
          <w:sz w:val="16"/>
          <w:szCs w:val="16"/>
          <w:color w:val="auto"/>
        </w:rPr>
        <w:t xml:space="preserve">) of the Cayman Islands (a </w:t>
      </w:r>
      <w:r>
        <w:rPr>
          <w:rFonts w:ascii="Arial" w:cs="Arial" w:eastAsia="Arial" w:hAnsi="Arial"/>
          <w:sz w:val="16"/>
          <w:szCs w:val="16"/>
          <w:b w:val="1"/>
          <w:bCs w:val="1"/>
          <w:color w:val="auto"/>
        </w:rPr>
        <w:t>Restrictions Notice</w:t>
      </w:r>
      <w:r>
        <w:rPr>
          <w:rFonts w:ascii="Arial" w:cs="Arial" w:eastAsia="Arial" w:hAnsi="Arial"/>
          <w:sz w:val="16"/>
          <w:szCs w:val="16"/>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Issuance</w:t>
      </w:r>
    </w:p>
    <w:p>
      <w:pPr>
        <w:spacing w:after="0" w:line="246"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Ordinary Shares shall be issued at an issue price in excess of the par value thereof.</w:t>
      </w:r>
    </w:p>
    <w:p>
      <w:pPr>
        <w:spacing w:after="0" w:line="252"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draft amended and restated articles of association appended to the Registration Statement will be adopted by the Company in accordance with the Articles of Association prior to the date that any Ordinary Shares are issued by the Company.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SCHEDULE 3</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Qualifications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 Standing</w:t>
      </w:r>
    </w:p>
    <w:p>
      <w:pPr>
        <w:spacing w:after="0" w:line="246" w:lineRule="exact"/>
        <w:rPr>
          <w:sz w:val="20"/>
          <w:szCs w:val="20"/>
          <w:color w:val="auto"/>
        </w:rPr>
      </w:pPr>
    </w:p>
    <w:p>
      <w:pPr>
        <w:jc w:val="both"/>
        <w:ind w:left="640" w:hanging="632"/>
        <w:spacing w:after="0" w:line="259"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the Companies Law (Revised) of the Cayman Islands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210" w:lineRule="exact"/>
        <w:rPr>
          <w:sz w:val="20"/>
          <w:szCs w:val="20"/>
          <w:color w:val="auto"/>
        </w:rPr>
      </w:pPr>
    </w:p>
    <w:p>
      <w:pPr>
        <w:jc w:val="both"/>
        <w:ind w:left="640" w:hanging="632"/>
        <w:spacing w:after="0" w:line="289"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In good standing </w:t>
      </w:r>
      <w:r>
        <w:rPr>
          <w:rFonts w:ascii="Arial" w:cs="Arial" w:eastAsia="Arial" w:hAnsi="Arial"/>
          <w:sz w:val="17"/>
          <w:szCs w:val="17"/>
          <w:color w:val="auto"/>
        </w:rPr>
        <w:t>means only that as of the date of the Good Standing Certificate the Company is up-to-date with the filing of its annual returns</w:t>
      </w:r>
      <w:r>
        <w:rPr>
          <w:rFonts w:ascii="Arial" w:cs="Arial" w:eastAsia="Arial" w:hAnsi="Arial"/>
          <w:sz w:val="17"/>
          <w:szCs w:val="17"/>
          <w:b w:val="1"/>
          <w:bCs w:val="1"/>
          <w:color w:val="auto"/>
        </w:rPr>
        <w:t xml:space="preserve"> </w:t>
      </w:r>
      <w:r>
        <w:rPr>
          <w:rFonts w:ascii="Arial" w:cs="Arial" w:eastAsia="Arial" w:hAnsi="Arial"/>
          <w:sz w:val="17"/>
          <w:szCs w:val="17"/>
          <w:color w:val="auto"/>
        </w:rPr>
        <w:t>and payment of annual fees with the Registrar. We have made no enquiries into the Company's good standing with respect to any filings or payment of fees, or both, that it may be required to make under the laws of the Cayman Islands other than the Companies Law.</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Limited liability</w:t>
      </w:r>
    </w:p>
    <w:p>
      <w:pPr>
        <w:spacing w:after="0" w:line="246" w:lineRule="exact"/>
        <w:rPr>
          <w:sz w:val="20"/>
          <w:szCs w:val="20"/>
          <w:color w:val="auto"/>
        </w:rPr>
      </w:pPr>
    </w:p>
    <w:p>
      <w:pPr>
        <w:jc w:val="both"/>
        <w:ind w:left="640" w:hanging="632"/>
        <w:spacing w:after="0" w:line="25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not aware of any Cayman Islands authority as to when the courts would set aside the limited liability of a shareholder in a Cayman Islands company. Our opinion on the subject is based on the Companies Law of the Cayman Islands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Non-Assessable</w:t>
      </w:r>
    </w:p>
    <w:p>
      <w:pPr>
        <w:spacing w:after="0" w:line="246" w:lineRule="exact"/>
        <w:rPr>
          <w:sz w:val="20"/>
          <w:szCs w:val="20"/>
          <w:color w:val="auto"/>
        </w:rPr>
      </w:pPr>
    </w:p>
    <w:p>
      <w:pPr>
        <w:jc w:val="both"/>
        <w:ind w:left="640" w:hanging="632"/>
        <w:spacing w:after="0" w:line="259"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this opinion letter, the phrase “non-assessable” means, with respect to the Ordinary Shares in the Company, that a shareholder shall not, solely by virtue of its status as a shareholder, be liable for additional assessments or calls on the Ordinary Shares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Register of Writs</w:t>
      </w:r>
    </w:p>
    <w:p>
      <w:pPr>
        <w:spacing w:after="0" w:line="247"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examination of the Register of Writs cannot conclusively reveal whether or not there is:</w:t>
      </w:r>
    </w:p>
    <w:p>
      <w:pPr>
        <w:spacing w:after="0" w:line="252" w:lineRule="exact"/>
        <w:rPr>
          <w:rFonts w:ascii="Arial" w:cs="Arial" w:eastAsia="Arial" w:hAnsi="Arial"/>
          <w:sz w:val="18"/>
          <w:szCs w:val="18"/>
          <w:color w:val="auto"/>
        </w:rPr>
      </w:pPr>
    </w:p>
    <w:p>
      <w:pPr>
        <w:ind w:left="1280" w:hanging="638"/>
        <w:spacing w:after="0"/>
        <w:tabs>
          <w:tab w:leader="none" w:pos="12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current or pending litigation in the Cayman Islands against the Company; or</w:t>
      </w:r>
    </w:p>
    <w:p>
      <w:pPr>
        <w:spacing w:after="0" w:line="252"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application for the winding up or dissolution of the Company or the appointment of any liquidator or trustee in bankruptcy in respect of the Company or any of its assets,</w:t>
      </w:r>
    </w:p>
    <w:p>
      <w:pPr>
        <w:spacing w:after="0" w:line="190" w:lineRule="exact"/>
        <w:rPr>
          <w:sz w:val="20"/>
          <w:szCs w:val="20"/>
          <w:color w:val="auto"/>
        </w:rPr>
      </w:pPr>
    </w:p>
    <w:p>
      <w:pPr>
        <w:jc w:val="both"/>
        <w:ind w:left="640"/>
        <w:spacing w:after="0" w:line="238" w:lineRule="auto"/>
        <w:rPr>
          <w:sz w:val="20"/>
          <w:szCs w:val="20"/>
          <w:color w:val="auto"/>
        </w:rPr>
      </w:pPr>
      <w:r>
        <w:rPr>
          <w:rFonts w:ascii="Arial" w:cs="Arial" w:eastAsia="Arial" w:hAnsi="Arial"/>
          <w:sz w:val="22"/>
          <w:szCs w:val="22"/>
          <w:color w:val="auto"/>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hereby consent to the incorporation by reference in this Registration Statement on Form S-1, of our report dated July 29, 2020, relating to the balance sheet of ARYA Sciences Acquisition Corp III as of April 2, 2020, and the related statements of operations, changes in shareholder’s equity and cash flows for the period from March 27, 2020 (inception) through April 2, 2020, appearing in Amendment No. 2 to the Registration Statement on Form S-1, File No. 333-239986.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1"/>
      <w:numFmt w:val="decimal"/>
      <w:start w:val="24"/>
    </w:lvl>
  </w:abstractNum>
  <w:abstractNum w:abstractNumId="3">
    <w:nsid w:val="628C895D"/>
    <w:multiLevelType w:val="hybridMultilevel"/>
    <w:lvl w:ilvl="0">
      <w:lvlJc w:val="left"/>
      <w:lvlText w:val="1"/>
      <w:numFmt w:val="bullet"/>
      <w:start w:val="1"/>
    </w:lvl>
  </w:abstractNum>
  <w:abstractNum w:abstractNumId="4">
    <w:nsid w:val="333AB105"/>
    <w:multiLevelType w:val="hybridMultilevel"/>
    <w:lvl w:ilvl="0">
      <w:lvlJc w:val="left"/>
      <w:lvlText w:val="2"/>
      <w:numFmt w:val="bullet"/>
      <w:start w:val="1"/>
    </w:lvl>
  </w:abstractNum>
  <w:abstractNum w:abstractNumId="5">
    <w:nsid w:val="721DA317"/>
    <w:multiLevelType w:val="hybridMultilevel"/>
    <w:lvl w:ilvl="0">
      <w:lvlJc w:val="left"/>
      <w:lvlText w:val="3"/>
      <w:numFmt w:val="bullet"/>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2"/>
    </w:lvl>
  </w:abstractNum>
  <w:abstractNum w:abstractNumId="8">
    <w:nsid w:val="6763845E"/>
    <w:multiLevelType w:val="hybridMultilevel"/>
    <w:lvl w:ilvl="0">
      <w:lvlJc w:val="left"/>
      <w:lvlText w:val="(%1)"/>
      <w:numFmt w:val="lowerLetter"/>
      <w:start w:val="3"/>
    </w:lvl>
    <w:lvl w:ilvl="1">
      <w:lvlJc w:val="left"/>
      <w:lvlText w:val="(%2)"/>
      <w:numFmt w:val="lowerRoman"/>
      <w:start w:val="1"/>
    </w:lvl>
  </w:abstractNum>
  <w:abstractNum w:abstractNumId="9">
    <w:nsid w:val="75A2A8D4"/>
    <w:multiLevelType w:val="hybridMultilevel"/>
    <w:lvl w:ilvl="0">
      <w:lvlJc w:val="left"/>
      <w:lvlText w:val="(%1)"/>
      <w:numFmt w:val="lowerLetter"/>
      <w:start w:val="4"/>
    </w:lvl>
    <w:lvl w:ilvl="1">
      <w:lvlJc w:val="left"/>
      <w:lvlText w:val="(%2)"/>
      <w:numFmt w:val="lowerRoman"/>
      <w:start w:val="1"/>
    </w:lvl>
  </w:abstractNum>
  <w:abstractNum w:abstractNumId="10">
    <w:nsid w:val="8EDBDAB"/>
    <w:multiLevelType w:val="hybridMultilevel"/>
    <w:lvl w:ilvl="0">
      <w:lvlJc w:val="left"/>
      <w:lvlText w:val="4"/>
      <w:numFmt w:val="bullet"/>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5"/>
      <w:numFmt w:val="bullet"/>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6"/>
      <w:numFmt w:val="bullet"/>
      <w:start w:val="1"/>
    </w:lvl>
  </w:abstractNum>
  <w:abstractNum w:abstractNumId="15">
    <w:nsid w:val="54E49EB4"/>
    <w:multiLevelType w:val="hybridMultilevel"/>
    <w:lvl w:ilvl="0">
      <w:lvlJc w:val="left"/>
      <w:lvlText w:val="1"/>
      <w:numFmt w:val="bullet"/>
      <w:start w:val="1"/>
    </w:lvl>
  </w:abstractNum>
  <w:abstractNum w:abstractNumId="16">
    <w:nsid w:val="71F32454"/>
    <w:multiLevelType w:val="hybridMultilevel"/>
    <w:lvl w:ilvl="0">
      <w:lvlJc w:val="left"/>
      <w:lvlText w:val="2"/>
      <w:numFmt w:val="bullet"/>
      <w:start w:val="1"/>
    </w:lvl>
  </w:abstractNum>
  <w:abstractNum w:abstractNumId="17">
    <w:nsid w:val="2CA88611"/>
    <w:multiLevelType w:val="hybridMultilevel"/>
    <w:lvl w:ilvl="0">
      <w:lvlJc w:val="left"/>
      <w:lvlText w:val="3"/>
      <w:numFmt w:val="bullet"/>
      <w:start w:val="1"/>
    </w:lvl>
  </w:abstractNum>
  <w:abstractNum w:abstractNumId="18">
    <w:nsid w:val="836C40E"/>
    <w:multiLevelType w:val="hybridMultilevel"/>
    <w:lvl w:ilvl="0">
      <w:lvlJc w:val="left"/>
      <w:lvlText w:val="4"/>
      <w:numFmt w:val="bullet"/>
      <w:start w:val="1"/>
    </w:lvl>
  </w:abstractNum>
  <w:abstractNum w:abstractNumId="19">
    <w:nsid w:val="2901D82"/>
    <w:multiLevelType w:val="hybridMultilevel"/>
    <w:lvl w:ilvl="0">
      <w:lvlJc w:val="left"/>
      <w:lvlText w:val="5"/>
      <w:numFmt w:val="bullet"/>
      <w:start w:val="1"/>
    </w:lvl>
  </w:abstractNum>
  <w:abstractNum w:abstractNumId="20">
    <w:nsid w:val="3A95F874"/>
    <w:multiLevelType w:val="hybridMultilevel"/>
    <w:lvl w:ilvl="0">
      <w:lvlJc w:val="left"/>
      <w:lvlText w:val="6"/>
      <w:numFmt w:val="bullet"/>
      <w:start w:val="1"/>
    </w:lvl>
  </w:abstractNum>
  <w:abstractNum w:abstractNumId="21">
    <w:nsid w:val="8138641"/>
    <w:multiLevelType w:val="hybridMultilevel"/>
    <w:lvl w:ilvl="0">
      <w:lvlJc w:val="left"/>
      <w:lvlText w:val="8"/>
      <w:numFmt w:val="bullet"/>
      <w:start w:val="1"/>
    </w:lvl>
  </w:abstractNum>
  <w:abstractNum w:abstractNumId="22">
    <w:nsid w:val="1E7FF521"/>
    <w:multiLevelType w:val="hybridMultilevel"/>
    <w:lvl w:ilvl="0">
      <w:lvlJc w:val="left"/>
      <w:lvlText w:val="1"/>
      <w:numFmt w:val="bullet"/>
      <w:start w:val="1"/>
    </w:lvl>
  </w:abstractNum>
  <w:abstractNum w:abstractNumId="23">
    <w:nsid w:val="7C3DBD3D"/>
    <w:multiLevelType w:val="hybridMultilevel"/>
    <w:lvl w:ilvl="0">
      <w:lvlJc w:val="left"/>
      <w:lvlText w:val="2"/>
      <w:numFmt w:val="bullet"/>
      <w:start w:val="1"/>
    </w:lvl>
  </w:abstractNum>
  <w:abstractNum w:abstractNumId="24">
    <w:nsid w:val="737B8DDC"/>
    <w:multiLevelType w:val="hybridMultilevel"/>
    <w:lvl w:ilvl="0">
      <w:lvlJc w:val="left"/>
      <w:lvlText w:val="3"/>
      <w:numFmt w:val="bullet"/>
      <w:start w:val="1"/>
    </w:lvl>
  </w:abstractNum>
  <w:abstractNum w:abstractNumId="25">
    <w:nsid w:val="6CEAF087"/>
    <w:multiLevelType w:val="hybridMultilevel"/>
    <w:lvl w:ilvl="0">
      <w:lvlJc w:val="left"/>
      <w:lvlText w:val="4"/>
      <w:numFmt w:val="bullet"/>
      <w:start w:val="1"/>
    </w:lvl>
  </w:abstractNum>
  <w:abstractNum w:abstractNumId="26">
    <w:nsid w:val="22221A70"/>
    <w:multiLevelType w:val="hybridMultilevel"/>
    <w:lvl w:ilvl="0">
      <w:lvlJc w:val="left"/>
      <w:lvlText w:val="5"/>
      <w:numFmt w:val="bullet"/>
      <w:start w:val="1"/>
    </w:lvl>
  </w:abstractNum>
  <w:abstractNum w:abstractNumId="27">
    <w:nsid w:val="4516DDE9"/>
    <w:multiLevelType w:val="hybridMultilevel"/>
    <w:lvl w:ilvl="0">
      <w:lvlJc w:val="left"/>
      <w:lvlText w:val="6"/>
      <w:numFmt w:val="bullet"/>
      <w:start w:val="1"/>
    </w:lvl>
  </w:abstractNum>
  <w:abstractNum w:abstractNumId="28">
    <w:nsid w:val="3006C83E"/>
    <w:multiLevelType w:val="hybridMultilevel"/>
    <w:lvl w:ilvl="0">
      <w:lvlJc w:val="left"/>
      <w:lvlText w:val="7"/>
      <w:numFmt w:val="bullet"/>
      <w:start w:val="1"/>
    </w:lvl>
  </w:abstractNum>
  <w:abstractNum w:abstractNumId="29">
    <w:nsid w:val="614FD4A1"/>
    <w:multiLevelType w:val="hybridMultilevel"/>
    <w:lvl w:ilvl="0">
      <w:lvlJc w:val="left"/>
      <w:lvlText w:val="8"/>
      <w:numFmt w:val="bullet"/>
      <w:start w:val="1"/>
    </w:lvl>
    <w:lvl w:ilvl="1">
      <w:lvlJc w:val="left"/>
      <w:lvlText w:val="(%2)"/>
      <w:numFmt w:val="lowerLetter"/>
      <w:start w:val="1"/>
    </w:lvl>
  </w:abstractNum>
  <w:abstractNum w:abstractNumId="30">
    <w:nsid w:val="419AC241"/>
    <w:multiLevelType w:val="hybridMultilevel"/>
    <w:lvl w:ilvl="0">
      <w:lvlJc w:val="left"/>
      <w:lvlText w:val="9"/>
      <w:numFmt w:val="bullet"/>
      <w:start w:val="1"/>
    </w:lvl>
  </w:abstractNum>
  <w:abstractNum w:abstractNumId="31">
    <w:nsid w:val="5577F8E1"/>
    <w:multiLevelType w:val="hybridMultilevel"/>
    <w:lvl w:ilvl="0">
      <w:lvlJc w:val="left"/>
      <w:lvlText w:val="%1"/>
      <w:numFmt w:val="decimal"/>
      <w:start w:val="10"/>
    </w:lvl>
  </w:abstractNum>
  <w:abstractNum w:abstractNumId="32">
    <w:nsid w:val="440BADFC"/>
    <w:multiLevelType w:val="hybridMultilevel"/>
    <w:lvl w:ilvl="0">
      <w:lvlJc w:val="left"/>
      <w:lvlText w:val="%1"/>
      <w:numFmt w:val="decimal"/>
      <w:start w:val="11"/>
    </w:lvl>
  </w:abstractNum>
  <w:abstractNum w:abstractNumId="33">
    <w:nsid w:val="5072367"/>
    <w:multiLevelType w:val="hybridMultilevel"/>
    <w:lvl w:ilvl="0">
      <w:lvlJc w:val="left"/>
      <w:lvlText w:val="1"/>
      <w:numFmt w:val="bullet"/>
      <w:start w:val="1"/>
    </w:lvl>
  </w:abstractNum>
  <w:abstractNum w:abstractNumId="34">
    <w:nsid w:val="3804823E"/>
    <w:multiLevelType w:val="hybridMultilevel"/>
    <w:lvl w:ilvl="0">
      <w:lvlJc w:val="left"/>
      <w:lvlText w:val="2"/>
      <w:numFmt w:val="bullet"/>
      <w:start w:val="1"/>
    </w:lvl>
  </w:abstractNum>
  <w:abstractNum w:abstractNumId="35">
    <w:nsid w:val="77465F01"/>
    <w:multiLevelType w:val="hybridMultilevel"/>
    <w:lvl w:ilvl="0">
      <w:lvlJc w:val="left"/>
      <w:lvlText w:val="3"/>
      <w:numFmt w:val="bullet"/>
      <w:start w:val="1"/>
    </w:lvl>
  </w:abstractNum>
  <w:abstractNum w:abstractNumId="36">
    <w:nsid w:val="7724C67E"/>
    <w:multiLevelType w:val="hybridMultilevel"/>
    <w:lvl w:ilvl="0">
      <w:lvlJc w:val="left"/>
      <w:lvlText w:val="4"/>
      <w:numFmt w:val="bullet"/>
      <w:start w:val="1"/>
    </w:lvl>
  </w:abstractNum>
  <w:abstractNum w:abstractNumId="37">
    <w:nsid w:val="5C482A97"/>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2020-08-06T20:33:35Z</dcterms:created>
  <dcterms:modified xsi:type="dcterms:W3CDTF">2020-08-06T20:33:35Z</dcterms:modified>
</cp:coreProperties>
</file>