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1880" w:h="15481"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1"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3"/>
          <w:szCs w:val="23"/>
          <w:b w:val="1"/>
          <w:bCs w:val="1"/>
          <w:color w:val="auto"/>
        </w:rPr>
        <mc:AlternateContent>
          <mc:Choice Requires="wps">
            <w:drawing>
              <wp:anchor simplePos="0" relativeHeight="251657728" behindDoc="1" locked="0" layoutInCell="0" allowOverlap="1">
                <wp:simplePos x="0" y="0"/>
                <wp:positionH relativeFrom="page">
                  <wp:posOffset>443230</wp:posOffset>
                </wp:positionH>
                <wp:positionV relativeFrom="page">
                  <wp:posOffset>541655</wp:posOffset>
                </wp:positionV>
                <wp:extent cx="645287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2870" cy="4763"/>
                        </a:xfrm>
                        <a:prstGeom prst="line">
                          <a:avLst/>
                        </a:prstGeom>
                        <a:solidFill>
                          <a:srgbClr val="FFFFFF"/>
                        </a:solidFill>
                        <a:ln w="2465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9pt,42.65pt" to="543pt,42.65pt" o:allowincell="f" strokecolor="#000000" strokeweight="1.9411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0" w:lineRule="exact"/>
        <w:rPr>
          <w:sz w:val="20"/>
          <w:szCs w:val="20"/>
          <w:color w:val="auto"/>
        </w:rPr>
      </w:pPr>
    </w:p>
    <w:p>
      <w:pPr>
        <w:spacing w:after="0" w:line="311" w:lineRule="exact"/>
        <w:rPr>
          <w:sz w:val="20"/>
          <w:szCs w:val="20"/>
          <w:color w:val="auto"/>
        </w:rPr>
      </w:pPr>
    </w:p>
    <w:p>
      <w:pPr>
        <w:ind w:left="540" w:right="880" w:hanging="490"/>
        <w:spacing w:after="0" w:line="298" w:lineRule="auto"/>
        <w:tabs>
          <w:tab w:leader="none" w:pos="54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86" w:lineRule="exact"/>
        <w:rPr>
          <w:sz w:val="20"/>
          <w:szCs w:val="20"/>
          <w:color w:val="auto"/>
        </w:rPr>
      </w:pPr>
    </w:p>
    <w:p>
      <w:pPr>
        <w:ind w:left="540" w:right="800" w:hanging="490"/>
        <w:spacing w:after="0" w:line="298" w:lineRule="auto"/>
        <w:tabs>
          <w:tab w:leader="none" w:pos="54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1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For the transition period from ___________ to ___________</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Commission file number 001-39434</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411"/>
        </w:trPr>
        <w:tc>
          <w:tcPr>
            <w:tcW w:w="8580" w:type="dxa"/>
            <w:vAlign w:val="bottom"/>
            <w:gridSpan w:val="2"/>
          </w:tcPr>
          <w:p>
            <w:pPr>
              <w:jc w:val="center"/>
              <w:ind w:left="1649"/>
              <w:spacing w:after="0"/>
              <w:rPr>
                <w:sz w:val="20"/>
                <w:szCs w:val="20"/>
                <w:color w:val="auto"/>
              </w:rPr>
            </w:pPr>
            <w:r>
              <w:rPr>
                <w:rFonts w:ascii="Times New Roman" w:cs="Times New Roman" w:eastAsia="Times New Roman" w:hAnsi="Times New Roman"/>
                <w:sz w:val="31"/>
                <w:szCs w:val="31"/>
                <w:b w:val="1"/>
                <w:bCs w:val="1"/>
                <w:color w:val="auto"/>
              </w:rPr>
              <w:t>NAUTILUS BIOTECHNOLOGY, INC.</w:t>
            </w:r>
          </w:p>
        </w:tc>
      </w:tr>
      <w:tr>
        <w:trPr>
          <w:trHeight w:val="222"/>
        </w:trPr>
        <w:tc>
          <w:tcPr>
            <w:tcW w:w="8580" w:type="dxa"/>
            <w:vAlign w:val="bottom"/>
            <w:gridSpan w:val="2"/>
          </w:tcPr>
          <w:p>
            <w:pPr>
              <w:jc w:val="center"/>
              <w:ind w:left="1649"/>
              <w:spacing w:after="0"/>
              <w:rPr>
                <w:sz w:val="20"/>
                <w:szCs w:val="20"/>
                <w:color w:val="auto"/>
              </w:rPr>
            </w:pPr>
            <w:r>
              <w:rPr>
                <w:rFonts w:ascii="Times New Roman" w:cs="Times New Roman" w:eastAsia="Times New Roman" w:hAnsi="Times New Roman"/>
                <w:sz w:val="16"/>
                <w:szCs w:val="16"/>
                <w:color w:val="auto"/>
                <w:w w:val="96"/>
              </w:rPr>
              <w:t>(Exact name of registrant as specified in its charter)</w:t>
            </w:r>
          </w:p>
        </w:tc>
      </w:tr>
      <w:tr>
        <w:trPr>
          <w:trHeight w:val="249"/>
        </w:trPr>
        <w:tc>
          <w:tcPr>
            <w:tcW w:w="5020" w:type="dxa"/>
            <w:vAlign w:val="bottom"/>
          </w:tcPr>
          <w:p>
            <w:pPr>
              <w:jc w:val="center"/>
              <w:ind w:right="120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6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98-1541723</w:t>
            </w:r>
          </w:p>
        </w:tc>
      </w:tr>
      <w:tr>
        <w:trPr>
          <w:trHeight w:val="233"/>
        </w:trPr>
        <w:tc>
          <w:tcPr>
            <w:tcW w:w="5020" w:type="dxa"/>
            <w:vAlign w:val="bottom"/>
          </w:tcPr>
          <w:p>
            <w:pPr>
              <w:jc w:val="center"/>
              <w:ind w:right="1209"/>
              <w:spacing w:after="0"/>
              <w:rPr>
                <w:sz w:val="20"/>
                <w:szCs w:val="20"/>
                <w:color w:val="auto"/>
              </w:rPr>
            </w:pPr>
            <w:r>
              <w:rPr>
                <w:rFonts w:ascii="Times New Roman" w:cs="Times New Roman" w:eastAsia="Times New Roman" w:hAnsi="Times New Roman"/>
                <w:sz w:val="16"/>
                <w:szCs w:val="16"/>
                <w:color w:val="auto"/>
                <w:w w:val="97"/>
              </w:rPr>
              <w:t>(State or other jurisdiction of incorporation or organization)</w:t>
            </w:r>
          </w:p>
        </w:tc>
        <w:tc>
          <w:tcPr>
            <w:tcW w:w="356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06"/>
        </w:trPr>
        <w:tc>
          <w:tcPr>
            <w:tcW w:w="5020" w:type="dxa"/>
            <w:vAlign w:val="bottom"/>
          </w:tcPr>
          <w:p>
            <w:pPr>
              <w:jc w:val="center"/>
              <w:ind w:right="1209"/>
              <w:spacing w:after="0"/>
              <w:rPr>
                <w:sz w:val="20"/>
                <w:szCs w:val="20"/>
                <w:color w:val="auto"/>
              </w:rPr>
            </w:pPr>
            <w:r>
              <w:rPr>
                <w:rFonts w:ascii="Times New Roman" w:cs="Times New Roman" w:eastAsia="Times New Roman" w:hAnsi="Times New Roman"/>
                <w:sz w:val="16"/>
                <w:szCs w:val="16"/>
                <w:b w:val="1"/>
                <w:bCs w:val="1"/>
                <w:color w:val="auto"/>
                <w:w w:val="97"/>
              </w:rPr>
              <w:t>2701 Eastlake Avenue East Seattle, Washington</w:t>
            </w:r>
          </w:p>
        </w:tc>
        <w:tc>
          <w:tcPr>
            <w:tcW w:w="356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98102</w:t>
            </w:r>
          </w:p>
        </w:tc>
      </w:tr>
      <w:tr>
        <w:trPr>
          <w:trHeight w:val="233"/>
        </w:trPr>
        <w:tc>
          <w:tcPr>
            <w:tcW w:w="5020" w:type="dxa"/>
            <w:vAlign w:val="bottom"/>
          </w:tcPr>
          <w:p>
            <w:pPr>
              <w:jc w:val="center"/>
              <w:ind w:right="1189"/>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56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(206) 333-2001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880" w:h="15480" w:orient="portrait"/>
          <w:cols w:equalWidth="0" w:num="1">
            <w:col w:w="10480"/>
          </w:cols>
          <w:pgMar w:left="700" w:top="1103" w:right="700" w:bottom="226" w:gutter="0" w:footer="0" w:header="0"/>
        </w:sectPr>
      </w:pPr>
    </w:p>
    <w:p>
      <w:pPr>
        <w:spacing w:after="0" w:line="25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Trading Symbol(s)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63" w:lineRule="exact"/>
        <w:rPr>
          <w:sz w:val="20"/>
          <w:szCs w:val="20"/>
          <w:color w:val="auto"/>
        </w:rPr>
      </w:pPr>
    </w:p>
    <w:p>
      <w:pPr>
        <w:sectPr>
          <w:pgSz w:w="11880" w:h="15480" w:orient="portrait"/>
          <w:cols w:equalWidth="0" w:num="3">
            <w:col w:w="3280" w:space="720"/>
            <w:col w:w="1720" w:space="720"/>
            <w:col w:w="4040"/>
          </w:cols>
          <w:pgMar w:left="700" w:top="1103" w:right="700" w:bottom="226" w:gutter="0" w:footer="0" w:header="0"/>
          <w:type w:val="continuous"/>
        </w:sectPr>
      </w:pPr>
    </w:p>
    <w:p>
      <w:pPr>
        <w:ind w:left="2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0"/>
          <w:szCs w:val="20"/>
          <w:color w:val="auto"/>
        </w:rPr>
      </w:pPr>
    </w:p>
    <w:p>
      <w:pPr>
        <w:sectPr>
          <w:pgSz w:w="11880" w:h="15480" w:orient="portrait"/>
          <w:cols w:equalWidth="0" w:num="3">
            <w:col w:w="3640" w:space="720"/>
            <w:col w:w="1680" w:space="720"/>
            <w:col w:w="3720"/>
          </w:cols>
          <w:pgMar w:left="700" w:top="1103" w:right="700" w:bottom="226" w:gutter="0" w:footer="0" w:header="0"/>
          <w:type w:val="continuous"/>
        </w:sectPr>
      </w:pP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180" w:lineRule="exact"/>
        <w:rPr>
          <w:sz w:val="20"/>
          <w:szCs w:val="20"/>
          <w:color w:val="auto"/>
        </w:rPr>
      </w:pPr>
    </w:p>
    <w:p>
      <w:pPr>
        <w:ind w:left="340" w:right="720"/>
        <w:spacing w:after="0" w:line="32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141" w:lineRule="exact"/>
        <w:rPr>
          <w:sz w:val="20"/>
          <w:szCs w:val="20"/>
          <w:color w:val="auto"/>
        </w:rPr>
      </w:pPr>
    </w:p>
    <w:p>
      <w:pPr>
        <w:ind w:right="100" w:firstLine="349"/>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w:t>
      </w:r>
    </w:p>
    <w:p>
      <w:pPr>
        <w:spacing w:after="0" w:line="32"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w:t>
      </w:r>
    </w:p>
    <w:p>
      <w:pPr>
        <w:spacing w:after="0" w:line="141" w:lineRule="exact"/>
        <w:rPr>
          <w:sz w:val="20"/>
          <w:szCs w:val="20"/>
          <w:color w:val="auto"/>
        </w:rPr>
      </w:pPr>
    </w:p>
    <w:p>
      <w:pPr>
        <w:ind w:right="360" w:firstLine="349"/>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2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2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62" w:lineRule="exact"/>
        <w:rPr>
          <w:sz w:val="20"/>
          <w:szCs w:val="20"/>
          <w:color w:val="auto"/>
        </w:rPr>
      </w:pPr>
    </w:p>
    <w:p>
      <w:pPr>
        <w:ind w:firstLine="349"/>
        <w:spacing w:after="0" w:line="296"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2" w:lineRule="exact"/>
        <w:rPr>
          <w:sz w:val="20"/>
          <w:szCs w:val="20"/>
          <w:color w:val="auto"/>
        </w:rPr>
      </w:pPr>
    </w:p>
    <w:p>
      <w:pPr>
        <w:ind w:firstLine="349"/>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880" w:h="15480" w:orient="portrait"/>
          <w:cols w:equalWidth="0" w:num="1">
            <w:col w:w="10480"/>
          </w:cols>
          <w:pgMar w:left="700" w:top="1103" w:right="700" w:bottom="226" w:gutter="0" w:footer="0" w:header="0"/>
          <w:type w:val="continuous"/>
        </w:sectPr>
      </w:pPr>
    </w:p>
    <w:bookmarkStart w:id="3" w:name="page4"/>
    <w:bookmarkEnd w:id="3"/>
    <w:p>
      <w:pPr>
        <w:ind w:right="540" w:firstLine="349"/>
        <w:spacing w:after="0" w:line="227"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b w:val="1"/>
          <w:bCs w:val="1"/>
          <w:color w:val="auto"/>
        </w:rPr>
        <w:t>☐</w:t>
      </w:r>
    </w:p>
    <w:p>
      <w:pPr>
        <w:spacing w:after="0" w:line="141" w:lineRule="exact"/>
        <w:rPr>
          <w:sz w:val="20"/>
          <w:szCs w:val="20"/>
          <w:color w:val="auto"/>
        </w:rPr>
      </w:pPr>
    </w:p>
    <w:p>
      <w:pPr>
        <w:ind w:right="920" w:firstLine="34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130" w:lineRule="exact"/>
        <w:rPr>
          <w:sz w:val="20"/>
          <w:szCs w:val="20"/>
          <w:color w:val="auto"/>
        </w:rPr>
      </w:pPr>
    </w:p>
    <w:p>
      <w:pPr>
        <w:ind w:left="340"/>
        <w:spacing w:after="0" w:line="196" w:lineRule="exact"/>
        <w:tabs>
          <w:tab w:leader="none" w:pos="7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200" w:lineRule="exact"/>
        <w:rPr>
          <w:sz w:val="20"/>
          <w:szCs w:val="20"/>
          <w:color w:val="auto"/>
        </w:rPr>
      </w:pPr>
    </w:p>
    <w:p>
      <w:pPr>
        <w:ind w:firstLine="349"/>
        <w:spacing w:after="0" w:line="270"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based upon the closing price of the common stock on June 30, 2025, as reported by The Nasdaq Stock Market LLC, was $35.8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registrant had outstanding 126,564,473 shares of common stock as of February 19, 2026.</w:t>
      </w:r>
    </w:p>
    <w:p>
      <w:pPr>
        <w:spacing w:after="0" w:line="18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Portions of the registrant’s definitive Proxy Statement to be filed with the Securities and Exchange Commission in connection with the registrant’s 2026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 Except with respect to information specifically incorporated by reference, the Proxy Statement is not deemed to be filed as 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189230</wp:posOffset>
                </wp:positionV>
                <wp:extent cx="64535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3505" cy="4763"/>
                        </a:xfrm>
                        <a:prstGeom prst="line">
                          <a:avLst/>
                        </a:prstGeom>
                        <a:solidFill>
                          <a:srgbClr val="FFFFFF"/>
                        </a:solidFill>
                        <a:ln w="2465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pt,14.9pt" to="516.05pt,14.9pt" o:allowincell="f" strokecolor="#000000" strokeweight="1.9411pt"/>
            </w:pict>
          </mc:Fallback>
        </mc:AlternateContent>
      </w:r>
    </w:p>
    <w:p>
      <w:pPr>
        <w:sectPr>
          <w:pgSz w:w="11880" w:h="15480" w:orient="portrait"/>
          <w:cols w:equalWidth="0" w:num="1">
            <w:col w:w="10420"/>
          </w:cols>
          <w:pgMar w:left="700" w:top="697" w:right="76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08"/>
        </w:trPr>
        <w:tc>
          <w:tcPr>
            <w:tcW w:w="8880" w:type="dxa"/>
            <w:vAlign w:val="bottom"/>
          </w:tcPr>
          <w:p>
            <w:pPr>
              <w:ind w:left="3960"/>
              <w:spacing w:after="0"/>
              <w:rPr>
                <w:sz w:val="20"/>
                <w:szCs w:val="20"/>
                <w:color w:val="auto"/>
              </w:rPr>
            </w:pPr>
            <w:r>
              <w:rPr>
                <w:rFonts w:ascii="Times New Roman" w:cs="Times New Roman" w:eastAsia="Times New Roman" w:hAnsi="Times New Roman"/>
                <w:sz w:val="23"/>
                <w:szCs w:val="23"/>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1"/>
        </w:trPr>
        <w:tc>
          <w:tcPr>
            <w:tcW w:w="88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9"/>
                <w:szCs w:val="19"/>
                <w:b w:val="1"/>
                <w:bCs w:val="1"/>
                <w:color w:val="auto"/>
                <w:w w:val="97"/>
              </w:rPr>
              <w:t>Page</w:t>
            </w:r>
          </w:p>
        </w:tc>
        <w:tc>
          <w:tcPr>
            <w:tcW w:w="0" w:type="dxa"/>
            <w:vAlign w:val="bottom"/>
          </w:tcPr>
          <w:p>
            <w:pPr>
              <w:spacing w:after="0"/>
              <w:rPr>
                <w:sz w:val="1"/>
                <w:szCs w:val="1"/>
                <w:color w:val="auto"/>
              </w:rPr>
            </w:pPr>
          </w:p>
        </w:tc>
      </w:tr>
      <w:tr>
        <w:trPr>
          <w:trHeight w:val="393"/>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 Business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1A. Risk Factors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1B. Unresolved Staff Comments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69</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1C. Cybersecurity</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69</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2. Properties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3. Legal Proceedings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4. Mine Safety Disclosures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5. Market for Registrant's Common Equity, Related Stockholder Matters and Issuer Purchases of</w:t>
            </w:r>
          </w:p>
        </w:tc>
        <w:tc>
          <w:tcPr>
            <w:tcW w:w="780" w:type="dxa"/>
            <w:vAlign w:val="bottom"/>
            <w:vMerge w:val="restart"/>
          </w:tcPr>
          <w:p>
            <w:pPr>
              <w:jc w:val="center"/>
              <w:ind w:left="283"/>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136"/>
        </w:trPr>
        <w:tc>
          <w:tcPr>
            <w:tcW w:w="8880" w:type="dxa"/>
            <w:vAlign w:val="bottom"/>
            <w:vMerge w:val="restart"/>
          </w:tcPr>
          <w:p>
            <w:pPr>
              <w:ind w:left="580"/>
              <w:spacing w:after="0"/>
              <w:rPr>
                <w:sz w:val="20"/>
                <w:szCs w:val="20"/>
                <w:color w:val="auto"/>
              </w:rPr>
            </w:pPr>
            <w:r>
              <w:rPr>
                <w:rFonts w:ascii="Times New Roman" w:cs="Times New Roman" w:eastAsia="Times New Roman" w:hAnsi="Times New Roman"/>
                <w:sz w:val="19"/>
                <w:szCs w:val="19"/>
                <w:color w:val="auto"/>
              </w:rPr>
              <w:t>Equity Securities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6. [ Reserved ]</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7. Management's Discussion and Analysis of Financial Condition and Results of Operations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73</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7A. Quantitative and Qualitative Disclosures About Market Risk</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80</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8. Financial Statements and Supplementary Data</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81</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9. Changes in and Disagreements With Accountants on Accounting and Financial Disclosure</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9A. Controls and Procedures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9B. Other Information</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9C. Disclosure Regarding Foreign Jurisdictions that Prevent Inspections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10. Directors, Executive Officers and Corporate Governance</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11. Executive Compensation</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107</w:t>
            </w:r>
          </w:p>
        </w:tc>
        <w:tc>
          <w:tcPr>
            <w:tcW w:w="0" w:type="dxa"/>
            <w:vAlign w:val="bottom"/>
          </w:tcPr>
          <w:p>
            <w:pPr>
              <w:spacing w:after="0"/>
              <w:rPr>
                <w:sz w:val="1"/>
                <w:szCs w:val="1"/>
                <w:color w:val="auto"/>
              </w:rPr>
            </w:pPr>
          </w:p>
        </w:tc>
      </w:tr>
      <w:tr>
        <w:trPr>
          <w:trHeight w:val="35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12. Security Ownership of Certain Beneficial Owners and Management and Related Stockholder</w:t>
            </w:r>
          </w:p>
        </w:tc>
        <w:tc>
          <w:tcPr>
            <w:tcW w:w="780" w:type="dxa"/>
            <w:vAlign w:val="bottom"/>
            <w:vMerge w:val="restart"/>
          </w:tcPr>
          <w:p>
            <w:pPr>
              <w:jc w:val="center"/>
              <w:ind w:left="283"/>
              <w:spacing w:after="0"/>
              <w:rPr>
                <w:sz w:val="20"/>
                <w:szCs w:val="20"/>
                <w:color w:val="auto"/>
              </w:rPr>
            </w:pPr>
            <w:r>
              <w:rPr>
                <w:rFonts w:ascii="Times New Roman" w:cs="Times New Roman" w:eastAsia="Times New Roman" w:hAnsi="Times New Roman"/>
                <w:sz w:val="19"/>
                <w:szCs w:val="19"/>
                <w:color w:val="auto"/>
                <w:w w:val="98"/>
              </w:rPr>
              <w:t>107</w:t>
            </w:r>
          </w:p>
        </w:tc>
        <w:tc>
          <w:tcPr>
            <w:tcW w:w="0" w:type="dxa"/>
            <w:vAlign w:val="bottom"/>
          </w:tcPr>
          <w:p>
            <w:pPr>
              <w:spacing w:after="0"/>
              <w:rPr>
                <w:sz w:val="1"/>
                <w:szCs w:val="1"/>
                <w:color w:val="auto"/>
              </w:rPr>
            </w:pPr>
          </w:p>
        </w:tc>
      </w:tr>
      <w:tr>
        <w:trPr>
          <w:trHeight w:val="136"/>
        </w:trPr>
        <w:tc>
          <w:tcPr>
            <w:tcW w:w="8880" w:type="dxa"/>
            <w:vAlign w:val="bottom"/>
            <w:vMerge w:val="restart"/>
          </w:tcPr>
          <w:p>
            <w:pPr>
              <w:ind w:left="580"/>
              <w:spacing w:after="0"/>
              <w:rPr>
                <w:sz w:val="20"/>
                <w:szCs w:val="20"/>
                <w:color w:val="auto"/>
              </w:rPr>
            </w:pPr>
            <w:r>
              <w:rPr>
                <w:rFonts w:ascii="Times New Roman" w:cs="Times New Roman" w:eastAsia="Times New Roman" w:hAnsi="Times New Roman"/>
                <w:sz w:val="19"/>
                <w:szCs w:val="19"/>
                <w:color w:val="auto"/>
              </w:rPr>
              <w:t>Matters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13. Certain Relationships and Related Transactions, and Director Independence</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14. Principal Accountant Fees and Services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107</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15. Exhibit and Financial Statement Schedules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Item 16. Form 10-K Summary</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111</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Signatures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60"/>
          </w:cols>
          <w:pgMar w:left="1100" w:top="67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660"/>
          </w:cols>
          <w:pgMar w:left="1100" w:top="671" w:right="1120" w:bottom="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SPECIAL NOTE REGARDING FORWARD-LOOKING STATEMENTS</w:t>
      </w:r>
    </w:p>
    <w:p>
      <w:pPr>
        <w:spacing w:after="0" w:line="196"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6" w:lineRule="exact"/>
        <w:rPr>
          <w:sz w:val="20"/>
          <w:szCs w:val="20"/>
          <w:color w:val="auto"/>
        </w:rPr>
      </w:pPr>
    </w:p>
    <w:p>
      <w:pPr>
        <w:ind w:right="580" w:firstLine="348"/>
        <w:spacing w:after="0" w:line="230"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dependence on the success of our proteomics platform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which remains in the development stage and subject to scientific and technical validation;</w:t>
      </w:r>
    </w:p>
    <w:p>
      <w:pPr>
        <w:spacing w:after="0" w:line="155" w:lineRule="exact"/>
        <w:rPr>
          <w:rFonts w:ascii="Times New Roman" w:cs="Times New Roman" w:eastAsia="Times New Roman" w:hAnsi="Times New Roman"/>
          <w:sz w:val="19"/>
          <w:szCs w:val="19"/>
          <w:color w:val="auto"/>
        </w:rPr>
      </w:pPr>
    </w:p>
    <w:p>
      <w:pPr>
        <w:ind w:right="96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timing and progress of the development of the Nautilus Voyager platform and any commercialization timelines;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functionality of the Nautilus Voyager platform;</w:t>
      </w:r>
    </w:p>
    <w:p>
      <w:pPr>
        <w:spacing w:after="0" w:line="189" w:lineRule="exact"/>
        <w:rPr>
          <w:rFonts w:ascii="Times New Roman" w:cs="Times New Roman" w:eastAsia="Times New Roman" w:hAnsi="Times New Roman"/>
          <w:sz w:val="19"/>
          <w:szCs w:val="19"/>
          <w:color w:val="auto"/>
        </w:rPr>
      </w:pPr>
    </w:p>
    <w:p>
      <w:pPr>
        <w:ind w:right="20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availability of private and public research funding for proteomics research and development activities;</w:t>
      </w:r>
    </w:p>
    <w:p>
      <w:pPr>
        <w:spacing w:after="0" w:line="107" w:lineRule="exact"/>
        <w:rPr>
          <w:rFonts w:ascii="Times New Roman" w:cs="Times New Roman" w:eastAsia="Times New Roman" w:hAnsi="Times New Roman"/>
          <w:sz w:val="19"/>
          <w:szCs w:val="19"/>
          <w:color w:val="auto"/>
        </w:rPr>
      </w:pPr>
    </w:p>
    <w:p>
      <w:pPr>
        <w:ind w:right="58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rate and degree of market acceptance of the Nautilus Voyager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Nautilus Voyager platform on the field of proteomics and the size and growth of the addressable proteomics</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w:t>
      </w:r>
    </w:p>
    <w:p>
      <w:pPr>
        <w:spacing w:after="0" w:line="16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manage and grow our business and commercialize our Nautilus Voyager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implement our phased commercial launch plan;</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implementation of our business model and strategic plans for the Nautilus Voyager platform;</w:t>
      </w:r>
    </w:p>
    <w:p>
      <w:pPr>
        <w:spacing w:after="0" w:line="189" w:lineRule="exact"/>
        <w:rPr>
          <w:rFonts w:ascii="Times New Roman" w:cs="Times New Roman" w:eastAsia="Times New Roman" w:hAnsi="Times New Roman"/>
          <w:sz w:val="19"/>
          <w:szCs w:val="19"/>
          <w:color w:val="auto"/>
        </w:rPr>
      </w:pPr>
    </w:p>
    <w:p>
      <w:pPr>
        <w:ind w:right="96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establish and maintain intellectual property protection for our products or avoid or defend claims of infringement;</w:t>
      </w:r>
    </w:p>
    <w:p>
      <w:pPr>
        <w:spacing w:after="0" w:line="107"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use of proceeds from the Business Combination (as defined in Part I, Item 1 of this Annual Report on Form 10-K);</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of third-party partners, manufacturers and suppliers;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applicable laws or regulations;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raise financing in the future;</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length of time that our existing cash resources will fund our operations;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in retaining or recruiting, or changes required in, our officers, key employees or directors or other key personnel;</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volatility of the trading price of our common stock;</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manufacture, support, and commercialize new products;</w:t>
      </w:r>
    </w:p>
    <w:p>
      <w:pPr>
        <w:spacing w:after="0" w:line="189" w:lineRule="exact"/>
        <w:rPr>
          <w:rFonts w:ascii="Times New Roman" w:cs="Times New Roman" w:eastAsia="Times New Roman" w:hAnsi="Times New Roman"/>
          <w:sz w:val="19"/>
          <w:szCs w:val="19"/>
          <w:color w:val="auto"/>
        </w:rPr>
      </w:pPr>
    </w:p>
    <w:p>
      <w:pPr>
        <w:ind w:right="62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be in compliance with the Nasdaq Listing Rules, and maintain the listing of our public securities on The Nasdaq Stock Market LLC;</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about market trends; and</w:t>
      </w:r>
    </w:p>
    <w:p>
      <w:pPr>
        <w:spacing w:after="0" w:line="189" w:lineRule="exact"/>
        <w:rPr>
          <w:rFonts w:ascii="Times New Roman" w:cs="Times New Roman" w:eastAsia="Times New Roman" w:hAnsi="Times New Roman"/>
          <w:sz w:val="19"/>
          <w:szCs w:val="19"/>
          <w:color w:val="auto"/>
        </w:rPr>
      </w:pPr>
    </w:p>
    <w:p>
      <w:pPr>
        <w:ind w:right="42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local, regional, national and international economic conditions and events, volatility in the global financial markets and general economic downturns, on the foregoing.</w:t>
      </w:r>
    </w:p>
    <w:p>
      <w:pPr>
        <w:spacing w:after="0" w:line="107" w:lineRule="exact"/>
        <w:rPr>
          <w:sz w:val="20"/>
          <w:szCs w:val="20"/>
          <w:color w:val="auto"/>
        </w:rPr>
      </w:pPr>
    </w:p>
    <w:p>
      <w:pPr>
        <w:jc w:val="both"/>
        <w:ind w:right="180" w:firstLine="349"/>
        <w:spacing w:after="0" w:line="274" w:lineRule="auto"/>
        <w:rPr>
          <w:sz w:val="20"/>
          <w:szCs w:val="20"/>
          <w:color w:val="auto"/>
        </w:rPr>
      </w:pPr>
      <w:r>
        <w:rPr>
          <w:rFonts w:ascii="Times New Roman" w:cs="Times New Roman" w:eastAsia="Times New Roman" w:hAnsi="Times New Roman"/>
          <w:sz w:val="19"/>
          <w:szCs w:val="19"/>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ectPr>
          <w:pgSz w:w="11880" w:h="15480" w:orient="portrait"/>
          <w:cols w:equalWidth="0" w:num="1">
            <w:col w:w="10440"/>
          </w:cols>
          <w:pgMar w:left="700" w:top="684" w:right="74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440"/>
          </w:cols>
          <w:pgMar w:left="700" w:top="684" w:right="740" w:bottom="0" w:gutter="0" w:footer="0" w:header="0"/>
          <w:type w:val="continuous"/>
        </w:sectPr>
      </w:pPr>
    </w:p>
    <w:bookmarkStart w:id="6" w:name="page7"/>
    <w:bookmarkEnd w:id="6"/>
    <w:p>
      <w:pPr>
        <w:ind w:firstLine="349"/>
        <w:spacing w:after="0" w:line="260" w:lineRule="auto"/>
        <w:rPr>
          <w:sz w:val="20"/>
          <w:szCs w:val="20"/>
          <w:color w:val="auto"/>
        </w:rPr>
      </w:pPr>
      <w:r>
        <w:rPr>
          <w:rFonts w:ascii="Times New Roman" w:cs="Times New Roman" w:eastAsia="Times New Roman" w:hAnsi="Times New Roman"/>
          <w:sz w:val="19"/>
          <w:szCs w:val="19"/>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41"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31"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440"/>
          </w:cols>
          <w:pgMar w:left="700" w:top="691" w:right="74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3"/>
          <w:szCs w:val="23"/>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 OF BUSINESS COMBINATION</w:t>
      </w:r>
    </w:p>
    <w:p>
      <w:pPr>
        <w:spacing w:after="0" w:line="196"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On June 9, 2021 (the “Closing Date”), Nautilus Biotechnology, Inc., a Delaware corporation (f/k/a ARYA Sciences Acquisition Corp III (“ARYA”)), consummated the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 The Business Combination Agreement provided for, among other things, (i) the domestication of ARYA as a corporation incorporated under the laws of the State of Delaware, upon which ARYA changed its name to “Nautilus Biotechnology, Inc.” (together with its consolidated subsidiary, the “Company” “New Nautilus” or “Nautilus”) and (ii) the merger of Mako Merger Sub with and into Legacy Nautilus (the “Merger”), with Legacy Nautilus as the surviving company in the Merger and, after giving effect to such Merger, Legacy Nautilus becoming a wholly-owned subsidiary of New Nautilus.</w:t>
      </w:r>
    </w:p>
    <w:p>
      <w:pPr>
        <w:spacing w:after="0" w:line="13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an aggregate of 20,000,000 shares of common stock of New Nautilus (“Common Stock”) for aggregate gross proceeds of $200,000,000 (the “PIPE Financing”).</w:t>
      </w:r>
    </w:p>
    <w:p>
      <w:pPr>
        <w:spacing w:after="0" w:line="131" w:lineRule="exact"/>
        <w:rPr>
          <w:sz w:val="20"/>
          <w:szCs w:val="20"/>
          <w:color w:val="auto"/>
        </w:rPr>
      </w:pPr>
    </w:p>
    <w:p>
      <w:pPr>
        <w:jc w:val="both"/>
        <w:ind w:right="460" w:firstLine="349"/>
        <w:spacing w:after="0" w:line="274" w:lineRule="auto"/>
        <w:rPr>
          <w:sz w:val="20"/>
          <w:szCs w:val="20"/>
          <w:color w:val="auto"/>
        </w:rPr>
      </w:pPr>
      <w:r>
        <w:rPr>
          <w:rFonts w:ascii="Times New Roman" w:cs="Times New Roman" w:eastAsia="Times New Roman" w:hAnsi="Times New Roman"/>
          <w:sz w:val="19"/>
          <w:szCs w:val="19"/>
          <w:color w:val="auto"/>
        </w:rPr>
        <w:t>As of the open of trading on June 10, 2021, the Common Stock began trading on the Nasdaq Global Select Market under the symbol “NAUT.” On October 29, 2025, the Company transferred the listing of its Common Stock to the Nasdaq Capital Market (“Nasdaq”).</w:t>
      </w:r>
    </w:p>
    <w:p>
      <w:pPr>
        <w:spacing w:after="0" w:line="125"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and where appropriate, our wholly-owned subsidiaries (including Legacy Nautilus).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9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We believe the proteome represents one of the largest and least characterized areas of opportunity in modern biology and medicine. Proteins are the primary drivers of cellular function and disease biology and account for approximately 95% of historically approved FDA drug targets. Despite decades of investment in life sciences research, researchers continue to lack the ability to routinely and comprehensively measure the full complement of proteins present in cells, tissues, and biological systems with sufficient breadth, depth, and reproducibility. We believe these limitations have constrained progress in areas such as drug discovery, biomarker development, and precision medicine.</w:t>
      </w:r>
    </w:p>
    <w:p>
      <w:pPr>
        <w:spacing w:after="0" w:line="13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The global proteomics research market is projected to grow to approximately $57 billion by 2030, representing a compound annual growth rate (or CAGR) of approximately 13% according to BCC Research report “Proteomics: Technologies and Global Markets”, issued in May 2025. This market is currently served primarily by mass spectrometry-based and affinity-based technologies. While these approaches have enabled important scientific advances, they remain limited in their ability to deliver comprehensive, reproducible, and scalable characterization of the proteome.</w:t>
      </w:r>
    </w:p>
    <w:p>
      <w:pPr>
        <w:spacing w:after="0" w:line="133"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To more fully unlock the value of the proteome, we anticipate that researchers will require measurement capabilities that deliver breadth, depth, and reproducibility. Together, these three attributes form the foundation for understanding biological systems, interpreting disease mechanisms, and translating proteomic data into meaningful scientific and clinical insight.</w:t>
      </w:r>
    </w:p>
    <w:p>
      <w:pPr>
        <w:spacing w:after="0" w:line="121"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“Breadth” </w:t>
      </w:r>
      <w:r>
        <w:rPr>
          <w:rFonts w:ascii="Times New Roman" w:cs="Times New Roman" w:eastAsia="Times New Roman" w:hAnsi="Times New Roman"/>
          <w:sz w:val="19"/>
          <w:szCs w:val="19"/>
          <w:color w:val="auto"/>
        </w:rPr>
        <w:t>refers to the ability to identify and quantify a large proportion of the proteins expressed in a biological sample, across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diverse sample types and large cohorts. At Nautilus, we refer to this capability as broadscale proteome analysis, or “broadscale”, in which common representative proteins, referred to as “canonical proteins”, are identified and quantified without prior selection or targeting. In the context of the human proteome, which comprises approximately 20,000 canonical proteins encoded by the genome, broadscale analysis aims to enable efficient and confident measurement of unknown proteins present in a given sample. We believe this breadth is essential for discovery-driven research, as it may allow researchers to observe global changes in protein expression, uncover previously unrecognized biological signals, and avoid bias introduced by predefined target panels.</w:t>
      </w:r>
    </w:p>
    <w:p>
      <w:pPr>
        <w:spacing w:after="0" w:line="136" w:lineRule="exact"/>
        <w:rPr>
          <w:sz w:val="20"/>
          <w:szCs w:val="20"/>
          <w:color w:val="auto"/>
        </w:rPr>
      </w:pPr>
    </w:p>
    <w:p>
      <w:pPr>
        <w:ind w:right="100" w:firstLine="349"/>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“Depth” </w:t>
      </w:r>
      <w:r>
        <w:rPr>
          <w:rFonts w:ascii="Times New Roman" w:cs="Times New Roman" w:eastAsia="Times New Roman" w:hAnsi="Times New Roman"/>
          <w:sz w:val="19"/>
          <w:szCs w:val="19"/>
          <w:color w:val="auto"/>
        </w:rPr>
        <w:t>refers to the ability to resolve protein measurements down to functional protein variants, known as proteoforms.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Proteoforms arise from the combination of genomic variation, alternative processing events, and post-translational modifications. The resulting change often determines the functional state of a protein in a biological system. While the human genome encodes approximately 20,000 canonical proteins, it is estimated that these give rise to millions of distinct proteoforms, reflecting the true functional complexity of the proteome. At Nautilus, we refer to the identification and quantification of these functional variants as</w:t>
      </w:r>
    </w:p>
    <w:p>
      <w:pPr>
        <w:sectPr>
          <w:pgSz w:w="11880" w:h="15480" w:orient="portrait"/>
          <w:cols w:equalWidth="0" w:num="1">
            <w:col w:w="10480"/>
          </w:cols>
          <w:pgMar w:left="700" w:top="671" w:right="70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480"/>
          </w:cols>
          <w:pgMar w:left="700" w:top="671" w:right="700" w:bottom="0" w:gutter="0" w:footer="0" w:header="0"/>
          <w:type w:val="continuous"/>
        </w:sectPr>
      </w:pPr>
    </w:p>
    <w:bookmarkStart w:id="8" w:name="page9"/>
    <w:bookmarkEnd w:id="8"/>
    <w:p>
      <w:pPr>
        <w:ind w:right="140"/>
        <w:spacing w:after="0" w:line="274" w:lineRule="auto"/>
        <w:rPr>
          <w:sz w:val="20"/>
          <w:szCs w:val="20"/>
          <w:color w:val="auto"/>
        </w:rPr>
      </w:pPr>
      <w:r>
        <w:rPr>
          <w:rFonts w:ascii="Times New Roman" w:cs="Times New Roman" w:eastAsia="Times New Roman" w:hAnsi="Times New Roman"/>
          <w:sz w:val="19"/>
          <w:szCs w:val="19"/>
          <w:color w:val="auto"/>
        </w:rPr>
        <w:t>“targeted proteoform analysis”. In contrast to broadscale proteome analysis, targeted proteoform analysis focuses on a defined subset of proteins and resolves the specific proteoforms present within a sample, which may enable deeper investigation of biological mechanisms, disease states, and therapeutic response.</w:t>
      </w:r>
    </w:p>
    <w:p>
      <w:pPr>
        <w:spacing w:after="0" w:line="121"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“Reproducibility” </w:t>
      </w:r>
      <w:r>
        <w:rPr>
          <w:rFonts w:ascii="Times New Roman" w:cs="Times New Roman" w:eastAsia="Times New Roman" w:hAnsi="Times New Roman"/>
          <w:sz w:val="19"/>
          <w:szCs w:val="19"/>
          <w:color w:val="auto"/>
        </w:rPr>
        <w:t>refers to the ability to generate consistent and comparable measurements across runs, instruments, time,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laboratories. We believe high reproducibility is essential for both broadscale and targeted proteoform analyses, particularly in large-scale studies, longitudinal experiments, and translational research settings. Without reproducible measurements, researchers may be required to perform additional experiments to confirm results, increasing cost and complexity while reducing confidence in biological conclusions. Furthermore, reproducible datasets enable reliable comparison across samples and cohorts, support integration with other data modalities such as genomics and transcriptomics, and provide the consistency required to train and apply artificial intelligence (“AI”) models to biological data. We believe that large, high-quality, and reproducible proteomic datasets are critical for building accurate biological models and generating clinically meaningful insights.</w:t>
      </w:r>
    </w:p>
    <w:p>
      <w:pPr>
        <w:spacing w:after="0" w:line="142"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By combining comprehensive proteome breadth with proteoform-level depth, and by delivering both with high reproducibility, researchers can begin to fully understand how proteins function within complex biological systems. We believe that measurement approaches capable of uniting these attributes may provide a necessary foundation for advancing basic research, translational science, and the application of proteomics to drug discovery, precision medicine, and diagnostics. Additionally, combining breadth and depth may unlock discovery of novel biology not previously accessible.</w:t>
      </w:r>
    </w:p>
    <w:p>
      <w:pPr>
        <w:spacing w:after="0" w:line="133"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Existing commercially available proteomics technologies require researchers to make trade-offs between breadth, depth, throughput, and reproducibility. Mass spectrometry approaches offer flexibility across applications but typically require a trade-off between breadth, depth, and throughput, limiting their ability to comprehensively analyze large numbers of samples. Current affinity-based approaches, while capable of higher throughput, are inherently constrained by the availability and performance of affinity reagents, which can affect reproducibility and scalability, and cannot currently achieve the level of depth required to measure proteins at their functional level due to the bulk nature of these approaches. As a result, researchers are often unable to generate proteomic data that delivers breadth and depth and reproducibility across experiments.</w:t>
      </w:r>
    </w:p>
    <w:p>
      <w:pPr>
        <w:spacing w:after="0" w:line="13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Nautilus is a development stage life sciences company focused on creating a platform technology to quantify and unlock the complexity of the proteome. We were founded to address longstanding challenges in proteomics through the development of a new measurement method, “Iterative Mapping”, for the analysis of single, intact protein molecules at scale. Our mission is to transform the field of proteomics by broadening access to high-quality proteomic data and to help support fundamental advancements across human health and medicine. We believe that incremental improvements to existing technologies are insufficient to overcome the limitations of current approaches, and that a fundamentally new measurement paradigm is required. Iterative Mapping is designed to enable broad and deep characterization of the proteome while delivering high reproducibility through direct single molecule counting. By repeatedly interrogating individual protein molecules and aggregating results across billions of measurements, Iterative Mapping generates digital protein counts that are intended to support consistent comparison across samples, experiments, and time.</w:t>
      </w:r>
    </w:p>
    <w:p>
      <w:pPr>
        <w:spacing w:after="0" w:line="141" w:lineRule="exact"/>
        <w:rPr>
          <w:sz w:val="20"/>
          <w:szCs w:val="20"/>
          <w:color w:val="auto"/>
        </w:rPr>
      </w:pPr>
    </w:p>
    <w:p>
      <w:pPr>
        <w:ind w:right="160" w:firstLine="349"/>
        <w:spacing w:after="0" w:line="251" w:lineRule="auto"/>
        <w:rPr>
          <w:sz w:val="20"/>
          <w:szCs w:val="20"/>
          <w:color w:val="auto"/>
        </w:rPr>
      </w:pPr>
      <w:r>
        <w:rPr>
          <w:rFonts w:ascii="Times New Roman" w:cs="Times New Roman" w:eastAsia="Times New Roman" w:hAnsi="Times New Roman"/>
          <w:sz w:val="19"/>
          <w:szCs w:val="19"/>
          <w:color w:val="auto"/>
        </w:rPr>
        <w:t>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 We believe this integrated design enables accurate, reproducible, and scalable measurement of protein abundance and proteoform diversity on the same platform, thereby supporting both broadscale proteome and targeted proteoform analyses, and addressing key limitations of existing proteomics technologies. Furthermore, the Nautilus Voyager platform is designed to generate nuanced, single</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molecule counts of protein and proteoform abundance that directly reflect biology. We believe the data generated by the Nautilus Voyager platform will have the breadth, depth, and reproducibility needed to cleanly integrate with other biological methods (including genomics, transcriptomics, and metabolomics), effectively train AI models, and help prevent those models from generating misleading conclusions about health and disease.</w:t>
      </w:r>
    </w:p>
    <w:p>
      <w:pPr>
        <w:spacing w:after="0" w:line="146"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To bring the Nautilus Voyager platform to market, we are executing a phased commercialization strategy intended to balance scientific validation with disciplined expansion of commercial access. Following an initial phase focused on building a foundation of collaborators and validating core platform capabilities, we launched our “Iterative Mapping Early Access Program” in January 2026. This program provides select customers with standardized applications delivered through our “Nautilus Proteomics Analysis Services”, allowing us to broaden engagement, generate reference datasets, refine workflows, and build commercial momentum while maintaining a high level of scientific and operational control. We believe this approach positions us to transition over time toward broader platform commercialization.</w:t>
      </w:r>
    </w:p>
    <w:p>
      <w:pPr>
        <w:spacing w:after="0" w:line="13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Our ability to execute this strategy is supported by a highly interdisciplinary organization that combines scientific expertise with experience scaling complex technology platforms. Our team includes personnel with background in chemistry, molecular biology, nanofabrication, engineering, machine learning, software, and life sciences commercialization, and over one-third of our employees hold Ph.D. degrees. Our leadership team has experience building and commercializing platform technologies in both life sciences and data-driven industries, and our Scientific Advisory Board includes experts who provide scientific and strategic guidance. We believe</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460"/>
          </w:cols>
          <w:pgMar w:left="700" w:top="691" w:right="720" w:bottom="0" w:gutter="0" w:footer="0" w:header="0"/>
          <w:type w:val="continuous"/>
        </w:sectPr>
      </w:pPr>
    </w:p>
    <w:bookmarkStart w:id="9" w:name="page10"/>
    <w:bookmarkEnd w:id="9"/>
    <w:p>
      <w:pPr>
        <w:ind w:right="260"/>
        <w:spacing w:after="0" w:line="268" w:lineRule="auto"/>
        <w:rPr>
          <w:sz w:val="20"/>
          <w:szCs w:val="20"/>
          <w:color w:val="auto"/>
        </w:rPr>
      </w:pPr>
      <w:r>
        <w:rPr>
          <w:rFonts w:ascii="Times New Roman" w:cs="Times New Roman" w:eastAsia="Times New Roman" w:hAnsi="Times New Roman"/>
          <w:sz w:val="19"/>
          <w:szCs w:val="19"/>
          <w:color w:val="auto"/>
        </w:rPr>
        <w:t>this combination of technical depth, commercial experience, and customer-facing scientific capability is important to the successful scaling of Nautilus. By combining measurement capabilities designed to deliver breadth, depth, and reproducibility with a phased commercialization strategy and an experienced team, we believe Nautilus is positioned to support long-term value creation across research, drug discovery, and healthcare.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STRENGTHS</w:t>
      </w:r>
    </w:p>
    <w:p>
      <w:pPr>
        <w:spacing w:after="0" w:line="192" w:lineRule="exact"/>
        <w:rPr>
          <w:sz w:val="20"/>
          <w:szCs w:val="20"/>
          <w:color w:val="auto"/>
        </w:rPr>
      </w:pPr>
    </w:p>
    <w:p>
      <w:pPr>
        <w:ind w:left="700" w:right="120" w:hanging="352"/>
        <w:spacing w:after="0" w:line="25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Differentiated proteomics technology platform. </w:t>
      </w:r>
      <w:r>
        <w:rPr>
          <w:rFonts w:ascii="Times New Roman" w:cs="Times New Roman" w:eastAsia="Times New Roman" w:hAnsi="Times New Roman"/>
          <w:sz w:val="19"/>
          <w:szCs w:val="19"/>
          <w:color w:val="auto"/>
        </w:rPr>
        <w:t>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platform is an integrated, single-molecule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proteomic analysis platform designed to implement our Iterative Mapping methodology. The Nautilus Voyager platform is designed to support both broadscale proteome analysis and targeted proteoform analysis, and integrates instrumentation, consumables (including flow cells and affinity reagents), and software into a single, end-to-end platform. The Nautilus Voyager platform is also designed to be open and customizable, with the ability to support a range of affinity reagents, including proprietary and commercially available reagents, subject to platform compatibility and performance requirements. We believe this integrated design helps enable researchers to generate proteomic data with a high degree of breadth, proteoform-level depth, and reproducibility in a laboratory setting.</w:t>
      </w:r>
    </w:p>
    <w:p>
      <w:pPr>
        <w:spacing w:after="0" w:line="149" w:lineRule="exact"/>
        <w:rPr>
          <w:rFonts w:ascii="Times New Roman" w:cs="Times New Roman" w:eastAsia="Times New Roman" w:hAnsi="Times New Roman"/>
          <w:sz w:val="19"/>
          <w:szCs w:val="19"/>
          <w:color w:val="auto"/>
        </w:rPr>
      </w:pPr>
    </w:p>
    <w:p>
      <w:pPr>
        <w:ind w:left="700"/>
        <w:spacing w:after="0" w:line="26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Leveraging Iterative Mapping and advanced machine-learning–based analysis, we believe the Nautilus Voyager platform has the potential to identify and quantify a substantial majority of proteins present in a sample across a wide range of organisms. In addition, by directly measuring single, intact protein molecules, we believe the Nautilus Voyager platform is designed to enable detection and quantification of functional protein variants, or proteoforms, including those defined by specific patterns of post-translational modification. These proteoform-level features are widely believed to be critical drivers of biological function and disease and have historically been difficult to resolve using existing proteomics technologies.</w:t>
      </w:r>
    </w:p>
    <w:p>
      <w:pPr>
        <w:spacing w:after="0" w:line="131" w:lineRule="exact"/>
        <w:rPr>
          <w:rFonts w:ascii="Times New Roman" w:cs="Times New Roman" w:eastAsia="Times New Roman" w:hAnsi="Times New Roman"/>
          <w:sz w:val="19"/>
          <w:szCs w:val="19"/>
          <w:color w:val="auto"/>
        </w:rPr>
      </w:pPr>
    </w:p>
    <w:p>
      <w:pPr>
        <w:ind w:left="700" w:right="80" w:hanging="352"/>
        <w:spacing w:after="0" w:line="261"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Novel end-to-end proteomics detection platform of extreme sensitivity. </w:t>
      </w:r>
      <w:r>
        <w:rPr>
          <w:rFonts w:ascii="Times New Roman" w:cs="Times New Roman" w:eastAsia="Times New Roman" w:hAnsi="Times New Roman"/>
          <w:sz w:val="19"/>
          <w:szCs w:val="19"/>
          <w:color w:val="auto"/>
        </w:rPr>
        <w:t>We aim to be the first commercially available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proteomics detection platform technology and integrated solution to decode and quantify approximately 95% of the entire proteome including the variations and modifications of proteins that combine to create proteoforms. The Nautilus Voyager platform consists of instruments, consumables, and software that we believe has the potential to deliver to the market, broad proteome profiling adaptable to many applications with industry-leading reproducibility across instruments, users, and labs. We believe the Nautilus Voyager platform has the potential to unlock the vast, dynamic, and valuable biological information contained in the proteome. With each Nautilus Voyager instrument sale, we anticipate the potential for accompanying recurring revenue comprised of consumable sales, instrumentation service, support, and software that creates the basis for a comprehensive proteomics solution.</w:t>
      </w:r>
    </w:p>
    <w:p>
      <w:pPr>
        <w:spacing w:after="0" w:line="132" w:lineRule="exact"/>
        <w:rPr>
          <w:rFonts w:ascii="Times New Roman" w:cs="Times New Roman" w:eastAsia="Times New Roman" w:hAnsi="Times New Roman"/>
          <w:sz w:val="19"/>
          <w:szCs w:val="19"/>
          <w:color w:val="auto"/>
        </w:rPr>
      </w:pPr>
    </w:p>
    <w:p>
      <w:pPr>
        <w:ind w:left="700" w:right="20" w:hanging="352"/>
        <w:spacing w:after="0" w:line="26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Immense data production capacity coupled with machine learning may deliver results that are more easily integrated into multi-omics for rapid insight generation. </w:t>
      </w:r>
      <w:r>
        <w:rPr>
          <w:rFonts w:ascii="Times New Roman" w:cs="Times New Roman" w:eastAsia="Times New Roman" w:hAnsi="Times New Roman"/>
          <w:sz w:val="19"/>
          <w:szCs w:val="19"/>
          <w:color w:val="auto"/>
        </w:rPr>
        <w:t>We have designed the Nautilus Voyager platform to create and process a vast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amount of proteomic data that we plan to decode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conducted on the Nautilus Voyager platform. We believe that this feedback loop has the potential to deliver future value to our customers through continuous improvements in our analytics, thereby encouraging the analysis, and re-analysis, of more samples through the Nautilus Voyager platform. Coming in the form of single-molecule digital counts, our proteomic data is designed to be a direct and accurate representation of biology that is more comparable to data generated by other methodologies such as genomics and transcriptomics than data generated by traditional proteomics platforms and potentially easier to integrate into our customer’s multi-omic workflows.</w:t>
      </w:r>
    </w:p>
    <w:p>
      <w:pPr>
        <w:spacing w:after="0" w:line="133" w:lineRule="exact"/>
        <w:rPr>
          <w:rFonts w:ascii="Times New Roman" w:cs="Times New Roman" w:eastAsia="Times New Roman" w:hAnsi="Times New Roman"/>
          <w:sz w:val="19"/>
          <w:szCs w:val="19"/>
          <w:color w:val="auto"/>
        </w:rPr>
      </w:pPr>
    </w:p>
    <w:p>
      <w:pPr>
        <w:ind w:left="700" w:right="180" w:hanging="352"/>
        <w:spacing w:after="0" w:line="264"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Single-molecule data that is well-suited for AI integration and training. </w:t>
      </w:r>
      <w:r>
        <w:rPr>
          <w:rFonts w:ascii="Times New Roman" w:cs="Times New Roman" w:eastAsia="Times New Roman" w:hAnsi="Times New Roman"/>
          <w:sz w:val="19"/>
          <w:szCs w:val="19"/>
          <w:color w:val="auto"/>
        </w:rPr>
        <w:t>We anticipate that the Nautilus Voyager platform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will generate the large volumes of high</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quality data needed to train AI models of biology—much as large language models depend on massive internet datasets. The Nautilus Voyager platform is designed to produce single-molecule counts that are nuanced and direct representations of biology. We believe that proteomic data with the breadth, depth, and reproducibility these counts are designed to provide will optimally train AI models and help prevent them from generating misleading conclusions about health and disease.</w:t>
      </w:r>
    </w:p>
    <w:p>
      <w:pPr>
        <w:spacing w:after="0" w:line="129" w:lineRule="exact"/>
        <w:rPr>
          <w:rFonts w:ascii="Times New Roman" w:cs="Times New Roman" w:eastAsia="Times New Roman" w:hAnsi="Times New Roman"/>
          <w:sz w:val="19"/>
          <w:szCs w:val="19"/>
          <w:color w:val="auto"/>
        </w:rPr>
      </w:pPr>
    </w:p>
    <w:p>
      <w:pPr>
        <w:ind w:left="700" w:hanging="352"/>
        <w:spacing w:after="0" w:line="261"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Commercial model with clear market entry point, designed to support a wide variety of customers and applications. </w:t>
      </w:r>
      <w:r>
        <w:rPr>
          <w:rFonts w:ascii="Times New Roman" w:cs="Times New Roman" w:eastAsia="Times New Roman" w:hAnsi="Times New Roman"/>
          <w:sz w:val="19"/>
          <w:szCs w:val="19"/>
          <w:color w:val="auto"/>
        </w:rPr>
        <w:t>Many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successful life sciences research tools companies with disruptive technology have employed a business model similar to our planned commercial model. However, we believe a key advantage for us is the potential near-term commercial opportunity of capitalizing on the existing mass spectrometry-based proteomics marketplace estimated at over 16,000 installed instruments. We expect our price point to be comparable to high-end mass spectrometry instrument budgets allocated for broadscale proteomics applications, and thus with a premium instrumentation average selling price, we plan to operate with a very efficient sales model. Further, since the early days of our product development, we have consulted with biopharma companies, academic institutions, and research organizations to inform our product development plan and help specifically address our target customer needs.</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460"/>
          </w:cols>
          <w:pgMar w:left="700" w:top="691" w:right="720" w:bottom="0" w:gutter="0" w:footer="0" w:header="0"/>
          <w:type w:val="continuous"/>
        </w:sectPr>
      </w:pPr>
    </w:p>
    <w:bookmarkStart w:id="10" w:name="page11"/>
    <w:bookmarkEnd w:id="10"/>
    <w:p>
      <w:pPr>
        <w:ind w:left="700" w:hanging="352"/>
        <w:spacing w:after="0" w:line="242"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and Iterative Mapping could position us as a leader in a large initial life sciences research market and provide a path to clinical diagnostics. </w:t>
      </w:r>
      <w:r>
        <w:rPr>
          <w:rFonts w:ascii="Times New Roman" w:cs="Times New Roman" w:eastAsia="Times New Roman" w:hAnsi="Times New Roman"/>
          <w:sz w:val="19"/>
          <w:szCs w:val="19"/>
          <w:color w:val="auto"/>
        </w:rPr>
        <w:t>The global proteomics market is expected to grow at an estimated 13%</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CAGR from 2025 to 2030 according to BCC Research report “Proteomics: Technologies and Global Markets”, issued in May 2025. Furthermore, we believe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has the potential to facilitate a broader transformation across life sciences and healthcare, and therefore augment our total addressable market over time. We believe there are multiple high-value research applications in precision and personalized medicine, drug discovery, and clinical diagnostics that can be unlocked by accurate, reproduceable, and cost-effective proteomic profiling. As the proteomics market continues to mature, and if our technology is validated across translational research applications, we believe Iterative Mapping could transfer well into the clinical setting that many prior technologies have thus far been unable reach.</w:t>
      </w:r>
    </w:p>
    <w:p>
      <w:pPr>
        <w:spacing w:after="0" w:line="149" w:lineRule="exact"/>
        <w:rPr>
          <w:rFonts w:ascii="Times New Roman" w:cs="Times New Roman" w:eastAsia="Times New Roman" w:hAnsi="Times New Roman"/>
          <w:sz w:val="19"/>
          <w:szCs w:val="19"/>
          <w:color w:val="auto"/>
        </w:rPr>
      </w:pPr>
    </w:p>
    <w:p>
      <w:pPr>
        <w:ind w:left="700" w:right="40" w:hanging="352"/>
        <w:spacing w:after="0" w:line="26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experienced, multidisciplinary team brings together a group of individuals with diverse backgrounds to disrupt the field of proteomics. Nautilus’ leadership team represents a unique and valuable hybrid of technology and biotech experience. </w:t>
      </w:r>
      <w:r>
        <w:rPr>
          <w:rFonts w:ascii="Times New Roman" w:cs="Times New Roman" w:eastAsia="Times New Roman" w:hAnsi="Times New Roman"/>
          <w:sz w:val="19"/>
          <w:szCs w:val="19"/>
          <w:color w:val="auto"/>
        </w:rPr>
        <w:t>Members of the executive team and board of directors have held leadership roles at Illumina, Agilent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Technologies, Yahoo! Inc., and Isilon, among others, and helped to guide strategy and manage execution both before and throughout the rapid growth and success for those businesses. We view the core design thesis behind Iterative Mapping technology development as a non-traditional approach to new product development within life sciences that requires thinking at the intersection of three distinct disciplines —life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192" w:lineRule="exact"/>
        <w:rPr>
          <w:sz w:val="20"/>
          <w:szCs w:val="20"/>
          <w:color w:val="auto"/>
        </w:rPr>
      </w:pPr>
    </w:p>
    <w:p>
      <w:pPr>
        <w:ind w:left="700" w:right="20" w:hanging="352"/>
        <w:spacing w:after="0" w:line="261"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Establish Iterative Mapping as a differentiated measurement approach for proteomics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strategy is centered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establishing Iterative Mapping as a differentiated measurement approach in proteomics. Iterative Mapping is the foundational method delivered by the Nautilus Voyager platform and is designed to address the breadth, proteoform-level depth, and reproducibility that we believe is required for comprehensive proteomic analysis. We believe that existing proteomics technologies require researchers to make fundamental tradeoffs among coverage, detail, throughput, and reproducibility. Iterative Mapping is designed to reduce these tradeoffs by enabling massively parallel, single-protein measurements that can be applied across a wide range of biological questions using a single, integrated platform. We believe this approach has the potential to expand access to comprehensive proteomic measurement and support applications across the life sciences ecosystem, including basic research, translational research, and, over time, clinical and diagnostic applications.</w:t>
      </w:r>
    </w:p>
    <w:p>
      <w:pPr>
        <w:spacing w:after="0" w:line="132" w:lineRule="exact"/>
        <w:rPr>
          <w:rFonts w:ascii="Times New Roman" w:cs="Times New Roman" w:eastAsia="Times New Roman" w:hAnsi="Times New Roman"/>
          <w:sz w:val="19"/>
          <w:szCs w:val="19"/>
          <w:color w:val="auto"/>
        </w:rPr>
      </w:pPr>
    </w:p>
    <w:p>
      <w:pPr>
        <w:ind w:left="700" w:right="140" w:hanging="352"/>
        <w:spacing w:after="0" w:line="298"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Enable multiple applications on a single platform. </w:t>
      </w:r>
      <w:r>
        <w:rPr>
          <w:rFonts w:ascii="Times New Roman" w:cs="Times New Roman" w:eastAsia="Times New Roman" w:hAnsi="Times New Roman"/>
          <w:sz w:val="19"/>
          <w:szCs w:val="19"/>
          <w:color w:val="auto"/>
        </w:rPr>
        <w:t>Iterative Mapping is designed to support multiple application categories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on a single platform, including:</w:t>
      </w:r>
    </w:p>
    <w:p>
      <w:pPr>
        <w:spacing w:after="0" w:line="98" w:lineRule="exact"/>
        <w:rPr>
          <w:rFonts w:ascii="Times New Roman" w:cs="Times New Roman" w:eastAsia="Times New Roman" w:hAnsi="Times New Roman"/>
          <w:sz w:val="19"/>
          <w:szCs w:val="19"/>
          <w:color w:val="auto"/>
        </w:rPr>
      </w:pPr>
    </w:p>
    <w:p>
      <w:pPr>
        <w:ind w:left="1400" w:right="160" w:hanging="353"/>
        <w:spacing w:after="0" w:line="298" w:lineRule="auto"/>
        <w:tabs>
          <w:tab w:leader="none" w:pos="1400"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Broadscale proteomics</w:t>
      </w:r>
      <w:r>
        <w:rPr>
          <w:rFonts w:ascii="Times New Roman" w:cs="Times New Roman" w:eastAsia="Times New Roman" w:hAnsi="Times New Roman"/>
          <w:sz w:val="19"/>
          <w:szCs w:val="19"/>
          <w:color w:val="auto"/>
        </w:rPr>
        <w:t>, intended to enable large-scale interrogation of canonical proteins across biological states;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w:t>
      </w:r>
    </w:p>
    <w:p>
      <w:pPr>
        <w:spacing w:after="0" w:line="98" w:lineRule="exact"/>
        <w:rPr>
          <w:rFonts w:ascii="Times New Roman" w:cs="Times New Roman" w:eastAsia="Times New Roman" w:hAnsi="Times New Roman"/>
          <w:sz w:val="19"/>
          <w:szCs w:val="19"/>
          <w:color w:val="auto"/>
        </w:rPr>
      </w:pPr>
    </w:p>
    <w:p>
      <w:pPr>
        <w:ind w:left="1400" w:right="160" w:hanging="353"/>
        <w:spacing w:after="0" w:line="298" w:lineRule="auto"/>
        <w:tabs>
          <w:tab w:leader="none" w:pos="1400"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Targeted proteoform analysis</w:t>
      </w:r>
      <w:r>
        <w:rPr>
          <w:rFonts w:ascii="Times New Roman" w:cs="Times New Roman" w:eastAsia="Times New Roman" w:hAnsi="Times New Roman"/>
          <w:sz w:val="19"/>
          <w:szCs w:val="19"/>
          <w:color w:val="auto"/>
        </w:rPr>
        <w:t>, intended to resolve specific protein forms, modifications, and variants that are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accessible using existing proteomics methods.</w:t>
      </w:r>
    </w:p>
    <w:p>
      <w:pPr>
        <w:spacing w:after="0" w:line="102" w:lineRule="exact"/>
        <w:rPr>
          <w:sz w:val="20"/>
          <w:szCs w:val="20"/>
          <w:color w:val="auto"/>
        </w:rPr>
      </w:pPr>
    </w:p>
    <w:p>
      <w:pPr>
        <w:ind w:left="700" w:right="40"/>
        <w:spacing w:after="0" w:line="268" w:lineRule="auto"/>
        <w:rPr>
          <w:sz w:val="20"/>
          <w:szCs w:val="20"/>
          <w:color w:val="auto"/>
        </w:rPr>
      </w:pPr>
      <w:r>
        <w:rPr>
          <w:rFonts w:ascii="Times New Roman" w:cs="Times New Roman" w:eastAsia="Times New Roman" w:hAnsi="Times New Roman"/>
          <w:sz w:val="19"/>
          <w:szCs w:val="19"/>
          <w:color w:val="auto"/>
        </w:rPr>
        <w:t>These application categories are built on the same underlying Iterative Mapping capability. The Nautilus Voyager platform is designed to be flexible, including compatibility with a wide range of affinity reagents giving customers potential access to diverse applications for their specific research needs on the same measurement platform, rather than relying on multiple, fragmented technologies.</w:t>
      </w:r>
    </w:p>
    <w:p>
      <w:pPr>
        <w:spacing w:after="0" w:line="127" w:lineRule="exact"/>
        <w:rPr>
          <w:sz w:val="20"/>
          <w:szCs w:val="20"/>
          <w:color w:val="auto"/>
        </w:rPr>
      </w:pPr>
    </w:p>
    <w:p>
      <w:pPr>
        <w:ind w:left="700" w:right="100" w:hanging="352"/>
        <w:spacing w:after="0" w:line="266"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Execute a land-and-expand commercialization strategy. </w:t>
      </w:r>
      <w:r>
        <w:rPr>
          <w:rFonts w:ascii="Times New Roman" w:cs="Times New Roman" w:eastAsia="Times New Roman" w:hAnsi="Times New Roman"/>
          <w:sz w:val="19"/>
          <w:szCs w:val="19"/>
          <w:color w:val="auto"/>
        </w:rPr>
        <w:t>Our commercialization strategy follows a land-and-expand model,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multiple potential entry points beginning with targeted applications such as our “Tau Proteoforms” assay. Following commercial launch, we anticipate customers will be able to adopt either broadscale or targeted proteoform as their first application, depending on their research priorities. We believe access to both application types on a single platform allows customers to expand usage over time without adopting additional instrumentation or proteomics technologies.</w:t>
      </w:r>
    </w:p>
    <w:p>
      <w:pPr>
        <w:spacing w:after="0" w:line="190" w:lineRule="exact"/>
        <w:rPr>
          <w:rFonts w:ascii="Times New Roman" w:cs="Times New Roman" w:eastAsia="Times New Roman" w:hAnsi="Times New Roman"/>
          <w:sz w:val="19"/>
          <w:szCs w:val="19"/>
          <w:color w:val="auto"/>
        </w:rPr>
      </w:pPr>
    </w:p>
    <w:p>
      <w:pPr>
        <w:ind w:left="700" w:right="160"/>
        <w:spacing w:after="0" w:line="27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land-and-expand approach also applies to how our capabilities are delivered. We plan to initially offer access through a fee-for-service model provided by Nautilus, followed by the opportunity for customers to purchase our platform, including instruments, reagent kits, software, and related services.</w:t>
      </w:r>
    </w:p>
    <w:p>
      <w:pPr>
        <w:spacing w:after="0" w:line="125" w:lineRule="exact"/>
        <w:rPr>
          <w:rFonts w:ascii="Times New Roman" w:cs="Times New Roman" w:eastAsia="Times New Roman" w:hAnsi="Times New Roman"/>
          <w:sz w:val="19"/>
          <w:szCs w:val="19"/>
          <w:color w:val="auto"/>
        </w:rPr>
      </w:pPr>
    </w:p>
    <w:p>
      <w:pPr>
        <w:ind w:left="700" w:right="220"/>
        <w:spacing w:after="0" w:line="27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objective is to support customers in addressing a growing share of their proteomics needs across discovery, validation, and deeper biological characterization using a single, extensible platform. We believe this approach may support deeper customer engagement, broader adoption within organizations, and long-term platform value.</w:t>
      </w:r>
    </w:p>
    <w:p>
      <w:pPr>
        <w:sectPr>
          <w:pgSz w:w="11880" w:h="15480" w:orient="portrait"/>
          <w:cols w:equalWidth="0" w:num="1">
            <w:col w:w="10460"/>
          </w:cols>
          <w:pgMar w:left="700" w:top="68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460"/>
          </w:cols>
          <w:pgMar w:left="700" w:top="687" w:right="720" w:bottom="0" w:gutter="0" w:footer="0" w:header="0"/>
          <w:type w:val="continuous"/>
        </w:sectPr>
      </w:pPr>
    </w:p>
    <w:bookmarkStart w:id="11" w:name="page12"/>
    <w:bookmarkEnd w:id="11"/>
    <w:p>
      <w:pPr>
        <w:ind w:left="700" w:hanging="352"/>
        <w:spacing w:after="0" w:line="244"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Drive adoption through strategic collaborations and phased commercialization. </w:t>
      </w:r>
      <w:r>
        <w:rPr>
          <w:rFonts w:ascii="Times New Roman" w:cs="Times New Roman" w:eastAsia="Times New Roman" w:hAnsi="Times New Roman"/>
          <w:sz w:val="19"/>
          <w:szCs w:val="19"/>
          <w:color w:val="auto"/>
        </w:rPr>
        <w:t>We intend to drive adoption of the Nautilus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through a phased commercialization strategy that began with research collaborations with leading biopharma companies, academic institutions, and research organizations. These collaborations are intended to validate platform capabilities, support application development, and generate scientific data demonstrating real-world utility.</w:t>
      </w:r>
    </w:p>
    <w:p>
      <w:pPr>
        <w:spacing w:after="0" w:line="151" w:lineRule="exact"/>
        <w:rPr>
          <w:rFonts w:ascii="Times New Roman" w:cs="Times New Roman" w:eastAsia="Times New Roman" w:hAnsi="Times New Roman"/>
          <w:sz w:val="19"/>
          <w:szCs w:val="19"/>
          <w:color w:val="auto"/>
        </w:rPr>
      </w:pPr>
    </w:p>
    <w:p>
      <w:pPr>
        <w:ind w:left="700" w:right="4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of this filing, we have established research collaborations with Genentech, the Michael J. Fox Foundation and Weill Cornell Medicine–Qatar (WCM-Q), and The Buck Institute for Research on Aging, and an agreement with the Allen Institute, among others. Through these collaborations, partners gain early experience with the Nautilus Voyager platform and contribute to application development across diverse biological contexts. Our plan is to follow this collaboration phase with pre-sales activities and Early Access Programs designed to broaden awareness, validate standardized applications, and build demand in advance of broader commercial launch. In January, 2026, we announced the launch of our first Early Access Program for targeted proteoform analysis with our Tau Proteoforms Assay.</w:t>
      </w:r>
    </w:p>
    <w:p>
      <w:pPr>
        <w:spacing w:after="0" w:line="131" w:lineRule="exact"/>
        <w:rPr>
          <w:rFonts w:ascii="Times New Roman" w:cs="Times New Roman" w:eastAsia="Times New Roman" w:hAnsi="Times New Roman"/>
          <w:sz w:val="19"/>
          <w:szCs w:val="19"/>
          <w:color w:val="auto"/>
        </w:rPr>
      </w:pPr>
    </w:p>
    <w:p>
      <w:pPr>
        <w:ind w:left="700" w:right="160" w:hanging="352"/>
        <w:spacing w:after="0" w:line="264"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Continuously expand platform capabilities. </w:t>
      </w:r>
      <w:r>
        <w:rPr>
          <w:rFonts w:ascii="Times New Roman" w:cs="Times New Roman" w:eastAsia="Times New Roman" w:hAnsi="Times New Roman"/>
          <w:sz w:val="19"/>
          <w:szCs w:val="19"/>
          <w:color w:val="auto"/>
        </w:rPr>
        <w:t>We plan to expand the capabilities of the Nautilus Voyager platform 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internal research and development and collaboration with customers and partners. This includes the development of additional applications, workflows, consumables, and analysis tools intended to simplify and accelerate proteomic research. We believe our long-term opportunity lies in translating our core measurement technology into additional high-value applications, while maintaining platform flexibility, including the ability for customers to select reagents and workflows suited to their specific needs. If our customers succeed in advancing their science, we believe we succeed alongside them.</w:t>
      </w:r>
    </w:p>
    <w:p>
      <w:pPr>
        <w:spacing w:after="0" w:line="130" w:lineRule="exact"/>
        <w:rPr>
          <w:rFonts w:ascii="Times New Roman" w:cs="Times New Roman" w:eastAsia="Times New Roman" w:hAnsi="Times New Roman"/>
          <w:sz w:val="19"/>
          <w:szCs w:val="19"/>
          <w:color w:val="auto"/>
        </w:rPr>
      </w:pPr>
    </w:p>
    <w:p>
      <w:pPr>
        <w:ind w:left="700" w:right="40" w:hanging="352"/>
        <w:spacing w:after="0" w:line="265"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Build scalable manufacturing and supply chain capabilities. </w:t>
      </w:r>
      <w:r>
        <w:rPr>
          <w:rFonts w:ascii="Times New Roman" w:cs="Times New Roman" w:eastAsia="Times New Roman" w:hAnsi="Times New Roman"/>
          <w:sz w:val="19"/>
          <w:szCs w:val="19"/>
          <w:color w:val="auto"/>
        </w:rPr>
        <w:t>Our technology is designed with scalability in mind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incorporates commercially available components intended to support efficient sourcing and manufacturing. We have established manufacturing processes that combine external contract manufacturing with internal capabilities at our San Carlos, California facility. We believe we have multiple pathways to scale production to meet commercial demand, including to expand outsourced manufacturing and supplier diversification to support quality, reliability, and capacity as adoption grows.</w:t>
      </w:r>
    </w:p>
    <w:p>
      <w:pPr>
        <w:spacing w:after="0" w:line="366" w:lineRule="exact"/>
        <w:rPr>
          <w:rFonts w:ascii="Times New Roman" w:cs="Times New Roman" w:eastAsia="Times New Roman" w:hAnsi="Times New Roman"/>
          <w:sz w:val="19"/>
          <w:szCs w:val="19"/>
          <w:color w:val="auto"/>
        </w:rPr>
      </w:pPr>
    </w:p>
    <w:p>
      <w:pPr>
        <w:ind w:left="700" w:right="40" w:hanging="352"/>
        <w:spacing w:after="0" w:line="266"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Develop a long-term platform ecosystem</w:t>
      </w:r>
      <w:r>
        <w:rPr>
          <w:rFonts w:ascii="Times New Roman" w:cs="Times New Roman" w:eastAsia="Times New Roman" w:hAnsi="Times New Roman"/>
          <w:sz w:val="19"/>
          <w:szCs w:val="19"/>
          <w:color w:val="auto"/>
        </w:rPr>
        <w:t>. We plan to build long-term value by leveraging the open and extensible design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Nautilus Voyager platform to support an ecosystem of products and services built around Iterative Mapping. The platform’s compatibility with a broad range of affinity reagents and customizable workflows are designed to support both standardized applications and customer-driven innovation. We believe this approach positions the Nautilus Voyager platform to support a broad and evolving set of proteomics use cases over time.</w:t>
      </w:r>
    </w:p>
    <w:p>
      <w:pPr>
        <w:spacing w:after="0" w:line="128" w:lineRule="exact"/>
        <w:rPr>
          <w:rFonts w:ascii="Times New Roman" w:cs="Times New Roman" w:eastAsia="Times New Roman" w:hAnsi="Times New Roman"/>
          <w:sz w:val="19"/>
          <w:szCs w:val="19"/>
          <w:color w:val="auto"/>
        </w:rPr>
      </w:pPr>
    </w:p>
    <w:p>
      <w:pPr>
        <w:ind w:left="700" w:right="100" w:hanging="352"/>
        <w:spacing w:after="0" w:line="266"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Expand into adjacent and future markets</w:t>
      </w:r>
      <w:r>
        <w:rPr>
          <w:rFonts w:ascii="Times New Roman" w:cs="Times New Roman" w:eastAsia="Times New Roman" w:hAnsi="Times New Roman"/>
          <w:sz w:val="19"/>
          <w:szCs w:val="19"/>
          <w:color w:val="auto"/>
        </w:rPr>
        <w:t>. While our initial focus is on life sciences proteomics research, we believe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measurement capabilities of Nautilus Voyager platform may support expansion into adjacent pharmaceutical areas such as, but not limited to, drug discovery, translational research, clinical research, trial design and diagnostics. We intend to pursue these opportunities by development and validation of additional workflows and product configurations, either independently or in collaboration with partners in those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PRIMER ON PROTEOMICS</w:t>
      </w:r>
    </w:p>
    <w:p>
      <w:pPr>
        <w:spacing w:after="0" w:line="19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Over the past decade, the study of genomics, or DNA, and transcriptomics, or RNA, have been central to drug development and healthcare. We believe proteomics is the next step in the study of biological information systems and it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1" w:lineRule="exact"/>
        <w:rPr>
          <w:sz w:val="20"/>
          <w:szCs w:val="20"/>
          <w:color w:val="auto"/>
        </w:rPr>
      </w:pPr>
    </w:p>
    <w:p>
      <w:pPr>
        <w:ind w:right="260" w:firstLine="349"/>
        <w:spacing w:after="0" w:line="262" w:lineRule="auto"/>
        <w:rPr>
          <w:sz w:val="20"/>
          <w:szCs w:val="20"/>
          <w:color w:val="auto"/>
        </w:rPr>
      </w:pPr>
      <w:r>
        <w:rPr>
          <w:rFonts w:ascii="Times New Roman" w:cs="Times New Roman" w:eastAsia="Times New Roman" w:hAnsi="Times New Roman"/>
          <w:sz w:val="19"/>
          <w:szCs w:val="19"/>
          <w:color w:val="auto"/>
        </w:rPr>
        <w:t>Molecular profiling techniques, such as next generation sequencing (“NGS”), have led to widespread genomic characterization and unprecedented access to genomic information. While this information has certainly enhanced our knowledge of complex biological systems, there is still a tremendous amount of detail at the protein level that remains largely unknown. The field of proteomics seeks to address this gap, and is an area of scientific research that involves the identification, characterization, and quantification of proteins in whole cells, tissues, or biofluids. To date, there has been relatively little technological advancement in how to physically measure a protein, and this has been a major impediment towards creating the same level of access to proteomic detail as we have with genomic detail today.</w:t>
      </w:r>
    </w:p>
    <w:p>
      <w:pPr>
        <w:spacing w:after="0" w:line="13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we believe the detailed and complex information provided from proteomics has the</w:t>
      </w:r>
    </w:p>
    <w:p>
      <w:pPr>
        <w:sectPr>
          <w:pgSz w:w="11880" w:h="15480" w:orient="portrait"/>
          <w:cols w:equalWidth="0" w:num="1">
            <w:col w:w="10460"/>
          </w:cols>
          <w:pgMar w:left="700" w:top="68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880" w:h="15480" w:orient="portrait"/>
          <w:cols w:equalWidth="0" w:num="1">
            <w:col w:w="10460"/>
          </w:cols>
          <w:pgMar w:left="700" w:top="687" w:right="720" w:bottom="0" w:gutter="0" w:footer="0" w:header="0"/>
          <w:type w:val="continuous"/>
        </w:sectPr>
      </w:pPr>
    </w:p>
    <w:bookmarkStart w:id="12" w:name="page13"/>
    <w:bookmarkEnd w:id="12"/>
    <w:p>
      <w:pPr>
        <w:ind w:right="120"/>
        <w:spacing w:after="0" w:line="293" w:lineRule="auto"/>
        <w:rPr>
          <w:sz w:val="20"/>
          <w:szCs w:val="20"/>
          <w:color w:val="auto"/>
        </w:rPr>
      </w:pPr>
      <w:r>
        <w:rPr>
          <w:rFonts w:ascii="Times New Roman" w:cs="Times New Roman" w:eastAsia="Times New Roman" w:hAnsi="Times New Roman"/>
          <w:sz w:val="19"/>
          <w:szCs w:val="19"/>
          <w:color w:val="auto"/>
        </w:rPr>
        <w:t>potential to help in identifying novel and causal drug targets and to help enable more efficient and effective drug development. A few examples of the way we believe proteomics may lead to novel insights in research are highlighted below.</w:t>
      </w:r>
    </w:p>
    <w:p>
      <w:pPr>
        <w:spacing w:after="0" w:line="103" w:lineRule="exact"/>
        <w:rPr>
          <w:sz w:val="20"/>
          <w:szCs w:val="20"/>
          <w:color w:val="auto"/>
        </w:rPr>
      </w:pPr>
    </w:p>
    <w:p>
      <w:pPr>
        <w:ind w:left="700" w:right="640" w:hanging="352"/>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Better understanding of biology</w:t>
      </w:r>
      <w:r>
        <w:rPr>
          <w:rFonts w:ascii="Times New Roman" w:cs="Times New Roman" w:eastAsia="Times New Roman" w:hAnsi="Times New Roman"/>
          <w:sz w:val="19"/>
          <w:szCs w:val="19"/>
          <w:color w:val="auto"/>
        </w:rPr>
        <w:t>. Protein research contributes to a better understanding of how molecular information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controls and influences an individual’s physiology.</w:t>
      </w:r>
    </w:p>
    <w:p>
      <w:pPr>
        <w:spacing w:after="0" w:line="98" w:lineRule="exact"/>
        <w:rPr>
          <w:rFonts w:ascii="Times New Roman" w:cs="Times New Roman" w:eastAsia="Times New Roman" w:hAnsi="Times New Roman"/>
          <w:sz w:val="19"/>
          <w:szCs w:val="19"/>
          <w:color w:val="auto"/>
        </w:rPr>
      </w:pPr>
    </w:p>
    <w:p>
      <w:pPr>
        <w:jc w:val="both"/>
        <w:ind w:left="700" w:right="380" w:hanging="352"/>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Identification of novel drug targets. </w:t>
      </w:r>
      <w:r>
        <w:rPr>
          <w:rFonts w:ascii="Times New Roman" w:cs="Times New Roman" w:eastAsia="Times New Roman" w:hAnsi="Times New Roman"/>
          <w:sz w:val="19"/>
          <w:szCs w:val="19"/>
          <w:color w:val="auto"/>
        </w:rPr>
        <w:t>Cellular function and dysfunction is driven by our proteins; increasing our ability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directly measure even the rarest proteins involved in disease may increase the likelihood of identifying new drug targets.</w:t>
      </w:r>
    </w:p>
    <w:p>
      <w:pPr>
        <w:spacing w:after="0" w:line="98" w:lineRule="exact"/>
        <w:rPr>
          <w:rFonts w:ascii="Times New Roman" w:cs="Times New Roman" w:eastAsia="Times New Roman" w:hAnsi="Times New Roman"/>
          <w:sz w:val="19"/>
          <w:szCs w:val="19"/>
          <w:color w:val="auto"/>
        </w:rPr>
      </w:pPr>
    </w:p>
    <w:p>
      <w:pPr>
        <w:ind w:left="700" w:right="560" w:hanging="352"/>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Patient stratification</w:t>
      </w:r>
      <w:r>
        <w:rPr>
          <w:rFonts w:ascii="Times New Roman" w:cs="Times New Roman" w:eastAsia="Times New Roman" w:hAnsi="Times New Roman"/>
          <w:sz w:val="19"/>
          <w:szCs w:val="19"/>
          <w:color w:val="auto"/>
        </w:rPr>
        <w:t>. The separation of patients into groups with similar molecular features that may be more likely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respond to specific therapeutic treatments.</w:t>
      </w:r>
    </w:p>
    <w:p>
      <w:pPr>
        <w:spacing w:after="0" w:line="98" w:lineRule="exact"/>
        <w:rPr>
          <w:rFonts w:ascii="Times New Roman" w:cs="Times New Roman" w:eastAsia="Times New Roman" w:hAnsi="Times New Roman"/>
          <w:sz w:val="19"/>
          <w:szCs w:val="19"/>
          <w:color w:val="auto"/>
        </w:rPr>
      </w:pPr>
    </w:p>
    <w:p>
      <w:pPr>
        <w:ind w:left="700" w:right="580" w:hanging="352"/>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Prediction of disease and treatment outcome. </w:t>
      </w:r>
      <w:r>
        <w:rPr>
          <w:rFonts w:ascii="Times New Roman" w:cs="Times New Roman" w:eastAsia="Times New Roman" w:hAnsi="Times New Roman"/>
          <w:sz w:val="19"/>
          <w:szCs w:val="19"/>
          <w:color w:val="auto"/>
        </w:rPr>
        <w:t>The identification of biomarkers that can assist in the early diagnosis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diseases, inform prognosis or monitor the efficacy and safety of ongoing treatments.</w:t>
      </w:r>
    </w:p>
    <w:p>
      <w:pPr>
        <w:spacing w:after="0" w:line="98" w:lineRule="exact"/>
        <w:rPr>
          <w:rFonts w:ascii="Times New Roman" w:cs="Times New Roman" w:eastAsia="Times New Roman" w:hAnsi="Times New Roman"/>
          <w:sz w:val="19"/>
          <w:szCs w:val="19"/>
          <w:color w:val="auto"/>
        </w:rPr>
      </w:pPr>
    </w:p>
    <w:p>
      <w:pPr>
        <w:ind w:left="700" w:hanging="352"/>
        <w:spacing w:after="0" w:line="29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Wellness: from health to disease. </w:t>
      </w:r>
      <w:r>
        <w:rPr>
          <w:rFonts w:ascii="Times New Roman" w:cs="Times New Roman" w:eastAsia="Times New Roman" w:hAnsi="Times New Roman"/>
          <w:sz w:val="19"/>
          <w:szCs w:val="19"/>
          <w:color w:val="auto"/>
        </w:rPr>
        <w:t>Biomarkers can monitor and guide individuals to tailor lifestyle choices to maximize health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avoid the onset of diseases before they develop.</w:t>
      </w:r>
    </w:p>
    <w:p>
      <w:pPr>
        <w:spacing w:after="0" w:line="102" w:lineRule="exact"/>
        <w:rPr>
          <w:sz w:val="20"/>
          <w:szCs w:val="20"/>
          <w:color w:val="auto"/>
        </w:rPr>
      </w:pPr>
    </w:p>
    <w:p>
      <w:pPr>
        <w:ind w:right="40" w:firstLine="349"/>
        <w:spacing w:after="0" w:line="286" w:lineRule="auto"/>
        <w:rPr>
          <w:sz w:val="20"/>
          <w:szCs w:val="20"/>
          <w:color w:val="auto"/>
        </w:rPr>
      </w:pPr>
      <w:r>
        <w:rPr>
          <w:rFonts w:ascii="Times New Roman" w:cs="Times New Roman" w:eastAsia="Times New Roman" w:hAnsi="Times New Roman"/>
          <w:sz w:val="19"/>
          <w:szCs w:val="19"/>
          <w:color w:val="auto"/>
        </w:rPr>
        <w:t>Not only would advancements in the field of proteomics have the potential to unlock new insights on their own, but they may also have the potential to increase the value of data and insights generated in related fields such as genetics, gene expression, and metabolism.</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MARKET OPPORTUNITY</w:t>
      </w:r>
    </w:p>
    <w:p>
      <w:pPr>
        <w:spacing w:after="0" w:line="196" w:lineRule="exact"/>
        <w:rPr>
          <w:sz w:val="20"/>
          <w:szCs w:val="20"/>
          <w:color w:val="auto"/>
        </w:rPr>
      </w:pPr>
    </w:p>
    <w:p>
      <w:pPr>
        <w:ind w:right="40" w:firstLine="349"/>
        <w:spacing w:after="0" w:line="242" w:lineRule="auto"/>
        <w:rPr>
          <w:sz w:val="20"/>
          <w:szCs w:val="20"/>
          <w:color w:val="auto"/>
        </w:rPr>
      </w:pPr>
      <w:r>
        <w:rPr>
          <w:rFonts w:ascii="Times New Roman" w:cs="Times New Roman" w:eastAsia="Times New Roman" w:hAnsi="Times New Roman"/>
          <w:sz w:val="19"/>
          <w:szCs w:val="19"/>
          <w:color w:val="auto"/>
        </w:rPr>
        <w:t>We believe that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has the potential to be uniquely positioned in the proteomics market. In our mission to democratize proteomics, we aim to support initial research applications in precision and personalized medicine, with a natural growth path into clinical diagnostics, as well as in AI powered drug discovery. However, we believe that the opportunity could extend far beyond this.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Market Environment</w:t>
      </w:r>
    </w:p>
    <w:p>
      <w:pPr>
        <w:spacing w:after="0" w:line="19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At Nautilus, we recognize the need for a radical breakthrough in proteomics. Since 2002, global R&amp;D expenditure has increased close to three-fold and is expected to reach approximately $343.0 billion by 2030 according to EvaluatePharma's 2025 report. Despite such investments, the number of new drugs approved each year has failed to increase proportionally. It can take more than 10 years to bring a drug to market, and the cost has grown significantly in the past decade from approximately $1.5 billion in 2015 to approximately $2.2 billion in 2024 according to a 2025 report by the Deloitte Center for Health Solutions. 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3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180 unique pharmacogenomic biomarkers with approval for use with therapies according the current FDA Table of Pharmacogenomic Biomarkers. We believe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Iterative Mapping, we believe researchers may have the power to deeply and comprehensively measure the physical proteins at the root of disease, and significantly increase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spacing w:after="0" w:line="141"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We believe 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we believe, enhancing our fundamental understanding of biology and the mechanisms of disease.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 Missing Piece: The Proteome</w:t>
      </w:r>
    </w:p>
    <w:p>
      <w:pPr>
        <w:spacing w:after="0" w:line="196"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w:t>
      </w:r>
    </w:p>
    <w:p>
      <w:pPr>
        <w:sectPr>
          <w:pgSz w:w="11880" w:h="15480" w:orient="portrait"/>
          <w:cols w:equalWidth="0" w:num="1">
            <w:col w:w="10480"/>
          </w:cols>
          <w:pgMar w:left="700" w:top="691" w:right="700" w:bottom="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880" w:h="15480" w:orient="portrait"/>
          <w:cols w:equalWidth="0" w:num="1">
            <w:col w:w="10480"/>
          </w:cols>
          <w:pgMar w:left="700" w:top="691" w:right="700" w:bottom="0" w:gutter="0" w:footer="0" w:header="0"/>
          <w:type w:val="continuous"/>
        </w:sectPr>
      </w:pPr>
    </w:p>
    <w:bookmarkStart w:id="13" w:name="page14"/>
    <w:bookmarkEnd w:id="13"/>
    <w:p>
      <w:pPr>
        <w:ind w:right="540"/>
        <w:spacing w:after="0" w:line="274" w:lineRule="auto"/>
        <w:rPr>
          <w:sz w:val="20"/>
          <w:szCs w:val="20"/>
          <w:color w:val="auto"/>
        </w:rPr>
      </w:pPr>
      <w:r>
        <w:rPr>
          <w:rFonts w:ascii="Times New Roman" w:cs="Times New Roman" w:eastAsia="Times New Roman" w:hAnsi="Times New Roman"/>
          <w:sz w:val="19"/>
          <w:szCs w:val="19"/>
          <w:color w:val="auto"/>
        </w:rPr>
        <w:t>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25"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canonical proteins, many of which have been studied extensively. However, to coordinate the myriad of processes that occur within organisms at all times, organisms have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we believe governs all biological processes, both healthy and sick, cannot be captured or characterized routinely by current methods.</w:t>
      </w:r>
    </w:p>
    <w:p>
      <w:pPr>
        <w:spacing w:after="0" w:line="379"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protein, known as “proteoforms”. In total, our original 20,000 canonical proteins are estimated to produce as many as 6,000,000 different proteoforms, as illustrated in the figure below. We believe the existence of these proteoforms indicates that there may actually be well over two orders of magnitude (or 100 times) more complexity present across our proteome than there is across our genome. We strongly suspect that it is within this proteoform space of molecular information that fundamental biological processes are present that govern our cells, and our molecular health, which are waiting to be discovered.</w:t>
      </w:r>
    </w:p>
    <w:p>
      <w:pPr>
        <w:spacing w:after="0" w:line="137" w:lineRule="exact"/>
        <w:rPr>
          <w:sz w:val="20"/>
          <w:szCs w:val="20"/>
          <w:color w:val="auto"/>
        </w:rPr>
      </w:pPr>
    </w:p>
    <w:p>
      <w:pPr>
        <w:ind w:right="660" w:firstLine="349"/>
        <w:spacing w:after="0" w:line="293" w:lineRule="auto"/>
        <w:rPr>
          <w:sz w:val="20"/>
          <w:szCs w:val="20"/>
          <w:color w:val="auto"/>
        </w:rPr>
      </w:pPr>
      <w:r>
        <w:rPr>
          <w:rFonts w:ascii="Times New Roman" w:cs="Times New Roman" w:eastAsia="Times New Roman" w:hAnsi="Times New Roman"/>
          <w:sz w:val="19"/>
          <w:szCs w:val="19"/>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106680</wp:posOffset>
            </wp:positionV>
            <wp:extent cx="6567805" cy="2958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6567805" cy="2958465"/>
                    </a:xfrm>
                    <a:prstGeom prst="rect">
                      <a:avLst/>
                    </a:prstGeom>
                    <a:noFill/>
                  </pic:spPr>
                </pic:pic>
              </a:graphicData>
            </a:graphic>
          </wp:anchor>
        </w:drawing>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880" w:h="15480" w:orient="portrait"/>
          <w:cols w:equalWidth="0" w:num="1">
            <w:col w:w="10480"/>
          </w:cols>
          <w:pgMar w:left="700" w:top="691" w:right="700" w:bottom="0" w:gutter="0" w:footer="0" w:header="0"/>
          <w:type w:val="continuous"/>
        </w:sectPr>
      </w:pPr>
    </w:p>
    <w:bookmarkStart w:id="14" w:name="page15"/>
    <w:bookmarkEnd w:id="14"/>
    <w:p>
      <w:pPr>
        <w:ind w:right="360" w:firstLine="349"/>
        <w:spacing w:after="0" w:line="293" w:lineRule="auto"/>
        <w:rPr>
          <w:sz w:val="20"/>
          <w:szCs w:val="20"/>
          <w:color w:val="auto"/>
        </w:rPr>
      </w:pPr>
      <w:r>
        <w:rPr>
          <w:rFonts w:ascii="Times New Roman" w:cs="Times New Roman" w:eastAsia="Times New Roman" w:hAnsi="Times New Roman"/>
          <w:sz w:val="19"/>
          <w:szCs w:val="19"/>
          <w:color w:val="auto"/>
        </w:rPr>
        <w:t>While the past several decades have seen advances in proteomics technologies, typical solutions only capture a fraction of the proteome in samples derived from blood or cells, as illustrated in the figure below.</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Commercially Available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158750</wp:posOffset>
            </wp:positionV>
            <wp:extent cx="6478905" cy="2806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478905" cy="280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On the left, using mass spectrometry-based methods, approximately 8% of proteins are routinely detectable from blood and approximately 30% are routinely detectable from cells. On the right, there is currently no commercially available method to easily detect and map the landscape of proteoforms, which would allow for the exploration of the estimated 6,000,000 different forms and patterns of modified proteins serving some biological function. Furthermore, we believe that shortfalls in the ability of bioinformatics to predict the existence as well as the function of genes further illustrates the need for enhanced protein analysis techniques. Moreover, there is a large amount of discordance in the data generated by proteomics technologies today. These technologies often fail to measure the same proteins and when they do, they often produce contrasting protein abundance measurements. This may leave researchers unsure of which technologies to trust and which proteins they should focus on in follow-up studies - a more comprehensive and consistent solution is needed.</w:t>
      </w:r>
    </w:p>
    <w:p>
      <w:pPr>
        <w:spacing w:after="0" w:line="141" w:lineRule="exact"/>
        <w:rPr>
          <w:sz w:val="20"/>
          <w:szCs w:val="20"/>
          <w:color w:val="auto"/>
        </w:rPr>
      </w:pPr>
    </w:p>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Market Opportunity</w:t>
      </w:r>
    </w:p>
    <w:p>
      <w:pPr>
        <w:spacing w:after="0" w:line="196"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Due to the extensive applications and broad potential, we believe that the proteomics market represents one of the largest untapped opportunities in the biological sciences today. According to BCC Research report “Proteomics: Technologies and Global Markets”, issued in May 2025, the overall proteomics market is projected to reach approximately $57 billion in 2030, representing a projected CAGR of 13% in global market growth from 2025 through 2030.</w:t>
      </w:r>
    </w:p>
    <w:p>
      <w:pPr>
        <w:spacing w:after="0" w:line="13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believe that as the proteomics market evolves, substantial adjacent opportunities will also arise due to the potential applications in precision and personalized medicine, clinical diagnostics, and AI powered drug discovery, as well as other disciplines such as food and environmental science. Within the biomedical sciences, we anticipate that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880" w:h="15480" w:orient="portrait"/>
          <w:cols w:equalWidth="0" w:num="1">
            <w:col w:w="10460"/>
          </w:cols>
          <w:pgMar w:left="700" w:top="691" w:right="72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709930</wp:posOffset>
            </wp:positionH>
            <wp:positionV relativeFrom="page">
              <wp:posOffset>477520</wp:posOffset>
            </wp:positionV>
            <wp:extent cx="6123940" cy="3176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123940"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Existing Proteomics Technologies and Shortfalls</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Over the past decade, the importance of proteomics in diagnostics and drug research and development has increased due to the central role proteins play in biological function and disease. However, comprehensive analysis of the proteome remains significantly more complex for scientists today than analysis of the genome or transcriptome. Unlike DNA and RNA, proteins cannot be amplified, requiring measurement technologies to directly detect very low-abundance targets directly from biological samples. This challenge is compounded by the wide dynamic range of protein abundance, which can span more than seven orders of magnitude within a single cell or biofluid such as blood. For example, transcription factors and signaling proteins that play critical roles in disease biology may be present at many fold lower abundance than structural proteins that may be present in millions of copies per cell. Accurately quantifying both low-abundance and high-abundance proteins within the same sample is therefore substantially more difficult than genome or transcriptome analysis, which typically involves a dynamic range of approximately three orders of magnitude. In addition, proteins exhibit substantially greater biochemical and structural diversity than nucleic acids. Proteins are composed of 20 distinct amino acids and undergo extensive post-translational modifications that generate multiple functional variants, known as proteoforms. These complexities have limited the development of tools capable of sensitively, comprehensively, and reproducibly measuring the proteome. Currently commercially available technologies are generally unable to routinely identify and quantify proteoform composition and frequency within complex samples. Existing proteomics technologies generally fall into two categories: mass spectrometry-based approaches and affinity-based approaches.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Mass Spectrometry-based Approaches</w:t>
      </w:r>
    </w:p>
    <w:p>
      <w:pPr>
        <w:spacing w:after="0" w:line="19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Mass spectrometry has been a foundational technology in proteomics and has significantly advanced the field. However, despite analytical capabilities, mass spectrometry workflows are often complex, time-consuming, and labor-intensive. Sample preparation and instrument operation typically require highly trained personnel, and workflows are not fully automated, limiting scalability and accessibility. Mass spectrometry approaches also face sensitivity limitations when detecting proteins present at very low abundance, where many biologically important signals are believed to reside. In addition, commonly used methods, including shotgun mass spectrometry, require proteins to be enzymatically digested into peptides prior to analysis. Because measurements are performed on peptide fragments rather than intact proteins, these approaches have limited ability to resolve protein isoforms and proteoforms or to characterize specific patterns of post-translational modifications across samples. As a result, researchers using mass spectrometry often must accept trade-offs in breadth - in terms of proteome coverage and throughput, depth - in terms precision and sensitivity, and reproducibility. Despite these limitations, demand for protein data remains strong, and the global proteomics research market includes an installed base of more than 16,000 mass spectrometry instruments.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Affinity-based Approaches</w:t>
      </w:r>
    </w:p>
    <w:p>
      <w:pPr>
        <w:spacing w:after="0" w:line="191"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Affinity-based proteomics methods have traditionally been used for targeted protein measurements and have increasingly been applied to larger-scale studies with broader, though still incomplete, coverage of the canonical proteome. These approaches rely on affinity reagents designed to bind specific, predefined protein targets. The performance of affinity reagents can be affected by protein structure, orientation, and modification state, and multiplexed assays require a distinct reagent for each target. Despite decades of</w:t>
      </w:r>
    </w:p>
    <w:p>
      <w:pPr>
        <w:sectPr>
          <w:pgSz w:w="11880" w:h="15480" w:orient="portrait"/>
          <w:cols w:equalWidth="0" w:num="1">
            <w:col w:w="10400"/>
          </w:cols>
          <w:pgMar w:left="700" w:top="1440" w:right="780" w:bottom="0" w:gutter="0" w:footer="0" w:header="0"/>
        </w:sect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14</w:t>
      </w:r>
    </w:p>
    <w:p>
      <w:pPr>
        <w:sectPr>
          <w:pgSz w:w="11880" w:h="15480" w:orient="portrait"/>
          <w:cols w:equalWidth="0" w:num="1">
            <w:col w:w="10400"/>
          </w:cols>
          <w:pgMar w:left="700" w:top="1440" w:right="780" w:bottom="0" w:gutter="0" w:footer="0" w:header="0"/>
          <w:type w:val="continuous"/>
        </w:sectPr>
      </w:pPr>
    </w:p>
    <w:bookmarkStart w:id="16" w:name="page17"/>
    <w:bookmarkEnd w:id="16"/>
    <w:p>
      <w:pPr>
        <w:spacing w:after="0" w:line="265" w:lineRule="auto"/>
        <w:rPr>
          <w:sz w:val="20"/>
          <w:szCs w:val="20"/>
          <w:color w:val="auto"/>
        </w:rPr>
      </w:pPr>
      <w:r>
        <w:rPr>
          <w:rFonts w:ascii="Times New Roman" w:cs="Times New Roman" w:eastAsia="Times New Roman" w:hAnsi="Times New Roman"/>
          <w:sz w:val="19"/>
          <w:szCs w:val="19"/>
          <w:color w:val="auto"/>
        </w:rPr>
        <w:t>development, the number of high-quality, specific affinity reagents remains insufficient to comprehensively measure the proteome, including its many protein isoforms and proteoforms. As a result, affinity-based approaches are generally best suited for applications involving relatively small, predefined target panels. Because these methods typically detect only limited regions of target proteins and are performed as bulk sample measurements, they have limited depth and are not able to resolve proteoform diversity or patterns at the single-molecule level.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Limitations Across Existing Technologies</w:t>
      </w:r>
    </w:p>
    <w:p>
      <w:pPr>
        <w:spacing w:after="0" w:line="191" w:lineRule="exact"/>
        <w:rPr>
          <w:sz w:val="20"/>
          <w:szCs w:val="20"/>
          <w:color w:val="auto"/>
        </w:rPr>
      </w:pPr>
    </w:p>
    <w:p>
      <w:pPr>
        <w:ind w:right="100" w:firstLine="349"/>
        <w:spacing w:after="0" w:line="261" w:lineRule="auto"/>
        <w:rPr>
          <w:sz w:val="20"/>
          <w:szCs w:val="20"/>
          <w:color w:val="auto"/>
        </w:rPr>
      </w:pPr>
      <w:r>
        <w:rPr>
          <w:rFonts w:ascii="Times New Roman" w:cs="Times New Roman" w:eastAsia="Times New Roman" w:hAnsi="Times New Roman"/>
          <w:sz w:val="19"/>
          <w:szCs w:val="19"/>
          <w:color w:val="auto"/>
        </w:rPr>
        <w:t>Neither mass spectrometry–based nor affinity-based approaches provide direct measurement of individual, intact protein molecules, and achieving high-confidence, reproducible quantification across experiments remains challenging. Abundance measurements generated by these approaches are often not directly comparable, making it difficult for researchers to prioritize targets or reconcile results across studies. These limitations also complicate integration of proteomic data with genomic and transcriptomic datasets, which we believe is increasingly important for understanding biological systems across multiple layers of regulation. Furthermore, limitations in quantification accuracy, reproducibility, and throughput at proteome scale limit the ability of existing technologies to generate large, consistent datasets suitable for training data-driven and AI-based models of biology. Inconsistent, incomplete proteomic measurements may reduce the reliability of insights derived from such approaches.</w:t>
      </w:r>
    </w:p>
    <w:p>
      <w:pPr>
        <w:spacing w:after="0" w:line="130"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9"/>
          <w:szCs w:val="19"/>
          <w:b w:val="1"/>
          <w:bCs w:val="1"/>
          <w:color w:val="auto"/>
        </w:rPr>
        <w:t>THE NAUTILUS APPROACH</w:t>
      </w:r>
    </w:p>
    <w:p>
      <w:pPr>
        <w:spacing w:after="0" w:line="189"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9"/>
          <w:szCs w:val="19"/>
          <w:b w:val="1"/>
          <w:bCs w:val="1"/>
          <w:i w:val="1"/>
          <w:iCs w:val="1"/>
          <w:color w:val="auto"/>
        </w:rPr>
        <w:t>Our Guiding Principles</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Nautilus is driven by the objective of enabling the research community to access and quantify the proteome in a comprehensive, reproducible, and scalable manner, including the ability to characterize proteoforms. We believe that broader access to high-quality proteomic data can support improved understanding of disease biology and inform the development of new therapeutics and diagnostics. While genomics and transcriptomics have benefited from technologies that enable routine, large-scale measurement, progress in proteomics has historically lagged due to the absence of tools capable of measuring proteins with comparable breadth, depth, and reproducibility.</w:t>
      </w:r>
    </w:p>
    <w:p>
      <w:pPr>
        <w:spacing w:after="0" w:line="136" w:lineRule="exact"/>
        <w:rPr>
          <w:sz w:val="20"/>
          <w:szCs w:val="20"/>
          <w:color w:val="auto"/>
        </w:rPr>
      </w:pPr>
    </w:p>
    <w:p>
      <w:pPr>
        <w:ind w:right="20" w:firstLine="349"/>
        <w:spacing w:after="0" w:line="245" w:lineRule="auto"/>
        <w:rPr>
          <w:sz w:val="20"/>
          <w:szCs w:val="20"/>
          <w:color w:val="auto"/>
        </w:rPr>
      </w:pPr>
      <w:r>
        <w:rPr>
          <w:rFonts w:ascii="Times New Roman" w:cs="Times New Roman" w:eastAsia="Times New Roman" w:hAnsi="Times New Roman"/>
          <w:sz w:val="19"/>
          <w:szCs w:val="19"/>
          <w:color w:val="auto"/>
        </w:rPr>
        <w:t>We believe that incremental improvements to existing proteomics technologies are insufficient to address these limitations and that unlocking the value of the proteome requires a fundamentally different measurement approach. In pursuit of this objective, we are developing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designed to deliver the Iterative Mapping approach through an end-to-end system that includes instrumentation, consumables, and software. The Nautilus Voyager platform is designed to process biological samples and generate proteomic data intended to support downstream biological analysis and interpretation.</w:t>
      </w:r>
    </w:p>
    <w:p>
      <w:pPr>
        <w:spacing w:after="0" w:line="154" w:lineRule="exact"/>
        <w:rPr>
          <w:sz w:val="20"/>
          <w:szCs w:val="20"/>
          <w:color w:val="auto"/>
        </w:rPr>
      </w:pPr>
    </w:p>
    <w:p>
      <w:pPr>
        <w:ind w:right="200" w:firstLine="349"/>
        <w:spacing w:after="0" w:line="260" w:lineRule="auto"/>
        <w:rPr>
          <w:sz w:val="20"/>
          <w:szCs w:val="20"/>
          <w:color w:val="auto"/>
        </w:rPr>
      </w:pPr>
      <w:r>
        <w:rPr>
          <w:rFonts w:ascii="Times New Roman" w:cs="Times New Roman" w:eastAsia="Times New Roman" w:hAnsi="Times New Roman"/>
          <w:sz w:val="19"/>
          <w:szCs w:val="19"/>
          <w:color w:val="auto"/>
        </w:rPr>
        <w:t>Our guiding principles emphasize the importance of combining broad proteome coverage with proteoform-level depth and high reproducibility, without sacrificing scalability or usability. The Nautilus Voyager platform is designed to support sensitive, single-molecule protein analysis at scale, with the goal of enabling comprehensive characterization of protein abundance and functional variation across diverse sample types. Leveraging its system architecture and data analysis capabilities, we believe the Nautilus Voyager platform is designed to quantify a substantial majority of the proteins present in a sample across a wide range of organisms and sample types, and to generate reproducible measurements suitable for large-scale and longitudinal studies with both breadth and depth. Developing the Nautilus Voyager platform has required and we believe will continue to require approaches that differ from those historically applied in proteomics. Achieving our objectives has necessitated interrogation across life sciences, computer and data sciences, and physical sciences and engineering. The Nautilus Voyager platform is designed to combine experimental measurement, computational analysis, and multiple measurement modalities within a single platform.</w:t>
      </w:r>
    </w:p>
    <w:p>
      <w:pPr>
        <w:spacing w:after="0" w:line="137"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We believe that recent advances in enabling technologies, including cloud computing and machine learning, have reached a level of maturity that have the potential to support this integrated approach at scale. We believe the convergence of these technologies has created a timely opportunity to pursue the scientific and engineering work required to develop a new class of proteomic measurement capability. By integrating these elements into the Nautilus Voyager platform, we aim to support biomarker discovery and precision medicine research and to broaden access to reproducible proteomics data.</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Nautilus Voyager</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Design Criteria</w:t>
      </w:r>
    </w:p>
    <w:p>
      <w:pPr>
        <w:spacing w:after="0" w:line="127"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The limitations of existing proteomics technologies underscore the need for a different approach to protein measurement. We believe that incremental improvements to mass spectrometry or affinity-based approaches are not sufficient to address the combined challenges of breadth, depth, and reproducibility required for comprehensive proteome analysis. In response, we designed the Nautilus Voyager platform from the ground up to address these challenges through a distinct measurement approach, Iterative Mapping.</w:t>
      </w:r>
    </w:p>
    <w:p>
      <w:pPr>
        <w:spacing w:after="0" w:line="131"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The Nautilus Voyager platform is designed to enable Iterative Mapping, a measurement approach based on repeated interrogation of intact, single protein molecules at scale. Rather than relying on a limited number of stochastic observations, Iterative Mapping is designed to generate confidence through multiple, sequential measurements of individual protein molecules. Information is</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880" w:h="15480" w:orient="portrait"/>
          <w:cols w:equalWidth="0" w:num="1">
            <w:col w:w="10460"/>
          </w:cols>
          <w:pgMar w:left="700" w:top="691" w:right="720" w:bottom="0" w:gutter="0" w:footer="0" w:header="0"/>
          <w:type w:val="continuous"/>
        </w:sectPr>
      </w:pPr>
    </w:p>
    <w:bookmarkStart w:id="17" w:name="page18"/>
    <w:bookmarkEnd w:id="17"/>
    <w:p>
      <w:pPr>
        <w:ind w:right="180"/>
        <w:spacing w:after="0" w:line="293" w:lineRule="auto"/>
        <w:rPr>
          <w:sz w:val="20"/>
          <w:szCs w:val="20"/>
          <w:color w:val="auto"/>
        </w:rPr>
      </w:pPr>
      <w:r>
        <w:rPr>
          <w:rFonts w:ascii="Times New Roman" w:cs="Times New Roman" w:eastAsia="Times New Roman" w:hAnsi="Times New Roman"/>
          <w:sz w:val="19"/>
          <w:szCs w:val="19"/>
          <w:color w:val="auto"/>
        </w:rPr>
        <w:t>accumulated across independent measurement events and aggregated across billions of molecules, producing what we expect will be highly reproducible, digital counts intended to support consistent comparison across samples, experiments, and time.</w:t>
      </w:r>
    </w:p>
    <w:p>
      <w:pPr>
        <w:spacing w:after="0" w:line="10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In contrast to traditional “shotgun” proteomics approaches, which stochastically sample subsets of the proteome and generate limited information per protein, and affinity-based approaches that often rely on one or two binding events per target, Iterative Mapping is designed to systematically characterize proteins and their functional variants across samples with improved confidence and reproducibility.</w:t>
      </w:r>
    </w:p>
    <w:p>
      <w:pPr>
        <w:spacing w:after="0" w:line="131" w:lineRule="exact"/>
        <w:rPr>
          <w:sz w:val="20"/>
          <w:szCs w:val="20"/>
          <w:color w:val="auto"/>
        </w:rPr>
      </w:pPr>
    </w:p>
    <w:p>
      <w:pPr>
        <w:ind w:right="40" w:firstLine="349"/>
        <w:spacing w:after="0" w:line="230" w:lineRule="auto"/>
        <w:rPr>
          <w:sz w:val="20"/>
          <w:szCs w:val="20"/>
          <w:color w:val="auto"/>
        </w:rPr>
      </w:pPr>
      <w:r>
        <w:rPr>
          <w:rFonts w:ascii="Times New Roman" w:cs="Times New Roman" w:eastAsia="Times New Roman" w:hAnsi="Times New Roman"/>
          <w:sz w:val="19"/>
          <w:szCs w:val="19"/>
          <w:color w:val="auto"/>
        </w:rPr>
        <w:t>In defining the design criteria for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we identified a set of core performance requirements intended to support breath, depth, and reproducibility in proteomics:</w:t>
      </w:r>
    </w:p>
    <w:p>
      <w:pPr>
        <w:spacing w:after="0" w:line="152" w:lineRule="exact"/>
        <w:rPr>
          <w:sz w:val="20"/>
          <w:szCs w:val="20"/>
          <w:color w:val="auto"/>
        </w:rPr>
      </w:pPr>
    </w:p>
    <w:p>
      <w:pPr>
        <w:jc w:val="both"/>
        <w:ind w:left="700" w:right="20" w:hanging="352"/>
        <w:spacing w:after="0" w:line="277"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High sensitivity</w:t>
      </w:r>
      <w:r>
        <w:rPr>
          <w:rFonts w:ascii="Times New Roman" w:cs="Times New Roman" w:eastAsia="Times New Roman" w:hAnsi="Times New Roman"/>
          <w:sz w:val="19"/>
          <w:szCs w:val="19"/>
          <w:color w:val="auto"/>
        </w:rPr>
        <w:t>. Because proteins cannot be amplified, comprehensive proteome measurement requires the ability to directly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detect and quantify low-abundance proteins. The Nautilus Voyager platform is designed to support single-molecule detection to address this requirement.</w:t>
      </w:r>
    </w:p>
    <w:p>
      <w:pPr>
        <w:spacing w:after="0" w:line="117" w:lineRule="exact"/>
        <w:rPr>
          <w:rFonts w:ascii="Times New Roman" w:cs="Times New Roman" w:eastAsia="Times New Roman" w:hAnsi="Times New Roman"/>
          <w:sz w:val="19"/>
          <w:szCs w:val="19"/>
          <w:color w:val="auto"/>
        </w:rPr>
      </w:pPr>
    </w:p>
    <w:p>
      <w:pPr>
        <w:ind w:left="700" w:right="700" w:hanging="352"/>
        <w:spacing w:after="0" w:line="298"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Scalability across dynamic range</w:t>
      </w:r>
      <w:r>
        <w:rPr>
          <w:rFonts w:ascii="Times New Roman" w:cs="Times New Roman" w:eastAsia="Times New Roman" w:hAnsi="Times New Roman"/>
          <w:sz w:val="19"/>
          <w:szCs w:val="19"/>
          <w:color w:val="auto"/>
        </w:rPr>
        <w:t>. The platform is designed to quantify proteins across a wide dynamic range while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remaining suitable for large-scale studies involving many samples.</w:t>
      </w:r>
    </w:p>
    <w:p>
      <w:pPr>
        <w:spacing w:after="0" w:line="98" w:lineRule="exact"/>
        <w:rPr>
          <w:rFonts w:ascii="Times New Roman" w:cs="Times New Roman" w:eastAsia="Times New Roman" w:hAnsi="Times New Roman"/>
          <w:sz w:val="19"/>
          <w:szCs w:val="19"/>
          <w:color w:val="auto"/>
        </w:rPr>
      </w:pPr>
    </w:p>
    <w:p>
      <w:pPr>
        <w:ind w:left="700" w:right="260" w:hanging="352"/>
        <w:spacing w:after="0" w:line="277"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Reproducibility and robustness</w:t>
      </w:r>
      <w:r>
        <w:rPr>
          <w:rFonts w:ascii="Times New Roman" w:cs="Times New Roman" w:eastAsia="Times New Roman" w:hAnsi="Times New Roman"/>
          <w:sz w:val="19"/>
          <w:szCs w:val="19"/>
          <w:color w:val="auto"/>
        </w:rPr>
        <w:t>. Consistent measurement across runs, instruments, and time is important for longitudinal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studies, large cohorts, and data integration. The Nautilus Voyager platform is designed to support reproducibility through standardized workflows and digital single-molecule counting.</w:t>
      </w:r>
    </w:p>
    <w:p>
      <w:pPr>
        <w:spacing w:after="0" w:line="117" w:lineRule="exact"/>
        <w:rPr>
          <w:rFonts w:ascii="Times New Roman" w:cs="Times New Roman" w:eastAsia="Times New Roman" w:hAnsi="Times New Roman"/>
          <w:sz w:val="19"/>
          <w:szCs w:val="19"/>
          <w:color w:val="auto"/>
        </w:rPr>
      </w:pPr>
    </w:p>
    <w:p>
      <w:pPr>
        <w:ind w:left="700" w:right="160" w:hanging="352"/>
        <w:spacing w:after="0" w:line="298"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Throughput. </w:t>
      </w:r>
      <w:r>
        <w:rPr>
          <w:rFonts w:ascii="Times New Roman" w:cs="Times New Roman" w:eastAsia="Times New Roman" w:hAnsi="Times New Roman"/>
          <w:sz w:val="19"/>
          <w:szCs w:val="19"/>
          <w:color w:val="auto"/>
        </w:rPr>
        <w:t>To support large-scale research workflows, the platform is designed to enable analysis of tens of thousands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samples within practical timeframes.</w:t>
      </w:r>
    </w:p>
    <w:p>
      <w:pPr>
        <w:spacing w:after="0" w:line="98" w:lineRule="exact"/>
        <w:rPr>
          <w:rFonts w:ascii="Times New Roman" w:cs="Times New Roman" w:eastAsia="Times New Roman" w:hAnsi="Times New Roman"/>
          <w:sz w:val="19"/>
          <w:szCs w:val="19"/>
          <w:color w:val="auto"/>
        </w:rPr>
      </w:pPr>
    </w:p>
    <w:p>
      <w:pPr>
        <w:ind w:left="700" w:right="360" w:hanging="352"/>
        <w:spacing w:after="0" w:line="269"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Usability. </w:t>
      </w:r>
      <w:r>
        <w:rPr>
          <w:rFonts w:ascii="Times New Roman" w:cs="Times New Roman" w:eastAsia="Times New Roman" w:hAnsi="Times New Roman"/>
          <w:sz w:val="19"/>
          <w:szCs w:val="19"/>
          <w:color w:val="auto"/>
        </w:rPr>
        <w:t>We anticipate that broad adoption of proteomics technologies requires systems that can be operated by a wide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range of laboratories, including those without specialized expertise in analytical chemistry or proteomics. The platform is designed with an integrated workflow as well as hands-off fluidics and produces easy-to-understand data that should be usable across labs.</w:t>
      </w:r>
    </w:p>
    <w:p>
      <w:pPr>
        <w:spacing w:after="0" w:line="126" w:lineRule="exact"/>
        <w:rPr>
          <w:rFonts w:ascii="Times New Roman" w:cs="Times New Roman" w:eastAsia="Times New Roman" w:hAnsi="Times New Roman"/>
          <w:sz w:val="19"/>
          <w:szCs w:val="19"/>
          <w:color w:val="auto"/>
        </w:rPr>
      </w:pPr>
    </w:p>
    <w:p>
      <w:pPr>
        <w:ind w:left="700" w:right="140" w:hanging="352"/>
        <w:spacing w:after="0" w:line="298"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Adaptability. </w:t>
      </w:r>
      <w:r>
        <w:rPr>
          <w:rFonts w:ascii="Times New Roman" w:cs="Times New Roman" w:eastAsia="Times New Roman" w:hAnsi="Times New Roman"/>
          <w:sz w:val="19"/>
          <w:szCs w:val="19"/>
          <w:color w:val="auto"/>
        </w:rPr>
        <w:t>The platform is designed to support multiple run configurations and assay formats to address diverse research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needs, including both broadscale proteome profiling and targeted proteoform analysis.</w:t>
      </w:r>
    </w:p>
    <w:p>
      <w:pPr>
        <w:spacing w:after="0" w:line="102" w:lineRule="exact"/>
        <w:rPr>
          <w:sz w:val="20"/>
          <w:szCs w:val="20"/>
          <w:color w:val="auto"/>
        </w:rPr>
      </w:pPr>
    </w:p>
    <w:p>
      <w:pPr>
        <w:ind w:right="260" w:firstLine="349"/>
        <w:spacing w:after="0" w:line="263" w:lineRule="auto"/>
        <w:rPr>
          <w:sz w:val="20"/>
          <w:szCs w:val="20"/>
          <w:color w:val="auto"/>
        </w:rPr>
      </w:pPr>
      <w:r>
        <w:rPr>
          <w:rFonts w:ascii="Times New Roman" w:cs="Times New Roman" w:eastAsia="Times New Roman" w:hAnsi="Times New Roman"/>
          <w:sz w:val="19"/>
          <w:szCs w:val="19"/>
          <w:color w:val="auto"/>
        </w:rPr>
        <w:t>Based on these design criteria, we developed an integrated Nautilus Voyager platform encompassing sample preparation, consumables, instrumentation, and downstream data analysis. Together with the Iterative Mapping approach, the Nautilus Voyager platform incorporates multiple technical innovations intended to operate in concert to support comprehensive, reproducible, and scalable proteome characterization. We believe that four key technical innovations, each addressing a distinct limitation of existing proteomics approaches and collectively enabling the performance characteristics of the platform, are central to achieving the design objectives of the Nautilus Voyager platform and differentiating it from existing technologies:</w:t>
      </w:r>
    </w:p>
    <w:p>
      <w:pPr>
        <w:spacing w:after="0" w:line="132" w:lineRule="exact"/>
        <w:rPr>
          <w:sz w:val="20"/>
          <w:szCs w:val="20"/>
          <w:color w:val="auto"/>
        </w:rPr>
      </w:pPr>
    </w:p>
    <w:p>
      <w:pPr>
        <w:ind w:left="700" w:hanging="352"/>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Hyper-dense Single-molecule nanoarrays</w:t>
      </w:r>
    </w:p>
    <w:p>
      <w:pPr>
        <w:spacing w:after="0" w:line="186"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Integrated Proteomics Platform</w:t>
      </w:r>
    </w:p>
    <w:p>
      <w:pPr>
        <w:spacing w:after="0" w:line="189" w:lineRule="exact"/>
        <w:rPr>
          <w:rFonts w:ascii="Times New Roman" w:cs="Times New Roman" w:eastAsia="Times New Roman" w:hAnsi="Times New Roman"/>
          <w:sz w:val="19"/>
          <w:szCs w:val="19"/>
          <w:b w:val="1"/>
          <w:bCs w:val="1"/>
          <w:i w:val="1"/>
          <w:iCs w:val="1"/>
          <w:color w:val="auto"/>
        </w:rPr>
      </w:pPr>
    </w:p>
    <w:p>
      <w:pPr>
        <w:ind w:left="700" w:hanging="352"/>
        <w:spacing w:after="0"/>
        <w:tabs>
          <w:tab w:leader="none" w:pos="700"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Probes for multi-cycle analysis</w:t>
      </w:r>
    </w:p>
    <w:p>
      <w:pPr>
        <w:spacing w:after="0" w:line="189" w:lineRule="exact"/>
        <w:rPr>
          <w:rFonts w:ascii="Times New Roman" w:cs="Times New Roman" w:eastAsia="Times New Roman" w:hAnsi="Times New Roman"/>
          <w:sz w:val="19"/>
          <w:szCs w:val="19"/>
          <w:b w:val="1"/>
          <w:bCs w:val="1"/>
          <w:i w:val="1"/>
          <w:iCs w:val="1"/>
          <w:color w:val="auto"/>
        </w:rPr>
      </w:pPr>
    </w:p>
    <w:p>
      <w:pPr>
        <w:ind w:left="340" w:right="6440" w:firstLine="8"/>
        <w:spacing w:after="0" w:line="447" w:lineRule="auto"/>
        <w:tabs>
          <w:tab w:leader="none" w:pos="689"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Machine-learning powered quantification Key Innovations</w:t>
      </w:r>
    </w:p>
    <w:p>
      <w:pPr>
        <w:spacing w:after="0" w:line="1" w:lineRule="exact"/>
        <w:rPr>
          <w:sz w:val="20"/>
          <w:szCs w:val="20"/>
          <w:color w:val="auto"/>
        </w:rPr>
      </w:pPr>
    </w:p>
    <w:p>
      <w:pPr>
        <w:ind w:left="700" w:hanging="352"/>
        <w:spacing w:after="0"/>
        <w:tabs>
          <w:tab w:leader="none" w:pos="7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Hyper-dense Single-molecule nanoarrays</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vast majority of protein analysis tools, such as affinity-based approaches like ELISA (Enzyme-Linked Immunosorbent Assay), typically measure proteins in bulk. This approach works well for measuring small numbers of proteins, however, it quickly becomes very challenging when measuring hundreds to thousands of proteins. Furthermore, various practicalities surrounding bulk analysis limit sensitivity and dynamic range. 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880" w:h="15480" w:orient="portrait"/>
          <w:cols w:equalWidth="0" w:num="1">
            <w:col w:w="10480"/>
          </w:cols>
          <w:pgMar w:left="700" w:top="691" w:right="700" w:bottom="0" w:gutter="0" w:footer="0" w:header="0"/>
          <w:type w:val="continuous"/>
        </w:sectPr>
      </w:pPr>
    </w:p>
    <w:bookmarkStart w:id="18" w:name="page19"/>
    <w:bookmarkEnd w:id="18"/>
    <w:p>
      <w:pPr>
        <w:ind w:right="480"/>
        <w:spacing w:after="0" w:line="293" w:lineRule="auto"/>
        <w:rPr>
          <w:sz w:val="20"/>
          <w:szCs w:val="20"/>
          <w:color w:val="auto"/>
        </w:rPr>
      </w:pPr>
      <w:r>
        <w:rPr>
          <w:rFonts w:ascii="Times New Roman" w:cs="Times New Roman" w:eastAsia="Times New Roman" w:hAnsi="Times New Roman"/>
          <w:sz w:val="19"/>
          <w:szCs w:val="19"/>
          <w:color w:val="auto"/>
        </w:rPr>
        <w:t>those identifications, and furthermore, single protein molecule counters are by definition the most sensitive detection modalities available.</w:t>
      </w:r>
    </w:p>
    <w:p>
      <w:pPr>
        <w:spacing w:after="0" w:line="107"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To break through these barriers, we designed the platform to measure billions of individual protein molecules at a time, in a massively parallel and efficient workflow. Our internal testing has demonstrated that our hyper-dense single-molecule protein nanoarrays contain over 3 billion landing pads per chip.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process by binding them to a much larger nanoparticle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124460</wp:posOffset>
            </wp:positionV>
            <wp:extent cx="6123940" cy="3199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123940" cy="319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Source: Internal data</w:t>
      </w:r>
    </w:p>
    <w:p>
      <w:pPr>
        <w:spacing w:after="0" w:line="165"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These nanoparticle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sectPr>
          <w:pgSz w:w="11880" w:h="15480" w:orient="portrait"/>
          <w:cols w:equalWidth="0" w:num="1">
            <w:col w:w="10400"/>
          </w:cols>
          <w:pgMar w:left="700" w:top="69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17</w:t>
      </w:r>
    </w:p>
    <w:p>
      <w:pPr>
        <w:sectPr>
          <w:pgSz w:w="11880" w:h="15480" w:orient="portrait"/>
          <w:cols w:equalWidth="0" w:num="1">
            <w:col w:w="10400"/>
          </w:cols>
          <w:pgMar w:left="700" w:top="691" w:right="780" w:bottom="0" w:gutter="0" w:footer="0" w:header="0"/>
          <w:type w:val="continuous"/>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9"/>
          <w:szCs w:val="19"/>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158750</wp:posOffset>
            </wp:positionV>
            <wp:extent cx="6123940" cy="2792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12394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Source: Internal Data</w:t>
      </w:r>
    </w:p>
    <w:p>
      <w:pPr>
        <w:spacing w:after="0" w:line="165" w:lineRule="exact"/>
        <w:rPr>
          <w:sz w:val="20"/>
          <w:szCs w:val="20"/>
          <w:color w:val="auto"/>
        </w:rPr>
      </w:pPr>
    </w:p>
    <w:p>
      <w:pPr>
        <w:ind w:right="80" w:firstLine="349"/>
        <w:spacing w:after="0" w:line="245" w:lineRule="auto"/>
        <w:rPr>
          <w:sz w:val="20"/>
          <w:szCs w:val="20"/>
          <w:color w:val="auto"/>
        </w:rPr>
      </w:pPr>
      <w:r>
        <w:rPr>
          <w:rFonts w:ascii="Times New Roman" w:cs="Times New Roman" w:eastAsia="Times New Roman" w:hAnsi="Times New Roman"/>
          <w:sz w:val="19"/>
          <w:szCs w:val="19"/>
          <w:color w:val="auto"/>
        </w:rPr>
        <w:t>As discussed above, our flow cell is designed with the capability to capture up to tens of billions of individual, intact protein molecules. The single protein molecule nature of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is designed to enable extreme sensitivity, and the sheer scale of molecules captured enables the measurement of proteins across an exceptionally wide dynamic range. Flow cells with loaded protein libraries can then be introduced into our Nautilus Voyager instrument for the analysis and quantitation of the captured protein library.</w:t>
      </w:r>
    </w:p>
    <w:p>
      <w:pPr>
        <w:spacing w:after="0" w:line="147" w:lineRule="exact"/>
        <w:rPr>
          <w:sz w:val="20"/>
          <w:szCs w:val="20"/>
          <w:color w:val="auto"/>
        </w:rPr>
      </w:pPr>
    </w:p>
    <w:p>
      <w:pPr>
        <w:ind w:left="700" w:hanging="352"/>
        <w:spacing w:after="0"/>
        <w:tabs>
          <w:tab w:leader="none" w:pos="700"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Integrated Proteomics Platform</w:t>
      </w:r>
    </w:p>
    <w:p>
      <w:pPr>
        <w:spacing w:after="0" w:line="19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This ability describes the fundamental approach and benefit of our Iterative Mapping method. With our platform designed to deliver the Iterative Mapping method, each protein molecule has a unique coordinate address on the flow cell, and repeated probing enables deeper characterization of each individual molecule with each cycle, unlocking the ability to characterize proteoforms, potentially decode approximately 95% of the proteome, and achieve a wide variety of applications powered by detailed understanding of new protein biology.</w:t>
      </w:r>
    </w:p>
    <w:p>
      <w:pPr>
        <w:spacing w:after="0" w:line="136"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To achieve extreme sensitivity and scale, we have designed the Nautilus Voyager instrument to integrate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high-resolution imaging components allow resolution sufficient to characterize each individual protein molecule, generating data as shown in the illustration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123190</wp:posOffset>
            </wp:positionV>
            <wp:extent cx="6434455" cy="1793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6434455" cy="179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protein counts in the image above are for illustration purposes only. Source: Internal data</w:t>
      </w:r>
    </w:p>
    <w:p>
      <w:pPr>
        <w:sectPr>
          <w:pgSz w:w="11880" w:h="15480" w:orient="portrait"/>
          <w:cols w:equalWidth="0" w:num="1">
            <w:col w:w="10400"/>
          </w:cols>
          <w:pgMar w:left="700" w:top="69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18</w:t>
      </w:r>
    </w:p>
    <w:p>
      <w:pPr>
        <w:sectPr>
          <w:pgSz w:w="11880" w:h="15480" w:orient="portrait"/>
          <w:cols w:equalWidth="0" w:num="1">
            <w:col w:w="10400"/>
          </w:cols>
          <w:pgMar w:left="700" w:top="691" w:right="780" w:bottom="0" w:gutter="0" w:footer="0" w:header="0"/>
          <w:type w:val="continuous"/>
        </w:sectPr>
      </w:pPr>
    </w:p>
    <w:bookmarkStart w:id="20" w:name="page21"/>
    <w:bookmarkEnd w:id="20"/>
    <w:p>
      <w:pPr>
        <w:ind w:left="700" w:hanging="352"/>
        <w:spacing w:after="0"/>
        <w:tabs>
          <w:tab w:leader="none" w:pos="70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Probes for multi-cycle analysis</w:t>
      </w:r>
    </w:p>
    <w:p>
      <w:pPr>
        <w:spacing w:after="0" w:line="196" w:lineRule="exact"/>
        <w:rPr>
          <w:sz w:val="20"/>
          <w:szCs w:val="20"/>
          <w:color w:val="auto"/>
        </w:rPr>
      </w:pPr>
    </w:p>
    <w:p>
      <w:pPr>
        <w:ind w:right="140" w:firstLine="349"/>
        <w:spacing w:after="0" w:line="230" w:lineRule="auto"/>
        <w:rPr>
          <w:sz w:val="20"/>
          <w:szCs w:val="20"/>
          <w:color w:val="auto"/>
        </w:rPr>
      </w:pPr>
      <w:r>
        <w:rPr>
          <w:rFonts w:ascii="Times New Roman" w:cs="Times New Roman" w:eastAsia="Times New Roman" w:hAnsi="Times New Roman"/>
          <w:sz w:val="19"/>
          <w:szCs w:val="19"/>
          <w:color w:val="auto"/>
        </w:rPr>
        <w:t>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is designed with fundamentally different principles of how to use and exploit the properties of affinity reagents compared to prior approaches. Affinity reagents enable two key applications of the Nautilus Voyager Platform:</w:t>
      </w:r>
    </w:p>
    <w:p>
      <w:pPr>
        <w:spacing w:after="0" w:line="152" w:lineRule="exact"/>
        <w:rPr>
          <w:sz w:val="20"/>
          <w:szCs w:val="20"/>
          <w:color w:val="auto"/>
        </w:rPr>
      </w:pPr>
    </w:p>
    <w:p>
      <w:pPr>
        <w:ind w:right="140" w:firstLine="348"/>
        <w:spacing w:after="0" w:line="298" w:lineRule="auto"/>
        <w:tabs>
          <w:tab w:leader="none" w:pos="69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Targeted proteoform analysis </w:t>
      </w:r>
      <w:r>
        <w:rPr>
          <w:rFonts w:ascii="Times New Roman" w:cs="Times New Roman" w:eastAsia="Times New Roman" w:hAnsi="Times New Roman"/>
          <w:sz w:val="19"/>
          <w:szCs w:val="19"/>
          <w:color w:val="auto"/>
        </w:rPr>
        <w:t>is designed to use of-the-shelf reagents to resolve specific protein forms, modifications,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variants that are not accessible using existing proteomics methods.</w:t>
      </w:r>
    </w:p>
    <w:p>
      <w:pPr>
        <w:spacing w:after="0" w:line="98" w:lineRule="exact"/>
        <w:rPr>
          <w:rFonts w:ascii="Times New Roman" w:cs="Times New Roman" w:eastAsia="Times New Roman" w:hAnsi="Times New Roman"/>
          <w:sz w:val="19"/>
          <w:szCs w:val="19"/>
          <w:color w:val="auto"/>
        </w:rPr>
      </w:pPr>
    </w:p>
    <w:p>
      <w:pPr>
        <w:ind w:right="160" w:firstLine="348"/>
        <w:spacing w:after="0" w:line="298" w:lineRule="auto"/>
        <w:tabs>
          <w:tab w:leader="none" w:pos="69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Broadscale proteomics </w:t>
      </w:r>
      <w:r>
        <w:rPr>
          <w:rFonts w:ascii="Times New Roman" w:cs="Times New Roman" w:eastAsia="Times New Roman" w:hAnsi="Times New Roman"/>
          <w:sz w:val="19"/>
          <w:szCs w:val="19"/>
          <w:color w:val="auto"/>
        </w:rPr>
        <w:t>is designed to enable large-scale, system-level interrogation of canonical proteins across biological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states using proprietary multi-affinity reagents.</w:t>
      </w:r>
    </w:p>
    <w:p>
      <w:pPr>
        <w:spacing w:after="0" w:line="102"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 xml:space="preserve">By using more traditional high specificity reagents in our multi-cycle system, we can detect specific protein targets, such as tau, at the single-molecule level, enabling digital quantitation. We believe it is possible to expand this concept, and use Iterative Mapping with a wide variety of “off-the-shelf” affinity reagents that are highly specific to multiple individual protein targets. Of particular importance, we can also use off-the-shelf affinity reagents that target specific sites on the protein itself, such as post-translational modifications. Using affinity reagents that target these specific locations and features of proteins will allow the Nautilus Voyager platform to detect and quantify the different patterns and varieties of post-translational modifications that define proteoforms. We refer to this as </w:t>
      </w:r>
      <w:r>
        <w:rPr>
          <w:rFonts w:ascii="Times New Roman" w:cs="Times New Roman" w:eastAsia="Times New Roman" w:hAnsi="Times New Roman"/>
          <w:sz w:val="19"/>
          <w:szCs w:val="19"/>
          <w:b w:val="1"/>
          <w:bCs w:val="1"/>
          <w:color w:val="auto"/>
        </w:rPr>
        <w:t>targeted proteoform analysis</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 xml:space="preserve">In a highly innovative and counterintuitive way, the Nautilus Voyager platform can also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binding reagent probes and binds to many different proteins that contain the short linear epitope target. We describe these probes as “multi-affinity reagents”. While the binding of a single multi-affinity reagent is not sufficient to identify a given protein, conducting Iterative Mapping using a series of multi-affinity reagent can create enough information that there is sufficient statistical power to accurately identify an exceptionally broad number of proteins present in a sample. In this approach, each new multi-affinity reagent that is introduced in a cycle of binding and imaging provides additional evidence and gradually narrows the list of possible protein identities. Hereafter, we refer to this approach as </w:t>
      </w:r>
      <w:r>
        <w:rPr>
          <w:rFonts w:ascii="Times New Roman" w:cs="Times New Roman" w:eastAsia="Times New Roman" w:hAnsi="Times New Roman"/>
          <w:sz w:val="19"/>
          <w:szCs w:val="19"/>
          <w:b w:val="1"/>
          <w:bCs w:val="1"/>
          <w:color w:val="auto"/>
        </w:rPr>
        <w:t>broadscale proteomics</w:t>
      </w:r>
      <w:r>
        <w:rPr>
          <w:rFonts w:ascii="Times New Roman" w:cs="Times New Roman" w:eastAsia="Times New Roman" w:hAnsi="Times New Roman"/>
          <w:sz w:val="19"/>
          <w:szCs w:val="19"/>
          <w:color w:val="auto"/>
        </w:rPr>
        <w:t>. The Nautilus Voyager platform is designed to achieve the detection of the vast majority of proteins in the proteome using a combination of approximately 300 unique multi-affinity reagents.</w:t>
      </w:r>
    </w:p>
    <w:p>
      <w:pPr>
        <w:spacing w:after="0" w:line="136" w:lineRule="exact"/>
        <w:rPr>
          <w:sz w:val="20"/>
          <w:szCs w:val="20"/>
          <w:color w:val="auto"/>
        </w:rPr>
      </w:pPr>
    </w:p>
    <w:p>
      <w:pPr>
        <w:ind w:left="700" w:hanging="352"/>
        <w:spacing w:after="0"/>
        <w:tabs>
          <w:tab w:leader="none" w:pos="70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Machine Learning-Powered Quantification</w:t>
      </w:r>
    </w:p>
    <w:p>
      <w:pPr>
        <w:spacing w:after="0" w:line="19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Among the most unique aspects of the Nautilus Voyager platform we believe is the integration of a proprietary machine learning-based protein quantification analysis software engineered to work with the type of data our system generates. As discussed, more typical measurements for high specificity affinity reagents can be used in our system to identify, and thereby quantify, each protein from a single binding and imaging step. Protein identification and quantification can be extended to proteoform-resolution by incorporating high specificity affinity reagents against protein targets of interest. These high specificity affinity reagents can provide a lot of information about a small number of proteins, and as such it would take an exceedingly large number of highly specific affinity reagent and therefore an exceedingly large number of cycles to measure every protein in the proteome. To enable broadscale proteomics on our system, we instead use our multi-affinity reagents that can bind to hundreds or even thousands of individual proteins in a given cycle.</w:t>
      </w:r>
    </w:p>
    <w:p>
      <w:pPr>
        <w:spacing w:after="0" w:line="378"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reagent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ectPr>
          <w:pgSz w:w="11880" w:h="15480" w:orient="portrait"/>
          <w:cols w:equalWidth="0" w:num="1">
            <w:col w:w="10460"/>
          </w:cols>
          <w:pgMar w:left="700" w:top="10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880" w:h="15480" w:orient="portrait"/>
          <w:cols w:equalWidth="0" w:num="1">
            <w:col w:w="10460"/>
          </w:cols>
          <w:pgMar w:left="700" w:top="1091" w:right="720" w:bottom="0" w:gutter="0" w:footer="0" w:header="0"/>
          <w:type w:val="continuous"/>
        </w:sectPr>
      </w:pPr>
    </w:p>
    <w:bookmarkStart w:id="21" w:name="page22"/>
    <w:bookmarkEnd w:id="21"/>
    <w:p>
      <w:pPr>
        <w:ind w:right="200" w:firstLine="349"/>
        <w:spacing w:after="0" w:line="230" w:lineRule="auto"/>
        <w:rPr>
          <w:sz w:val="20"/>
          <w:szCs w:val="20"/>
          <w:color w:val="auto"/>
        </w:rPr>
      </w:pPr>
      <w:r>
        <w:rPr>
          <w:rFonts w:ascii="Times New Roman" w:cs="Times New Roman" w:eastAsia="Times New Roman" w:hAnsi="Times New Roman"/>
          <w:sz w:val="19"/>
          <w:szCs w:val="19"/>
          <w:color w:val="auto"/>
        </w:rPr>
        <w:t>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Can Identify a Protein by Analyzing Data from Multiple Cycles of Affinity Reagent Binding Event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137160</wp:posOffset>
            </wp:positionV>
            <wp:extent cx="6123940" cy="3249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612394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Source: Internal Data</w:t>
      </w:r>
    </w:p>
    <w:p>
      <w:pPr>
        <w:spacing w:after="0" w:line="165"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The machine learning protein identification analysis is run for each of the 10 billion protein molecules captured across three flow cells in parallel to identify each protein molecule present. Following this, identifications are coalesced to infer an estimate of the quantity of each protein. As the algorithm learns more and more about each affinity reagent probe’s binding characteristics, both within and across Nautilus Voyager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13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This machine-learning powered analysis is designed to provide nuanced, single-molecule data about billions of protein molecules in every experiment conducted in any lab. We thus believe that the Nautilus Voyager platform will be able to provide the high volume of high-quality data needed to train AI models of biology. Just as large language models were trained on massive amounts of internet data, we anticipate effective AI models of biology will need massive amounts of biological data like that produced by the Nautilus Voyager platform. We further believe that only proteomic data with the level of breadth, depth, and reproducibility we aim to provide will be easy-to-integrate with data from other methodologies (such as genomics, transcriptomics, and metabolomics) and able to help prevent these models from coming to erroneous conclusions about health and disease.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Nautilus Voyager</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19"/>
          <w:szCs w:val="19"/>
          <w:b w:val="1"/>
          <w:bCs w:val="1"/>
          <w:color w:val="auto"/>
        </w:rPr>
        <w:t xml:space="preserve"> Platform Development Plan Key Areas of Focus</w:t>
      </w:r>
    </w:p>
    <w:p>
      <w:pPr>
        <w:spacing w:after="0" w:line="127"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In order to commercialize our platform, we plan to advance the development of our technology across all components including chemistries, reagents, consumables, instrumentation and analysis software. The prototype of the Nautilus Voyager platform has generated all of our internal data to date, and we are continuing the development process to optimize, improve upon, and validate the final designs, formulations, protocols, manufacturing processes, and software code.</w:t>
      </w:r>
    </w:p>
    <w:p>
      <w:pPr>
        <w:spacing w:after="0" w:line="131"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Our development plan is designed to build upon the foundational achievements our prototype has made in several key areas, with the goal of ultimately allowing us to fully realize the potential of our technology. We plan to focus on the continued improvement of our flow cell designs. Having initially demonstrated that prototype versions of our flow cells can functionally achieve approximately 10 billion discrete single protein molecule landing pads per instrument run, we plan to further optimize the landing pad spacing, density, manufacturing process and chemistries of the first commercially available flow cells. We also intend to focus on the completion of the final engineering design of the Nautilus Voyager instrument,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reagent probes and chemistries that can be used within the Nautilus Voyager platform for both broadscale proteomics quantification and target quantification of proteoforms at the single-molecule level. Our aim is to create a broad portfolio of affinity reagent probes through in-house reagent development efforts and through strategic partnerships where we qualify already developed</w:t>
      </w:r>
    </w:p>
    <w:p>
      <w:pPr>
        <w:sectPr>
          <w:pgSz w:w="11880" w:h="15480" w:orient="portrait"/>
          <w:cols w:equalWidth="0" w:num="1">
            <w:col w:w="10420"/>
          </w:cols>
          <w:pgMar w:left="700" w:top="691" w:right="760" w:bottom="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20</w:t>
      </w:r>
    </w:p>
    <w:p>
      <w:pPr>
        <w:sectPr>
          <w:pgSz w:w="11880" w:h="15480" w:orient="portrait"/>
          <w:cols w:equalWidth="0" w:num="1">
            <w:col w:w="10420"/>
          </w:cols>
          <w:pgMar w:left="700" w:top="691" w:right="760" w:bottom="0" w:gutter="0" w:footer="0" w:header="0"/>
          <w:type w:val="continuous"/>
        </w:sectPr>
      </w:pPr>
    </w:p>
    <w:bookmarkStart w:id="22" w:name="page23"/>
    <w:bookmarkEnd w:id="22"/>
    <w:p>
      <w:pPr>
        <w:spacing w:after="0" w:line="274" w:lineRule="auto"/>
        <w:rPr>
          <w:sz w:val="20"/>
          <w:szCs w:val="20"/>
          <w:color w:val="auto"/>
        </w:rPr>
      </w:pPr>
      <w:r>
        <w:rPr>
          <w:rFonts w:ascii="Times New Roman" w:cs="Times New Roman" w:eastAsia="Times New Roman" w:hAnsi="Times New Roman"/>
          <w:sz w:val="19"/>
          <w:szCs w:val="19"/>
          <w:color w:val="auto"/>
        </w:rPr>
        <w:t>reagents for compatibility with our technology. Lastly, we intend to continue the development of our analysis software, where we expect improvements to our algorithms and analysis that will help with the speed, accuracy, and reliability of our commercial platform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APPLICATIONS OF OUR TECHNOLOGY</w:t>
      </w:r>
    </w:p>
    <w:p>
      <w:pPr>
        <w:spacing w:after="0" w:line="189" w:lineRule="exact"/>
        <w:rPr>
          <w:sz w:val="20"/>
          <w:szCs w:val="20"/>
          <w:color w:val="auto"/>
        </w:rPr>
      </w:pPr>
    </w:p>
    <w:p>
      <w:pPr>
        <w:ind w:right="460" w:firstLine="349"/>
        <w:spacing w:after="0" w:line="232" w:lineRule="auto"/>
        <w:rPr>
          <w:sz w:val="20"/>
          <w:szCs w:val="20"/>
          <w:color w:val="auto"/>
        </w:rPr>
      </w:pPr>
      <w:r>
        <w:rPr>
          <w:rFonts w:ascii="Times New Roman" w:cs="Times New Roman" w:eastAsia="Times New Roman" w:hAnsi="Times New Roman"/>
          <w:sz w:val="19"/>
          <w:szCs w:val="19"/>
          <w:b w:val="1"/>
          <w:bCs w:val="1"/>
          <w:i w:val="1"/>
          <w:iCs w:val="1"/>
          <w:color w:val="auto"/>
        </w:rPr>
        <w:t>The Nautilus Voyager</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is designed to employ Iterative Mapping as an adaptable solution that leverages a wide variety of reagents to read and quantify the proteome, proteoforms, and other critical aspects of biology</w:t>
      </w:r>
    </w:p>
    <w:p>
      <w:pPr>
        <w:spacing w:after="0" w:line="159" w:lineRule="exact"/>
        <w:rPr>
          <w:sz w:val="20"/>
          <w:szCs w:val="20"/>
          <w:color w:val="auto"/>
        </w:rPr>
      </w:pPr>
    </w:p>
    <w:p>
      <w:pPr>
        <w:ind w:right="60" w:firstLine="349"/>
        <w:spacing w:after="0" w:line="247" w:lineRule="auto"/>
        <w:rPr>
          <w:sz w:val="20"/>
          <w:szCs w:val="20"/>
          <w:color w:val="auto"/>
        </w:rPr>
      </w:pPr>
      <w:r>
        <w:rPr>
          <w:rFonts w:ascii="Times New Roman" w:cs="Times New Roman" w:eastAsia="Times New Roman" w:hAnsi="Times New Roman"/>
          <w:sz w:val="19"/>
          <w:szCs w:val="19"/>
          <w:color w:val="auto"/>
        </w:rPr>
        <w:t>We believe that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represents one of the first truly novel platforms for the detection and quantitation of proteins and proteoforms by leveraging Iterative Mapping, our single protein molecule flow cell, and a broad range of affinity reagents. By design, the Nautilus Voyager platform is open to the use of virtually any affinity reagent, where each reagent can be efficiently chemically labeled and used in our multi-cycle process to identify and quantify a protein library. We further believe one of the inherent strengths of the open design of the Nautilus Voyager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135255</wp:posOffset>
            </wp:positionV>
            <wp:extent cx="6168390" cy="192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6168390" cy="192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On one end of the spectrum (above left), our technology is designed to harness the power of low specificity multi-affinity reagents that will potentially allow us to detect substantially all the proteome. On the other end of the spectrum (above right), we believe we can apply high specificity affinity reagents that detect and quantify individual target proteins of interest, and the post-translational modifications on these target proteins to detect and quantify the various proteoforms that may exist. We believe it is this inherent adaptability to different reagents that will enable a broad suite of uses for the Nautilus Voyager platform across research, discovery, translational and clinical applications. Because of this inherent flexibility, we also believe the Nautilus Voyager platform will spark the creation of new and unforeseen applications of Iterative Mapping, in a similar market expansion and innovation trend that was experienced in the years following the launch of open and flexible NGS platform technologies.</w:t>
      </w:r>
    </w:p>
    <w:p>
      <w:pPr>
        <w:spacing w:after="0" w:line="137"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The open nature of the Nautilus Voyager platform creates the opportunity to partner with third-parties on the development and supply of affinity reagents for use on our instrument.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Basic Research and Discovery Use Cases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 Discovery Potential of the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w:t>
      </w:r>
    </w:p>
    <w:p>
      <w:pPr>
        <w:spacing w:after="0" w:line="122" w:lineRule="exact"/>
        <w:rPr>
          <w:sz w:val="20"/>
          <w:szCs w:val="20"/>
          <w:color w:val="auto"/>
        </w:rPr>
      </w:pPr>
    </w:p>
    <w:p>
      <w:pPr>
        <w:ind w:right="200" w:firstLine="349"/>
        <w:spacing w:after="0" w:line="265" w:lineRule="auto"/>
        <w:rPr>
          <w:sz w:val="20"/>
          <w:szCs w:val="20"/>
          <w:color w:val="auto"/>
        </w:rPr>
      </w:pPr>
      <w:r>
        <w:rPr>
          <w:rFonts w:ascii="Times New Roman" w:cs="Times New Roman" w:eastAsia="Times New Roman" w:hAnsi="Times New Roman"/>
          <w:sz w:val="19"/>
          <w:szCs w:val="19"/>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The Nautilus Voyager platform is designed with this extreme sensitivity in mind, which we believe makes it ideally suited for capturing and cataloging the variation of the proteome in a comprehensive way, both in human and non-human species.</w:t>
      </w:r>
    </w:p>
    <w:p>
      <w:pPr>
        <w:spacing w:after="0" w:line="133"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the Nautilus Voyager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the Nautilus Voyager platform could experience a similar trajectory of utilization in research and discovery, making very large sample size studies that were not feasible using prior proteomic detection methods now practical for our customers to implement.</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880" w:h="15480" w:orient="portrait"/>
          <w:cols w:equalWidth="0" w:num="1">
            <w:col w:w="10460"/>
          </w:cols>
          <w:pgMar w:left="700" w:top="691" w:right="720" w:bottom="0" w:gutter="0" w:footer="0" w:header="0"/>
          <w:type w:val="continuous"/>
        </w:sectPr>
      </w:pPr>
    </w:p>
    <w:bookmarkStart w:id="23" w:name="page24"/>
    <w:bookmarkEnd w:id="23"/>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existing technologies and tools capable of mapping multiple features on a single protein in one analysis workflow. We believe discovery-focused proteoform specific reagents could be used in combination with our multi-affinity reagent Iterative Mapping of proteins method to enhance the output of our analyses.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Multi-Omic Systems Biology</w:t>
      </w:r>
    </w:p>
    <w:p>
      <w:pPr>
        <w:spacing w:after="0" w:line="19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believe the creation of matched DNA, RNA, protein and metabolomic data sets for integrated multi-omic (DNA, RNA, protein, and metabolite) analyses will enable a more complete understanding of the path of information transfer from gene, to transcript, to protein, to metabolites, and back. It is estimated that only 40% of protein expression can be predicted by gene expression data. Integrated multi-omic data sets with deeper and more complete proteomic data are expected to have far greater potential for revealing the mechanisms underlying this discordance, its biological origin, and ultimately its impact on cell function. By understanding this discordance, drug developers may later discover new and more effective ways to alter biology and treat disease. We expect the creation of workflows with matched NGS and proteomic data will become standard practice in the community, further driving the utility and value of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w:t>
      </w:r>
    </w:p>
    <w:p>
      <w:pPr>
        <w:spacing w:after="0" w:line="47"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Within multiomics, 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The Nautilus Voyager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the Nautilus Voyager platform into these studies to leverage matched genomic and proteomic data.</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Translational Research and Discovery Use Cases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Biomarker Discovery</w:t>
      </w:r>
    </w:p>
    <w:p>
      <w:pPr>
        <w:spacing w:after="0" w:line="191"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It has been published that approximately 95% of FDA-approved drug targets are proteins. The Human Protein Atlas collaborative research project identified that FDA-approved drugs are targeting up to 854 separate human proteins and that there are 4,906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the Nautilus Voyager platform is designed with the scale to adequately overcome the dynamic range problem in proteomics, and provide researchers with access to the rare, but biologically important protein detection where biomarkers are believed to exist. We believe the Nautilus Voyager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Proteoform Patterns as Biomarkers and Mechanism of Action Studies</w:t>
      </w:r>
    </w:p>
    <w:p>
      <w:pPr>
        <w:spacing w:after="0" w:line="191"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We believe the study of proteoform patterns, proteoform frequency, and proteoform diversity of critically important drug targets will be a widely used application of the Nautilus Voyager platform. Which drugs work on specific protein drug targets may be determined by how combinations of specific post-translational modification operate together in proteoforms.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that the study of how proteoforms contribute to disease at the molecular level will become an essential use-case for our technology. We further believe that proteoform analysis on the Nautilus Voyager platform has the potential to advance precision medicine by making an entire layer of molecular complexity and information available to researchers for the first time.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Longitudinal Monitoring of Proteome Dynamics</w:t>
      </w:r>
    </w:p>
    <w:p>
      <w:pPr>
        <w:spacing w:after="0" w:line="191" w:lineRule="exact"/>
        <w:rPr>
          <w:sz w:val="20"/>
          <w:szCs w:val="20"/>
          <w:color w:val="auto"/>
        </w:rPr>
      </w:pPr>
    </w:p>
    <w:p>
      <w:pPr>
        <w:ind w:right="640" w:firstLine="349"/>
        <w:spacing w:after="0" w:line="293" w:lineRule="auto"/>
        <w:rPr>
          <w:sz w:val="20"/>
          <w:szCs w:val="20"/>
          <w:color w:val="auto"/>
        </w:rPr>
      </w:pPr>
      <w:r>
        <w:rPr>
          <w:rFonts w:ascii="Times New Roman" w:cs="Times New Roman" w:eastAsia="Times New Roman" w:hAnsi="Times New Roman"/>
          <w:sz w:val="19"/>
          <w:szCs w:val="19"/>
          <w:color w:val="auto"/>
        </w:rPr>
        <w:t>The study of proteome composition, protein and proteoform frequency, patterns, and variations over time represents an opportunity to survey and understand the biological changes resulting from environmental factors that influence our health and</w:t>
      </w:r>
    </w:p>
    <w:p>
      <w:pPr>
        <w:sectPr>
          <w:pgSz w:w="11880" w:h="15480" w:orient="portrait"/>
          <w:cols w:equalWidth="0" w:num="1">
            <w:col w:w="10480"/>
          </w:cols>
          <w:pgMar w:left="700" w:top="691" w:right="7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880" w:h="15480" w:orient="portrait"/>
          <w:cols w:equalWidth="0" w:num="1">
            <w:col w:w="10480"/>
          </w:cols>
          <w:pgMar w:left="700" w:top="691" w:right="700" w:bottom="0" w:gutter="0" w:footer="0" w:header="0"/>
          <w:type w:val="continuous"/>
        </w:sectPr>
      </w:pPr>
    </w:p>
    <w:bookmarkStart w:id="24" w:name="page25"/>
    <w:bookmarkEnd w:id="24"/>
    <w:p>
      <w:pPr>
        <w:ind w:right="20"/>
        <w:spacing w:after="0" w:line="259" w:lineRule="auto"/>
        <w:rPr>
          <w:sz w:val="20"/>
          <w:szCs w:val="20"/>
          <w:color w:val="auto"/>
        </w:rPr>
      </w:pPr>
      <w:r>
        <w:rPr>
          <w:rFonts w:ascii="Times New Roman" w:cs="Times New Roman" w:eastAsia="Times New Roman" w:hAnsi="Times New Roman"/>
          <w:sz w:val="19"/>
          <w:szCs w:val="19"/>
          <w:color w:val="auto"/>
        </w:rPr>
        <w:t>wellness. Individual or small panel protein surveillance tools have existed in the healthcare market for decades using traditional assay methods across a range of biospecimens, all of which have the same inherent limitations as those in the research space. Also, cell-free nucleic acid methods have emerged recently as amongst the first oncological molecular surveillance tools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protein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Diagnostics, Clinical Research and Drug Development Use Cases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Transitioning from Discovery into Clinical Application</w:t>
      </w:r>
    </w:p>
    <w:p>
      <w:pPr>
        <w:spacing w:after="0" w:line="191"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We believe one of the largest and most impactful uses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378" w:lineRule="exact"/>
        <w:rPr>
          <w:sz w:val="20"/>
          <w:szCs w:val="20"/>
          <w:color w:val="auto"/>
        </w:rPr>
      </w:pPr>
    </w:p>
    <w:p>
      <w:pPr>
        <w:ind w:right="40" w:firstLine="349"/>
        <w:spacing w:after="0" w:line="250" w:lineRule="auto"/>
        <w:rPr>
          <w:sz w:val="20"/>
          <w:szCs w:val="20"/>
          <w:color w:val="auto"/>
        </w:rPr>
      </w:pPr>
      <w:r>
        <w:rPr>
          <w:rFonts w:ascii="Times New Roman" w:cs="Times New Roman" w:eastAsia="Times New Roman" w:hAnsi="Times New Roman"/>
          <w:sz w:val="19"/>
          <w:szCs w:val="19"/>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to continue to advance these applications and methods of proteoform pattern biomarker detection from discovery all the way through to future diagnostics using our technology. As we work to build evidence with our customers and partners on the utility of new proteoform patterns as translational and clinical biomarkers, we believe such applications of the Nautilus Voyager platform could have a profound impact on precision medicine.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Precision Medicine Development &amp; Clinical Trial Support</w:t>
      </w:r>
    </w:p>
    <w:p>
      <w:pPr>
        <w:spacing w:after="0" w:line="191"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We believe there is tremendous demand for broadscale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the Nautilus Voyager platform.</w:t>
      </w:r>
    </w:p>
    <w:p>
      <w:pPr>
        <w:spacing w:after="0" w:line="136"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first expect adoption of the Nautilus Voyager platform could occur in the preclinical and clinical retrospective settings, where we believe single-molecule proteomic and proteoform composition and frequency data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44"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the Nautilus Voyager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the Nautilus Voyager platform design is ideally suited for the quality, stability, and speed required to fully</w:t>
      </w:r>
    </w:p>
    <w:p>
      <w:pPr>
        <w:sectPr>
          <w:pgSz w:w="11880" w:h="15480" w:orient="portrait"/>
          <w:cols w:equalWidth="0" w:num="1">
            <w:col w:w="10480"/>
          </w:cols>
          <w:pgMar w:left="700" w:top="691" w:right="700" w:bottom="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880" w:h="15480" w:orient="portrait"/>
          <w:cols w:equalWidth="0" w:num="1">
            <w:col w:w="10480"/>
          </w:cols>
          <w:pgMar w:left="700" w:top="691" w:right="700" w:bottom="0" w:gutter="0" w:footer="0" w:header="0"/>
          <w:type w:val="continuous"/>
        </w:sectPr>
      </w:pPr>
    </w:p>
    <w:bookmarkStart w:id="25" w:name="page26"/>
    <w:bookmarkEnd w:id="25"/>
    <w:p>
      <w:pPr>
        <w:ind w:right="120"/>
        <w:spacing w:after="0" w:line="293" w:lineRule="auto"/>
        <w:rPr>
          <w:sz w:val="20"/>
          <w:szCs w:val="20"/>
          <w:color w:val="auto"/>
        </w:rPr>
      </w:pPr>
      <w:r>
        <w:rPr>
          <w:rFonts w:ascii="Times New Roman" w:cs="Times New Roman" w:eastAsia="Times New Roman" w:hAnsi="Times New Roman"/>
          <w:sz w:val="19"/>
          <w:szCs w:val="19"/>
          <w:color w:val="auto"/>
        </w:rPr>
        <w:t>realize the value of accessing deep proteomic profiling data to identify biomarkers that stratify patients for clinical trials and improve drug development.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PRODUCTS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196" w:lineRule="exact"/>
        <w:rPr>
          <w:sz w:val="20"/>
          <w:szCs w:val="20"/>
          <w:color w:val="auto"/>
        </w:rPr>
      </w:pPr>
    </w:p>
    <w:p>
      <w:pPr>
        <w:ind w:right="120" w:firstLine="349"/>
        <w:spacing w:after="0" w:line="250" w:lineRule="auto"/>
        <w:rPr>
          <w:sz w:val="20"/>
          <w:szCs w:val="20"/>
          <w:color w:val="auto"/>
        </w:rPr>
      </w:pPr>
      <w:r>
        <w:rPr>
          <w:rFonts w:ascii="Times New Roman" w:cs="Times New Roman" w:eastAsia="Times New Roman" w:hAnsi="Times New Roman"/>
          <w:sz w:val="19"/>
          <w:szCs w:val="19"/>
          <w:color w:val="auto"/>
        </w:rPr>
        <w:t>Our primary business model is anticipated to be focused on the commercialization of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through the sale of instrumentation, reagents and consumables, software and services. As shown in the diagram below, our platform includes the Nautilus Voyager instrument at the center of our product suite, supported by consumables for the preparation and analysis of proteins, and followed by sophisticated machine learning software architecture for the analysis and reporting of our data in the cloud. Our fundamental positioning is that the Nautilus Voyager platform, based on the new measurement method of Iterative Mapping, enables an expanding capability of Iterative Mapping based applications. The value of our platform grows with the number of applications, starting with Tau proteoforms with planned releases of Broadscale, expansion into additional targeted proteoforms and other new Iterative Mapping applications.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Enabling Iterative Mapping Applications using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114935</wp:posOffset>
            </wp:positionV>
            <wp:extent cx="6123940" cy="3218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6123940"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Instrument</w:t>
      </w:r>
    </w:p>
    <w:p>
      <w:pPr>
        <w:spacing w:after="0" w:line="12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The Nautilus Voyager instrument is a high-resolution optical imaging system coupled with integrated fluidics and liquid handling sub-systems. The instrument is designed to deposit protein libraries onto a flow cell and to process labeled multi-affinity reagent binding and imaging cycles rapidly in order to decode and quantify the vast majority of proteins present in biological samples. After the reagent kits, samples (protein libraries), and flow cells are loaded onto the instrument, the remainder of the workflow is automated.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Consumables</w:t>
      </w:r>
    </w:p>
    <w:p>
      <w:pPr>
        <w:spacing w:after="0" w:line="196"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auto"/>
        </w:rPr>
        <w:t>Our consumables are comprised of four main components: single-molecule library preparation kits, flow cell(s), affinity reagents, and instrument run buffers used to perform multi-cycle analysis runs.</w:t>
      </w:r>
    </w:p>
    <w:p>
      <w:pPr>
        <w:spacing w:after="0" w:line="107"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Our proprietary library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880" w:h="15480" w:orient="portrait"/>
          <w:cols w:equalWidth="0" w:num="1">
            <w:col w:w="10460"/>
          </w:cols>
          <w:pgMar w:left="700" w:top="691" w:right="720" w:bottom="0" w:gutter="0" w:footer="0" w:header="0"/>
          <w:type w:val="continuous"/>
        </w:sectPr>
      </w:pPr>
    </w:p>
    <w:bookmarkStart w:id="26" w:name="page27"/>
    <w:bookmarkEnd w:id="26"/>
    <w:p>
      <w:pPr>
        <w:ind w:right="160" w:firstLine="349"/>
        <w:spacing w:after="0" w:line="245" w:lineRule="auto"/>
        <w:rPr>
          <w:sz w:val="20"/>
          <w:szCs w:val="20"/>
          <w:color w:val="auto"/>
        </w:rPr>
      </w:pPr>
      <w:r>
        <w:rPr>
          <w:rFonts w:ascii="Times New Roman" w:cs="Times New Roman" w:eastAsia="Times New Roman" w:hAnsi="Times New Roman"/>
          <w:sz w:val="19"/>
          <w:szCs w:val="19"/>
          <w:color w:val="auto"/>
        </w:rPr>
        <w:t>In an effort to provide maximum flexibility, our initial flow cell design includes four physically separated and independent fluid channels, or “lanes,” such that a customer can introduce a unique biological sample into each lane for multi-cycle analysis.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instrument is designed to hold and concurrently analyze up to three flow cells in a single run, for a total of 12 lanes. Additional sample throughput may also be achieved by the use of a molecular barcode in our consumables kits that will enable the multiplexing of more than one barcoded sample library together within a single lane for analysis in the future.</w:t>
      </w:r>
    </w:p>
    <w:p>
      <w:pPr>
        <w:spacing w:after="0" w:line="154" w:lineRule="exact"/>
        <w:rPr>
          <w:sz w:val="20"/>
          <w:szCs w:val="20"/>
          <w:color w:val="auto"/>
        </w:rPr>
      </w:pPr>
    </w:p>
    <w:p>
      <w:pPr>
        <w:ind w:right="100" w:firstLine="349"/>
        <w:spacing w:after="0" w:line="261" w:lineRule="auto"/>
        <w:rPr>
          <w:sz w:val="20"/>
          <w:szCs w:val="20"/>
          <w:color w:val="auto"/>
        </w:rPr>
      </w:pPr>
      <w:r>
        <w:rPr>
          <w:rFonts w:ascii="Times New Roman" w:cs="Times New Roman" w:eastAsia="Times New Roman" w:hAnsi="Times New Roman"/>
          <w:sz w:val="19"/>
          <w:szCs w:val="19"/>
          <w:color w:val="auto"/>
        </w:rPr>
        <w:t>Affinity reagents will also be included as a reagent kit. Kits will be offered in configurations that cover a catalog of proteomic content. We intend to supply a standardized set of multi-affinity reagents for the broadscale detection of proteins, or “proteome kits,” as well as protein-specific or proteoform-specific kits, or “targeted proteoform kits,” focused on high interest protein targets in key disease areas. Other elements of the platform remain the same for both applications, where it is simply a matter of running different types of affinity reagents for each application. Broadscale proteomics is intended to enable large-scale interrogation of canonical proteins across biological states using proprietary multi-affinity reagents and targeted proteoform analysis is intended to resolve specific protein forms, modifications, and variants that are not accessible using existing proteomics methods using reagents based on commercially available antibodies.</w:t>
      </w:r>
    </w:p>
    <w:p>
      <w:pPr>
        <w:spacing w:after="0" w:line="137" w:lineRule="exact"/>
        <w:rPr>
          <w:sz w:val="20"/>
          <w:szCs w:val="20"/>
          <w:color w:val="auto"/>
        </w:rPr>
      </w:pPr>
    </w:p>
    <w:p>
      <w:pPr>
        <w:ind w:right="60" w:firstLine="398"/>
        <w:spacing w:after="0" w:line="293" w:lineRule="auto"/>
        <w:rPr>
          <w:sz w:val="20"/>
          <w:szCs w:val="20"/>
          <w:color w:val="auto"/>
        </w:rPr>
      </w:pPr>
      <w:r>
        <w:rPr>
          <w:rFonts w:ascii="Times New Roman" w:cs="Times New Roman" w:eastAsia="Times New Roman" w:hAnsi="Times New Roman"/>
          <w:sz w:val="19"/>
          <w:szCs w:val="19"/>
          <w:color w:val="auto"/>
        </w:rPr>
        <w:t>Additionally, custom affinity reagent labeling kits are expected to be supplied in the future to enable customers to label their own in-house developed or purchased affinity reagents to be compatible with Nautilus workflows for use on the system.</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Software &amp; Analysis</w:t>
      </w:r>
    </w:p>
    <w:p>
      <w:pPr>
        <w:spacing w:after="0" w:line="196"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reagent binding profiles are refined and trained across a growing database. We expect our software enhancements in performance will also be accessible to customers who wish to re-analyze prior run data with later versions to deliver new insight and discovery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SALES &amp; MARKETING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Commercial Strategy</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Our commercial strategy is designed to support a phased transition from early customer access to full platform commercialization, while establishing Iterative Mapping as a new measurement class in proteomics. We are currently executing the initial stages of this strategy through our Early Access Program, which reflects our growing confidence in the performance, robustness, and scientific value of Nautilus Voyager platform based on successful collaborations over the past year. Our long-term business model is centered on the direct commercialization of an integrated, end-to-end Nautilus Voyager platform, consisting of our proteome analysis system, consumable reagent kits and flow cells, cloud-based software and analytics, and associated services. We expect this model to generate revenue through a combination of fee-for-service offerings, instrument sales, recurring consumables, software subscriptions, and service and support arrangements. We believe this integrated approach enables us to deliver a compelling value proposition by substantially improving the scale, sensitivity, reproducibility, and interpretability of proteomic data.</w:t>
      </w:r>
    </w:p>
    <w:p>
      <w:pPr>
        <w:spacing w:after="0" w:line="141"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At our current stage, we are prioritizing controlled market entry through service-based access and limited system exposure rather than broad instrument deployment. This approach allows us to standardize early applications, refine workflows, and ensure a high-quality customer experience while continuing to build scientific evidence and reference datasets. Over time, we expect this strategy to support a smooth transition to broader instrument placements and recurring consumables and software revenue as the platform matures. We are initially focused on customers with established expertise in proteomics and strong research budgets, including laboratories within large pharmaceutical and biotechnology companies, academic research institutions, and multi-omics research centers. Many of these customers already utilize mass spectrometry, next-generation sequencing, or affinity-based technologies, and are seeking new tools that overcome the limitations of existing approaches. As adoption grows within these segments, we believe the Nautilus Voyager platform is well positioned to expand into translational and, over time, clinical research settings, including pharmaceutical clinical development groups, contract research organizations, and eventually diagnostic laboratories.</w:t>
      </w:r>
    </w:p>
    <w:p>
      <w:pPr>
        <w:spacing w:after="0" w:line="137"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Our pricing strategy is designed to be consistent with existing capital equipment budgets for high-end mass spectrometry platforms. We expect consumables to be priced to reflect the value of comprehensive proteome and proteoform analysis, with ongoing improvements in multiplexing and throughput expected to reduce cost per sample over time. We believe these economics will support large-scale proteomics and multi-omics studies and enable centralized core laboratory use cases. Given the novel nature of Iterative Mapping and single-molecule proteomics, peer-reviewed publications and externally validated biological insights are a critical component of our commercial strategy. Publications, presentations, and customer references generated through collaborations and the Early Access Program are key indicators of platform adoption and credibility. We expect to continue investing in internal and external research efforts to accelerate the pace of high-quality scientific output before and after full commercial launch.</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880" w:h="15480" w:orient="portrait"/>
          <w:cols w:equalWidth="0" w:num="1">
            <w:col w:w="10480"/>
          </w:cols>
          <w:pgMar w:left="700" w:top="691" w:right="700" w:bottom="0" w:gutter="0" w:footer="0" w:header="0"/>
          <w:type w:val="continuous"/>
        </w:sectPr>
      </w:pPr>
    </w:p>
    <w:bookmarkStart w:id="27" w:name="page28"/>
    <w:bookmarkEnd w:id="27"/>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Go-To-Market Strategy</w:t>
      </w:r>
    </w:p>
    <w:p>
      <w:pPr>
        <w:spacing w:after="0" w:line="196"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Our go-to-market strategy is designed to support the introduction and adoption of Iterative Mapping as a new measurement class in proteomics through a phased, evidence-driven approach. We are currently operating in the Early Access Program stage of this strategy, while continuing to build on and expand our collaborations and partnerships with leading academic and biopharmaceutical organizations. Recognizing that Iterative Mapping represents a significant departure from existing proteomics technologies, we have prioritized early market engagement that emphasizes scientific validation, application development, and operational readiness. Rather than pursuing immediate broad instrument deployment, our strategy focuses on controlled access, standardized early applications, and close collaboration with customers to ensure a high-quality user experience and robust scientific outcomes.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Go-to-market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158750</wp:posOffset>
            </wp:positionV>
            <wp:extent cx="6123940" cy="320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123940" cy="320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Collaborations and Partnerships</w:t>
      </w:r>
    </w:p>
    <w:p>
      <w:pPr>
        <w:spacing w:after="0" w:line="191" w:lineRule="exact"/>
        <w:rPr>
          <w:sz w:val="20"/>
          <w:szCs w:val="20"/>
          <w:color w:val="auto"/>
        </w:rPr>
      </w:pPr>
    </w:p>
    <w:p>
      <w:pPr>
        <w:ind w:firstLine="349"/>
        <w:spacing w:after="0" w:line="264" w:lineRule="auto"/>
        <w:rPr>
          <w:sz w:val="20"/>
          <w:szCs w:val="20"/>
          <w:color w:val="auto"/>
        </w:rPr>
      </w:pPr>
      <w:r>
        <w:rPr>
          <w:rFonts w:ascii="Times New Roman" w:cs="Times New Roman" w:eastAsia="Times New Roman" w:hAnsi="Times New Roman"/>
          <w:sz w:val="19"/>
          <w:szCs w:val="19"/>
          <w:color w:val="auto"/>
        </w:rPr>
        <w:t>Collaborations and partnerships remain a foundational element of our go-to-market approach. We continue to work closely with select academic institutions, biopharmaceutical companies, and research organizations to generate high-quality biological data, validate platform performance, and demonstrate the unique capabilities of Iterative Mapping across a range of biological contexts. These collaborations serve multiple strategic objectives: they support peer-reviewed publications and presentations, inform application prioritization, provide real-world feedback on workflows and system performance, and help establish credibility within the scientific community. We believe ongoing collaboration alongside the Early Access Program is critical to sustaining scientific momentum and expanding awareness of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as it moves toward broader commercialization.</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Early Access Program</w:t>
      </w:r>
    </w:p>
    <w:p>
      <w:pPr>
        <w:spacing w:after="0" w:line="191"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Building on the scientific and technical foundation established through our collaborations, we launched the Nautilus Iterative Mapping Early Access Program in January 2026. The Early Access Program provides select customers with access to Iterative Mapping through fee-for-service offerings delivered by Nautilus Proteomics Analysis Services. The initial application offered through this program is the Nautilus Tau Proteoforms assay, which is designed to enable quantitative analysis of tau proteoforms that are not readily accessible using existing proteomics methods. The Early Access Program is designed to broaden access to Iterative Mapping beyond our initial collaborators while maintaining a controlled and standardized deployment of the platform. Through this program, customers are able to conduct proof-of-concept and pilot studies, generate quality datasets, and evaluate the potential applicability of Iterative Mapping to their research objectives. In parallel, we expect Early Access engagements to support the development of reference datasets and use cases that may inform broader adoption of the Nautilus Voyager platform over time.</w:t>
      </w:r>
    </w:p>
    <w:p>
      <w:pPr>
        <w:spacing w:after="0" w:line="141"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auto"/>
        </w:rPr>
        <w:t>In addition to the initial Tau Proteoforms assay, we expect the Early Access Program to serve as a framework for the introduction and evaluation of additional Iterative Mapping–based applications. These may include new targeted assays as well as other workflows intended to explore the broader platform capabilities. The timing, scope, and availability of additional applications will depend on</w:t>
      </w:r>
    </w:p>
    <w:p>
      <w:pPr>
        <w:sectPr>
          <w:pgSz w:w="11880" w:h="15480" w:orient="portrait"/>
          <w:cols w:equalWidth="0" w:num="1">
            <w:col w:w="10460"/>
          </w:cols>
          <w:pgMar w:left="700" w:top="684" w:right="720" w:bottom="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880" w:h="15480" w:orient="portrait"/>
          <w:cols w:equalWidth="0" w:num="1">
            <w:col w:w="10460"/>
          </w:cols>
          <w:pgMar w:left="700" w:top="684" w:right="720" w:bottom="0" w:gutter="0" w:footer="0" w:header="0"/>
          <w:type w:val="continuous"/>
        </w:sectPr>
      </w:pPr>
    </w:p>
    <w:bookmarkStart w:id="28" w:name="page29"/>
    <w:bookmarkEnd w:id="28"/>
    <w:p>
      <w:pPr>
        <w:ind w:right="40"/>
        <w:spacing w:after="0" w:line="246" w:lineRule="auto"/>
        <w:rPr>
          <w:sz w:val="20"/>
          <w:szCs w:val="20"/>
          <w:color w:val="auto"/>
        </w:rPr>
      </w:pPr>
      <w:r>
        <w:rPr>
          <w:rFonts w:ascii="Times New Roman" w:cs="Times New Roman" w:eastAsia="Times New Roman" w:hAnsi="Times New Roman"/>
          <w:sz w:val="19"/>
          <w:szCs w:val="19"/>
          <w:color w:val="auto"/>
        </w:rPr>
        <w:t>ongoing technical development, customer feedback, and operational readiness. Engagements under the Early Access Program are also intended to allow us to continue refining system performance, workflows, software, and customer support processes in real-world research environments. We believe participants in the Early Access Program, together with our collaborators, may serve as reference sites and contributors to application development, supporting broader awareness and adoption of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in advance of broader commercial availability.</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Transition to Platform Launch and Commercial Scale</w:t>
      </w:r>
    </w:p>
    <w:p>
      <w:pPr>
        <w:spacing w:after="0" w:line="191"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As we progress through the Early Access Program, we are preparing for broader commercial availability of the Nautilus Voyager platform and the introduction of Iterative Mapping into routine customer use. Insights gained through collaborations and Early Access engagements are expected to inform final system configuration, application prioritization, workflow design, and customer support infrastructure as we move toward commercialization. Initial customer access to the platform during this phase is expected to continue through Nautilus Proteomics Analysis Services, in which sample analysis is performed at our facility and results are delivered to customers through a cloud-based platform. We do not anticipate that Early Access activities will result in material revenue.</w:t>
      </w:r>
    </w:p>
    <w:p>
      <w:pPr>
        <w:spacing w:after="0" w:line="136"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Our initial commercial model is expected to continue incorporating Nautilus Proteomics Analysis Services alongside instrument placements. Service offerings are intended to support customer evaluation, enable early use cases, and facilitate onboarding and expansion within customer organizations, while also allowing us to maintain quality control and accumulate additional application data during the early phases of market adoption.</w:t>
      </w:r>
    </w:p>
    <w:p>
      <w:pPr>
        <w:spacing w:after="0" w:line="131"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We plan to initiate our commercial launch in late 2026 by opening the Nautilus Voyager platform for pre-orders, with instrument installations at customer sites expected to begin in early 2027. At launch, we expect general availability to include the Voyager instrument, the Tau proteoforms assay, and a second targeted proteoform assay. We anticipate general availability of Broadscale proteomics capabilities in the first half of 2027 as we continue expanding the platform’s assay portfolio. Our first generally available broadscale consumable kits are designed to deliver strong baseline performance, with subsequent releases expected to further expand capabilities over time.</w:t>
      </w:r>
    </w:p>
    <w:p>
      <w:pPr>
        <w:spacing w:after="0" w:line="136"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Consistent with our overall go-to-market strategy, commercialization is expected to follow a land-and-expand model. Customers may initially adopt the platform through a targeted application aligned with a specific biological question and subsequently expand usage across additional applications, including both targeted proteoform analysis and broadscale proteomics workflows, depending on their research priorities. We believe providing multiple application entry points on a single extensible platform may support deeper adoption within customer organizations over time.</w:t>
      </w:r>
    </w:p>
    <w:p>
      <w:pPr>
        <w:spacing w:after="0" w:line="133" w:lineRule="exact"/>
        <w:rPr>
          <w:sz w:val="20"/>
          <w:szCs w:val="20"/>
          <w:color w:val="auto"/>
        </w:rPr>
      </w:pPr>
    </w:p>
    <w:p>
      <w:pPr>
        <w:ind w:right="320" w:firstLine="349"/>
        <w:spacing w:after="0" w:line="263" w:lineRule="auto"/>
        <w:rPr>
          <w:sz w:val="20"/>
          <w:szCs w:val="20"/>
          <w:color w:val="auto"/>
        </w:rPr>
      </w:pPr>
      <w:r>
        <w:rPr>
          <w:rFonts w:ascii="Times New Roman" w:cs="Times New Roman" w:eastAsia="Times New Roman" w:hAnsi="Times New Roman"/>
          <w:sz w:val="19"/>
          <w:szCs w:val="19"/>
          <w:color w:val="auto"/>
        </w:rPr>
        <w:t>We initially expect to commercialize in North America, with international expansion anticipated as adoption grows and commercial readiness increases. Our commercialization approach is expected to include direct sales in the United States and a combination of direct and distributor relationships in selected international markets. Given our stage of development, we currently have limited commercial infrastructure and intend to build the necessary sales, marketing, distribution, service, and support capabilities in phases across the United States, Europe, the United Kingdom, and potentially Asia-Pacific as we execute our commercialization strategy.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Partnerships</w:t>
      </w:r>
    </w:p>
    <w:p>
      <w:pPr>
        <w:spacing w:after="0" w:line="19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We have established and continue to expand a set of strategic research collaborations with leading biopharmaceutical companies and academic research institutions to validate the performance of our platform, generate high-quality biological data, and demonstrate the ability of Iterative Mapping to uncover novel proteoform-level insights. These collaborations have played, and continue to play, a central role in advancing our technology, shaping early applications, and building scientific and commercial momentum as we progress through the Early Access Program phase of commercialization.</w:t>
      </w:r>
    </w:p>
    <w:p>
      <w:pPr>
        <w:spacing w:after="0" w:line="133"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 December 2020, we entered into a research collaboration agreement with Genentech to conduct a pilot study investigating proteoforms of the Tau protein, a key biomarker associated with neurodegenerative disease. This collaboration represented one of the first external validations of our platform’s potential to characterize proteoform complexity at single-molecule resolution. In February 2025, we entered into a research collaboration with The Buck Institute for Research on Aging, under which the Nautilus Voyager platform is being used across multiple projects focused on proteoform analysis of the Tau protein. In July 2025, we entered into an agreement with the Allen Institute focused on investigating the connection between the tau protein and neurodegenerative conditions such as Alzheimer’s disease. More recently, in January 2026, we initiated a research collaboration with The Michael J. Fox Foundation for Parkinson’s Research (MJFF) and Weill Cornell Medicine–Qatar, a partnership between Cornell University and the Qatar Foundation (WCM-Q), supported by a research grant from MJFF, to develop a single-molecule assay to measure proteoforms of alpha-synuclein, a protein strongly implicated in Parkinson’s disease. This collaboration leverages expertise in neurodegenerative disease biology, chemical biology, and affinity reagent development and extends our Iterative Mapping approach to an additional neurodegenerative disease target beyond Tau.</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ectPr>
          <w:pgSz w:w="11880" w:h="15480" w:orient="portrait"/>
          <w:cols w:equalWidth="0" w:num="1">
            <w:col w:w="10440"/>
          </w:cols>
          <w:pgMar w:left="700" w:top="691" w:right="740" w:bottom="0" w:gutter="0" w:footer="0" w:header="0"/>
          <w:type w:val="continuous"/>
        </w:sectPr>
      </w:pPr>
    </w:p>
    <w:bookmarkStart w:id="29" w:name="page30"/>
    <w:bookmarkEnd w:id="29"/>
    <w:p>
      <w:pPr>
        <w:ind w:firstLine="349"/>
        <w:spacing w:after="0" w:line="272" w:lineRule="auto"/>
        <w:rPr>
          <w:sz w:val="20"/>
          <w:szCs w:val="20"/>
          <w:color w:val="auto"/>
        </w:rPr>
      </w:pPr>
      <w:r>
        <w:rPr>
          <w:rFonts w:ascii="Times New Roman" w:cs="Times New Roman" w:eastAsia="Times New Roman" w:hAnsi="Times New Roman"/>
          <w:sz w:val="19"/>
          <w:szCs w:val="19"/>
          <w:color w:val="auto"/>
        </w:rPr>
        <w:t>Collectively, these collaborations are consistent with and continue to advance the objectives of our go-to-market strategy by generating peer-reviewed publications, reference datasets, and application-specific validation of our platform. We believe the scientific credibility, biological insights, and customer relationships established through these engagements directly support the expansion of our Early Access Program and lay the groundwork for broader commercial adoption of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Commercial Organization</w:t>
      </w:r>
    </w:p>
    <w:p>
      <w:pPr>
        <w:spacing w:after="0" w:line="196"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We intend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 AND SUPPLY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Reagent and Flow Cell Consumables</w:t>
      </w:r>
    </w:p>
    <w:p>
      <w:pPr>
        <w:spacing w:after="0" w:line="196"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We have designed and sourced our consumables primarily from third-party suppliers. While some of these components are sourced from a single supplier, we have identified or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 w:cs="Times New Roman" w:eastAsia="Times New Roman" w:hAnsi="Times New Roman"/>
          <w:sz w:val="19"/>
          <w:szCs w:val="19"/>
          <w:b w:val="1"/>
          <w:bCs w:val="1"/>
          <w:i w:val="1"/>
          <w:iCs w:val="1"/>
          <w:color w:val="auto"/>
        </w:rPr>
        <w:t>Risk Factors— Risks Related to our Business.</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Instrumentation</w:t>
      </w:r>
    </w:p>
    <w:p>
      <w:pPr>
        <w:spacing w:after="0" w:line="196"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The Nautilus Voyager instrument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Illumina, Inc. (through its acquisition of the former Somalogic business from Standard Biotools, Inc.).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37"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96"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w:t>
      </w:r>
    </w:p>
    <w:p>
      <w:pPr>
        <w:sectPr>
          <w:pgSz w:w="11880" w:h="15480" w:orient="portrait"/>
          <w:cols w:equalWidth="0" w:num="1">
            <w:col w:w="10460"/>
          </w:cols>
          <w:pgMar w:left="700" w:top="691" w:right="720" w:bottom="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880" w:h="15480" w:orient="portrait"/>
          <w:cols w:equalWidth="0" w:num="1">
            <w:col w:w="10460"/>
          </w:cols>
          <w:pgMar w:left="700" w:top="691" w:right="720" w:bottom="0" w:gutter="0" w:footer="0" w:header="0"/>
          <w:type w:val="continuous"/>
        </w:sectPr>
      </w:pPr>
    </w:p>
    <w:bookmarkStart w:id="30" w:name="page31"/>
    <w:bookmarkEnd w:id="30"/>
    <w:p>
      <w:pPr>
        <w:ind w:left="1"/>
        <w:spacing w:after="0" w:line="265" w:lineRule="auto"/>
        <w:rPr>
          <w:sz w:val="20"/>
          <w:szCs w:val="20"/>
          <w:color w:val="auto"/>
        </w:rPr>
      </w:pPr>
      <w:r>
        <w:rPr>
          <w:rFonts w:ascii="Times New Roman" w:cs="Times New Roman" w:eastAsia="Times New Roman" w:hAnsi="Times New Roman"/>
          <w:sz w:val="19"/>
          <w:szCs w:val="19"/>
          <w:color w:val="auto"/>
        </w:rPr>
        <w:t>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33" w:lineRule="exact"/>
        <w:rPr>
          <w:sz w:val="20"/>
          <w:szCs w:val="20"/>
          <w:color w:val="auto"/>
        </w:rPr>
      </w:pPr>
    </w:p>
    <w:p>
      <w:pPr>
        <w:ind w:left="1" w:right="20" w:firstLine="349"/>
        <w:spacing w:after="0" w:line="262" w:lineRule="auto"/>
        <w:rPr>
          <w:sz w:val="20"/>
          <w:szCs w:val="20"/>
          <w:color w:val="auto"/>
        </w:rPr>
      </w:pPr>
      <w:r>
        <w:rPr>
          <w:rFonts w:ascii="Times New Roman" w:cs="Times New Roman" w:eastAsia="Times New Roman" w:hAnsi="Times New Roman"/>
          <w:sz w:val="19"/>
          <w:szCs w:val="19"/>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6" w:lineRule="exact"/>
        <w:rPr>
          <w:sz w:val="20"/>
          <w:szCs w:val="20"/>
          <w:color w:val="auto"/>
        </w:rPr>
      </w:pPr>
    </w:p>
    <w:p>
      <w:pPr>
        <w:ind w:left="1" w:right="40" w:firstLine="349"/>
        <w:spacing w:after="0" w:line="259" w:lineRule="auto"/>
        <w:rPr>
          <w:sz w:val="20"/>
          <w:szCs w:val="20"/>
          <w:color w:val="auto"/>
        </w:rPr>
      </w:pPr>
      <w:r>
        <w:rPr>
          <w:rFonts w:ascii="Times New Roman" w:cs="Times New Roman" w:eastAsia="Times New Roman" w:hAnsi="Times New Roman"/>
          <w:sz w:val="19"/>
          <w:szCs w:val="19"/>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4" w:lineRule="exact"/>
        <w:rPr>
          <w:sz w:val="20"/>
          <w:szCs w:val="20"/>
          <w:color w:val="auto"/>
        </w:rPr>
      </w:pPr>
    </w:p>
    <w:p>
      <w:pPr>
        <w:ind w:left="1" w:right="80" w:firstLine="349"/>
        <w:spacing w:after="0" w:line="261" w:lineRule="auto"/>
        <w:rPr>
          <w:sz w:val="20"/>
          <w:szCs w:val="20"/>
          <w:color w:val="auto"/>
        </w:rPr>
      </w:pPr>
      <w:r>
        <w:rPr>
          <w:rFonts w:ascii="Times New Roman" w:cs="Times New Roman" w:eastAsia="Times New Roman" w:hAnsi="Times New Roman"/>
          <w:sz w:val="19"/>
          <w:szCs w:val="19"/>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7" w:lineRule="exact"/>
        <w:rPr>
          <w:sz w:val="20"/>
          <w:szCs w:val="20"/>
          <w:color w:val="auto"/>
        </w:rPr>
      </w:pPr>
    </w:p>
    <w:p>
      <w:pPr>
        <w:ind w:left="1" w:right="40" w:firstLine="349"/>
        <w:spacing w:after="0" w:line="258" w:lineRule="auto"/>
        <w:rPr>
          <w:sz w:val="20"/>
          <w:szCs w:val="20"/>
          <w:color w:val="auto"/>
        </w:rPr>
      </w:pPr>
      <w:r>
        <w:rPr>
          <w:rFonts w:ascii="Times New Roman" w:cs="Times New Roman" w:eastAsia="Times New Roman" w:hAnsi="Times New Roman"/>
          <w:sz w:val="19"/>
          <w:szCs w:val="19"/>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w:t>
      </w:r>
    </w:p>
    <w:p>
      <w:pPr>
        <w:spacing w:after="0" w:line="3" w:lineRule="exact"/>
        <w:rPr>
          <w:sz w:val="20"/>
          <w:szCs w:val="20"/>
          <w:color w:val="auto"/>
        </w:rPr>
      </w:pPr>
    </w:p>
    <w:p>
      <w:pPr>
        <w:jc w:val="both"/>
        <w:ind w:left="1" w:right="80" w:hanging="1"/>
        <w:spacing w:after="0" w:line="263" w:lineRule="auto"/>
        <w:tabs>
          <w:tab w:leader="none" w:pos="17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5" w:lineRule="exact"/>
        <w:rPr>
          <w:sz w:val="20"/>
          <w:szCs w:val="20"/>
          <w:color w:val="auto"/>
        </w:rPr>
      </w:pPr>
    </w:p>
    <w:p>
      <w:pPr>
        <w:ind w:left="1" w:right="20" w:firstLine="349"/>
        <w:spacing w:after="0" w:line="260" w:lineRule="auto"/>
        <w:rPr>
          <w:sz w:val="20"/>
          <w:szCs w:val="20"/>
          <w:color w:val="auto"/>
        </w:rPr>
      </w:pPr>
      <w:r>
        <w:rPr>
          <w:rFonts w:ascii="Times New Roman" w:cs="Times New Roman" w:eastAsia="Times New Roman" w:hAnsi="Times New Roman"/>
          <w:sz w:val="19"/>
          <w:szCs w:val="19"/>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7" w:lineRule="exact"/>
        <w:rPr>
          <w:sz w:val="20"/>
          <w:szCs w:val="20"/>
          <w:color w:val="auto"/>
        </w:rPr>
      </w:pPr>
    </w:p>
    <w:p>
      <w:pPr>
        <w:ind w:left="1" w:right="20" w:firstLine="349"/>
        <w:spacing w:after="0" w:line="293" w:lineRule="auto"/>
        <w:rPr>
          <w:sz w:val="20"/>
          <w:szCs w:val="20"/>
          <w:color w:val="auto"/>
        </w:rPr>
      </w:pPr>
      <w:r>
        <w:rPr>
          <w:rFonts w:ascii="Times New Roman" w:cs="Times New Roman" w:eastAsia="Times New Roman" w:hAnsi="Times New Roman"/>
          <w:sz w:val="19"/>
          <w:szCs w:val="19"/>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w:t>
      </w:r>
    </w:p>
    <w:p>
      <w:pPr>
        <w:sectPr>
          <w:pgSz w:w="11880" w:h="15480" w:orient="portrait"/>
          <w:cols w:equalWidth="0" w:num="1">
            <w:col w:w="10481"/>
          </w:cols>
          <w:pgMar w:left="699" w:top="691" w:right="7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880" w:h="15480" w:orient="portrait"/>
          <w:cols w:equalWidth="0" w:num="1">
            <w:col w:w="10481"/>
          </w:cols>
          <w:pgMar w:left="699" w:top="691" w:right="700" w:bottom="0" w:gutter="0" w:footer="0" w:header="0"/>
          <w:type w:val="continuous"/>
        </w:sectPr>
      </w:pPr>
    </w:p>
    <w:bookmarkStart w:id="31" w:name="page32"/>
    <w:bookmarkEnd w:id="31"/>
    <w:p>
      <w:pPr>
        <w:ind w:right="200"/>
        <w:spacing w:after="0" w:line="262" w:lineRule="auto"/>
        <w:rPr>
          <w:sz w:val="20"/>
          <w:szCs w:val="20"/>
          <w:color w:val="auto"/>
        </w:rPr>
      </w:pPr>
      <w:r>
        <w:rPr>
          <w:rFonts w:ascii="Times New Roman" w:cs="Times New Roman" w:eastAsia="Times New Roman" w:hAnsi="Times New Roman"/>
          <w:sz w:val="19"/>
          <w:szCs w:val="19"/>
          <w:color w:val="auto"/>
        </w:rPr>
        <w:t>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6"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3"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and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Legislative and administrative proposals to amend the FDA's oversight of LDTs have been introduced,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In May 2024, the FDA issued a final rule that phased out its enforcement discretion for most LDTs and amended the FDA’s regulations to make explicit that in vitro diagnostics are medical devices under the Federal Food, Drug, and Cosmetic Act, including when the manufacturer of the diagnostic product is a laboratory. However, on March 31, 2025 the U.S. District Court for the Eastern District of Texas vacated and set aside the FDA LDT Final Rule in its entirety, asserting that the FDA does not have jurisdiction to regulated professional services performed by clinical laboratories and qualified professionals.</w:t>
      </w:r>
    </w:p>
    <w:p>
      <w:pPr>
        <w:spacing w:after="0" w:line="381" w:lineRule="exact"/>
        <w:rPr>
          <w:sz w:val="20"/>
          <w:szCs w:val="20"/>
          <w:color w:val="auto"/>
        </w:rPr>
      </w:pPr>
    </w:p>
    <w:p>
      <w:pPr>
        <w:ind w:right="180" w:firstLine="349"/>
        <w:spacing w:after="0" w:line="262" w:lineRule="auto"/>
        <w:rPr>
          <w:sz w:val="20"/>
          <w:szCs w:val="20"/>
          <w:color w:val="auto"/>
        </w:rPr>
      </w:pPr>
      <w:r>
        <w:rPr>
          <w:rFonts w:ascii="Times New Roman" w:cs="Times New Roman" w:eastAsia="Times New Roman" w:hAnsi="Times New Roman"/>
          <w:sz w:val="19"/>
          <w:szCs w:val="19"/>
          <w:color w:val="auto"/>
        </w:rPr>
        <w:t xml:space="preserve">In June 2024, the U.S. Supreme Court overruled the </w:t>
      </w:r>
      <w:r>
        <w:rPr>
          <w:rFonts w:ascii="Times New Roman" w:cs="Times New Roman" w:eastAsia="Times New Roman" w:hAnsi="Times New Roman"/>
          <w:sz w:val="19"/>
          <w:szCs w:val="19"/>
          <w:b w:val="1"/>
          <w:bCs w:val="1"/>
          <w:i w:val="1"/>
          <w:iCs w:val="1"/>
          <w:color w:val="auto"/>
        </w:rPr>
        <w:t>Chevron</w:t>
      </w:r>
      <w:r>
        <w:rPr>
          <w:rFonts w:ascii="Times New Roman" w:cs="Times New Roman" w:eastAsia="Times New Roman" w:hAnsi="Times New Roman"/>
          <w:sz w:val="19"/>
          <w:szCs w:val="19"/>
          <w:color w:val="auto"/>
        </w:rPr>
        <w:t xml:space="preserve"> 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challenge longstanding decisions and policies of the FDA. Further, the new administration, including changes in the leadership at the FDA and other federal agencies, may issue new policies and regulations that can impact the compliance status of our products or that of our customers. It is unclear how future litigation and legislation by federal and state governments and FDA regulation will impact the industry, including our business and that of our customers.</w:t>
      </w:r>
    </w:p>
    <w:p>
      <w:pPr>
        <w:spacing w:after="0" w:line="138"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 including U.S. healthcare fraud and abuse laws, such as the federal Anti-Kickback Statute and the False Claims Act, as well as reporting and transparency laws, such as the Sunshine Act.</w:t>
      </w:r>
    </w:p>
    <w:p>
      <w:pPr>
        <w:spacing w:after="0" w:line="136"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w:t>
      </w:r>
    </w:p>
    <w:p>
      <w:pPr>
        <w:sectPr>
          <w:pgSz w:w="11880" w:h="15480" w:orient="portrait"/>
          <w:cols w:equalWidth="0" w:num="1">
            <w:col w:w="10480"/>
          </w:cols>
          <w:pgMar w:left="700" w:top="691" w:right="70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880" w:h="15480" w:orient="portrait"/>
          <w:cols w:equalWidth="0" w:num="1">
            <w:col w:w="10480"/>
          </w:cols>
          <w:pgMar w:left="700" w:top="691" w:right="700" w:bottom="0" w:gutter="0" w:footer="0" w:header="0"/>
          <w:type w:val="continuous"/>
        </w:sectPr>
      </w:pPr>
    </w:p>
    <w:bookmarkStart w:id="32" w:name="page33"/>
    <w:bookmarkEnd w:id="32"/>
    <w:p>
      <w:pPr>
        <w:jc w:val="both"/>
        <w:ind w:right="380"/>
        <w:spacing w:after="0" w:line="274" w:lineRule="auto"/>
        <w:rPr>
          <w:sz w:val="20"/>
          <w:szCs w:val="20"/>
          <w:color w:val="auto"/>
        </w:rPr>
      </w:pPr>
      <w:r>
        <w:rPr>
          <w:rFonts w:ascii="Times New Roman" w:cs="Times New Roman" w:eastAsia="Times New Roman" w:hAnsi="Times New Roman"/>
          <w:sz w:val="19"/>
          <w:szCs w:val="19"/>
          <w:color w:val="auto"/>
        </w:rPr>
        <w:t>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23" w:lineRule="exact"/>
        <w:rPr>
          <w:sz w:val="20"/>
          <w:szCs w:val="20"/>
          <w:color w:val="auto"/>
        </w:rPr>
      </w:pPr>
    </w:p>
    <w:p>
      <w:pPr>
        <w:ind w:right="680" w:firstLine="349"/>
        <w:spacing w:after="0" w:line="295" w:lineRule="auto"/>
        <w:rPr>
          <w:sz w:val="20"/>
          <w:szCs w:val="20"/>
          <w:color w:val="auto"/>
        </w:rPr>
      </w:pPr>
      <w:r>
        <w:rPr>
          <w:rFonts w:ascii="Times New Roman" w:cs="Times New Roman" w:eastAsia="Times New Roman" w:hAnsi="Times New Roman"/>
          <w:sz w:val="19"/>
          <w:szCs w:val="19"/>
          <w:color w:val="auto"/>
        </w:rPr>
        <w:t>For further discussion of the risks we face relating to regulation, see the section titled “</w:t>
      </w:r>
      <w:r>
        <w:rPr>
          <w:rFonts w:ascii="Times New Roman" w:cs="Times New Roman" w:eastAsia="Times New Roman" w:hAnsi="Times New Roman"/>
          <w:sz w:val="19"/>
          <w:szCs w:val="19"/>
          <w:b w:val="1"/>
          <w:bCs w:val="1"/>
          <w:i w:val="1"/>
          <w:iCs w:val="1"/>
          <w:color w:val="auto"/>
        </w:rPr>
        <w:t>Risk factors— 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Business— Risks Related to Regulatory and Legal Compliance Matters.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7"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37"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44"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3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34" w:lineRule="exact"/>
        <w:rPr>
          <w:sz w:val="20"/>
          <w:szCs w:val="20"/>
          <w:color w:val="auto"/>
        </w:rPr>
      </w:pPr>
    </w:p>
    <w:p>
      <w:pPr>
        <w:ind w:right="680" w:firstLine="349"/>
        <w:spacing w:after="0" w:line="295" w:lineRule="auto"/>
        <w:rPr>
          <w:sz w:val="20"/>
          <w:szCs w:val="20"/>
          <w:color w:val="auto"/>
        </w:rPr>
      </w:pPr>
      <w:r>
        <w:rPr>
          <w:rFonts w:ascii="Times New Roman" w:cs="Times New Roman" w:eastAsia="Times New Roman" w:hAnsi="Times New Roman"/>
          <w:sz w:val="19"/>
          <w:szCs w:val="19"/>
          <w:color w:val="auto"/>
        </w:rPr>
        <w:t>For further discussion of the risks we face relating to regulation, see the section titled “</w:t>
      </w:r>
      <w:r>
        <w:rPr>
          <w:rFonts w:ascii="Times New Roman" w:cs="Times New Roman" w:eastAsia="Times New Roman" w:hAnsi="Times New Roman"/>
          <w:sz w:val="19"/>
          <w:szCs w:val="19"/>
          <w:b w:val="1"/>
          <w:bCs w:val="1"/>
          <w:i w:val="1"/>
          <w:iCs w:val="1"/>
          <w:color w:val="auto"/>
        </w:rPr>
        <w:t>Risk factors— 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Business— Risks Related to Regulatory and Legal Compliance Matters.</w:t>
      </w:r>
      <w:r>
        <w:rPr>
          <w:rFonts w:ascii="Times New Roman" w:cs="Times New Roman" w:eastAsia="Times New Roman" w:hAnsi="Times New Roman"/>
          <w:sz w:val="19"/>
          <w:szCs w:val="19"/>
          <w:color w:val="auto"/>
        </w:rPr>
        <w:t>”</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880" w:h="15480" w:orient="portrait"/>
          <w:cols w:equalWidth="0" w:num="1">
            <w:col w:w="10480"/>
          </w:cols>
          <w:pgMar w:left="700" w:top="691" w:right="70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Patents</w:t>
      </w:r>
    </w:p>
    <w:p>
      <w:pPr>
        <w:spacing w:after="0" w:line="196"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auto"/>
        </w:rPr>
        <w:t>We strive to obtain and maintain intellectual protection for our products and technology by using a variety of intellectual property protection strategies, such as patents, trademarks, trade secrets and other methods of protecting proprietary information.</w:t>
      </w:r>
    </w:p>
    <w:p>
      <w:pPr>
        <w:spacing w:after="0" w:line="107"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As of December 31, 2025, we owned or held exclusive licenses to thirty six issued U.S. patents, approximately eighty-nine pending U.S. non-provisional patent applications, approximately nineteen pending U.S. provisional patent applications, approximately forty-three granted foreign patents, and approximately one hundred thirty nine pending foreign patent applications, including twenty one international patent applications filed under the Patent Cooperation Treaty (PCT application). Our owned and exclusively licensed patents and patent applications, if issued, are expected to expire between 2026 and 2045, in each case absent any patent term adjustments or extensions and assuming payment of all appropriate maintenance, renewal, annuity, or other governmental fees.</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Trade Secrets</w:t>
      </w:r>
    </w:p>
    <w:p>
      <w:pPr>
        <w:spacing w:after="0" w:line="196"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Trademarks</w:t>
      </w:r>
    </w:p>
    <w:p>
      <w:pPr>
        <w:spacing w:after="0" w:line="196"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2025, we owned approximately forty eight registered trademarks covering four different marks in Australia, Brazil, Canada, China, the European Union, India, Israel, Japan, Korea, Mexico, Singapore, and Switzerland. In addition, we have approximately twelve pending trademark applications covering seven different marks in the U.S., Brazil, India, and Korea.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Collaboration Agreements</w:t>
      </w:r>
    </w:p>
    <w:p>
      <w:pPr>
        <w:spacing w:after="0" w:line="196" w:lineRule="exact"/>
        <w:rPr>
          <w:sz w:val="20"/>
          <w:szCs w:val="20"/>
          <w:color w:val="auto"/>
        </w:rPr>
      </w:pPr>
    </w:p>
    <w:p>
      <w:pPr>
        <w:ind w:right="60" w:firstLine="349"/>
        <w:spacing w:after="0" w:line="247" w:lineRule="auto"/>
        <w:rPr>
          <w:sz w:val="20"/>
          <w:szCs w:val="20"/>
          <w:color w:val="auto"/>
        </w:rPr>
      </w:pPr>
      <w:r>
        <w:rPr>
          <w:rFonts w:ascii="Times New Roman" w:cs="Times New Roman" w:eastAsia="Times New Roman" w:hAnsi="Times New Roman"/>
          <w:sz w:val="19"/>
          <w:szCs w:val="19"/>
          <w:color w:val="auto"/>
        </w:rPr>
        <w:t>We have entered into research collaboration agreements with Genentech in December 2020, with The Buck Institute for Research on Aging in February 2025, and with the Michael J. Fox Foundation and Weill Cornell Medicine–Qatar in January 2026, and entered into an agreement with the Allen Institute in July 2025. Under each of these agreements, partners gain early experience with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and contribute to application development across diverse biological contexts. These agreements are for research only and are not expected to generate any revenues, however they may provide opportunities for the parties to jointly apply for and secure grants, awards, or other government or non-profit research funding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Scientific Advisory Board</w:t>
      </w:r>
    </w:p>
    <w:p>
      <w:pPr>
        <w:spacing w:after="0" w:line="196"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Ruedi Aebersold, Ph.D.</w:t>
      </w:r>
    </w:p>
    <w:p>
      <w:pPr>
        <w:spacing w:after="0" w:line="191" w:lineRule="exact"/>
        <w:rPr>
          <w:sz w:val="20"/>
          <w:szCs w:val="20"/>
          <w:color w:val="auto"/>
        </w:rPr>
      </w:pPr>
    </w:p>
    <w:p>
      <w:pPr>
        <w:ind w:right="20" w:firstLine="349"/>
        <w:spacing w:after="0" w:line="286" w:lineRule="auto"/>
        <w:rPr>
          <w:sz w:val="20"/>
          <w:szCs w:val="20"/>
          <w:color w:val="auto"/>
        </w:rPr>
      </w:pPr>
      <w:r>
        <w:rPr>
          <w:rFonts w:ascii="Times New Roman" w:cs="Times New Roman" w:eastAsia="Times New Roman" w:hAnsi="Times New Roman"/>
          <w:sz w:val="19"/>
          <w:szCs w:val="19"/>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Lee Hartwell, Ph.D.</w:t>
      </w:r>
    </w:p>
    <w:p>
      <w:pPr>
        <w:spacing w:after="0" w:line="191"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880" w:h="15480" w:orient="portrait"/>
          <w:cols w:equalWidth="0" w:num="1">
            <w:col w:w="10480"/>
          </w:cols>
          <w:pgMar w:left="700" w:top="684" w:right="700" w:bottom="0" w:gutter="0" w:footer="0" w:header="0"/>
          <w:type w:val="continuous"/>
        </w:sectPr>
      </w:pPr>
    </w:p>
    <w:bookmarkStart w:id="34" w:name="page35"/>
    <w:bookmarkEnd w:id="34"/>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Joshua LaBaer, MD, Ph.D.</w:t>
      </w:r>
    </w:p>
    <w:p>
      <w:pPr>
        <w:spacing w:after="0" w:line="191" w:lineRule="exact"/>
        <w:rPr>
          <w:sz w:val="20"/>
          <w:szCs w:val="20"/>
          <w:color w:val="auto"/>
        </w:rPr>
      </w:pPr>
    </w:p>
    <w:p>
      <w:pPr>
        <w:jc w:val="both"/>
        <w:ind w:right="220" w:firstLine="349"/>
        <w:spacing w:after="0" w:line="274" w:lineRule="auto"/>
        <w:rPr>
          <w:sz w:val="20"/>
          <w:szCs w:val="20"/>
          <w:color w:val="auto"/>
        </w:rPr>
      </w:pPr>
      <w:r>
        <w:rPr>
          <w:rFonts w:ascii="Times New Roman" w:cs="Times New Roman" w:eastAsia="Times New Roman" w:hAnsi="Times New Roman"/>
          <w:sz w:val="19"/>
          <w:szCs w:val="19"/>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Emma Lundberg, Ph.D.</w:t>
      </w:r>
    </w:p>
    <w:p>
      <w:pPr>
        <w:spacing w:after="0" w:line="191"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Dr. Lundberg is a Professor in cell biology proteomics at KTH Royal Institute of Technology, Sweden, and Professor of Bioengineering and Pathology at Stanford University. Dr. Lundberg also holds the positions of Director of the Cell Atlas of the Human Protein Atlas, an international proteomics and cell mapping project, and was previously Director of the Cell Profiling facility at the Science for Life Laboratory (SciLifeLab) in Sweden.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 and Human Capital</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2025, we had 130 employees, all based in the United States, over one-third of whom hold doctorate degrees. Of these employees, 91 were engaged in research and development activities, and 39 were engaged in general and administrative activities. None of our employees are represented by a labor union or covered under a collective bargaining agreement.</w:t>
      </w:r>
    </w:p>
    <w:p>
      <w:pPr>
        <w:spacing w:after="0" w:line="125" w:lineRule="exact"/>
        <w:rPr>
          <w:sz w:val="20"/>
          <w:szCs w:val="20"/>
          <w:color w:val="auto"/>
        </w:rPr>
      </w:pPr>
    </w:p>
    <w:p>
      <w:pPr>
        <w:ind w:firstLine="349"/>
        <w:spacing w:after="0" w:line="267" w:lineRule="auto"/>
        <w:rPr>
          <w:sz w:val="20"/>
          <w:szCs w:val="20"/>
          <w:color w:val="auto"/>
        </w:rPr>
      </w:pPr>
      <w:r>
        <w:rPr>
          <w:rFonts w:ascii="Times New Roman" w:cs="Times New Roman" w:eastAsia="Times New Roman" w:hAnsi="Times New Roman"/>
          <w:sz w:val="19"/>
          <w:szCs w:val="19"/>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and Available Information</w:t>
      </w:r>
    </w:p>
    <w:p>
      <w:pPr>
        <w:spacing w:after="0" w:line="19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33"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auto"/>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Form 10-K or any other filings we make with the SEC.</w:t>
      </w:r>
    </w:p>
    <w:p>
      <w:pPr>
        <w:spacing w:after="0" w:line="12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94" w:lineRule="exact"/>
        <w:rPr>
          <w:sz w:val="20"/>
          <w:szCs w:val="20"/>
          <w:color w:val="auto"/>
        </w:rPr>
      </w:pPr>
    </w:p>
    <w:p>
      <w:pPr>
        <w:ind w:right="8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Summary Risk Factors</w:t>
      </w:r>
    </w:p>
    <w:p>
      <w:pPr>
        <w:spacing w:after="0" w:line="196"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196" w:lineRule="exact"/>
        <w:rPr>
          <w:sz w:val="20"/>
          <w:szCs w:val="20"/>
          <w:color w:val="auto"/>
        </w:rPr>
      </w:pPr>
    </w:p>
    <w:p>
      <w:pPr>
        <w:ind w:right="340" w:firstLine="348"/>
        <w:spacing w:after="0" w:line="293" w:lineRule="auto"/>
        <w:tabs>
          <w:tab w:leader="none" w:pos="69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ectPr>
          <w:pgSz w:w="11880" w:h="15480" w:orient="portrait"/>
          <w:cols w:equalWidth="0" w:num="1">
            <w:col w:w="10460"/>
          </w:cols>
          <w:pgMar w:left="700" w:top="689" w:right="72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1880" w:h="15480" w:orient="portrait"/>
          <w:cols w:equalWidth="0" w:num="1">
            <w:col w:w="10460"/>
          </w:cols>
          <w:pgMar w:left="700" w:top="689" w:right="720" w:bottom="0" w:gutter="0" w:footer="0" w:header="0"/>
          <w:type w:val="continuous"/>
        </w:sectPr>
      </w:pPr>
    </w:p>
    <w:bookmarkStart w:id="35" w:name="page36"/>
    <w:bookmarkEnd w:id="35"/>
    <w:p>
      <w:pPr>
        <w:jc w:val="both"/>
        <w:ind w:right="320" w:firstLine="348"/>
        <w:spacing w:after="0" w:line="238" w:lineRule="auto"/>
        <w:tabs>
          <w:tab w:leader="none" w:pos="69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is entirely dependent on the successful development and commercialization of our proteomics platform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which remains in the development stage and could be subject to delays, technical challenges and market acceptance challenges.</w:t>
      </w:r>
    </w:p>
    <w:p>
      <w:pPr>
        <w:spacing w:after="0" w:line="15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compete successfully with our initial or future products in the highly competitive life sciences technology</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w:t>
      </w:r>
    </w:p>
    <w:p>
      <w:pPr>
        <w:spacing w:after="0" w:line="169" w:lineRule="exact"/>
        <w:rPr>
          <w:rFonts w:ascii="Times New Roman" w:cs="Times New Roman" w:eastAsia="Times New Roman" w:hAnsi="Times New Roman"/>
          <w:sz w:val="19"/>
          <w:szCs w:val="19"/>
          <w:color w:val="auto"/>
        </w:rPr>
      </w:pPr>
    </w:p>
    <w:p>
      <w:pPr>
        <w:ind w:right="160" w:firstLine="348"/>
        <w:spacing w:after="0" w:line="293" w:lineRule="auto"/>
        <w:tabs>
          <w:tab w:leader="none" w:pos="69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dependent upon third parties for certain aspects of the development and commercialization of the Nautilus Voyager platform.</w:t>
      </w:r>
    </w:p>
    <w:p>
      <w:pPr>
        <w:spacing w:after="0" w:line="107" w:lineRule="exact"/>
        <w:rPr>
          <w:rFonts w:ascii="Times New Roman" w:cs="Times New Roman" w:eastAsia="Times New Roman" w:hAnsi="Times New Roman"/>
          <w:sz w:val="19"/>
          <w:szCs w:val="19"/>
          <w:color w:val="auto"/>
        </w:rPr>
      </w:pPr>
    </w:p>
    <w:p>
      <w:pPr>
        <w:ind w:right="540" w:firstLine="348"/>
        <w:spacing w:after="0" w:line="293" w:lineRule="auto"/>
        <w:tabs>
          <w:tab w:leader="none" w:pos="69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launch our Nautilus Voyager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9"/>
          <w:szCs w:val="19"/>
          <w:color w:val="auto"/>
        </w:rPr>
      </w:pPr>
    </w:p>
    <w:p>
      <w:pPr>
        <w:ind w:right="240" w:firstLine="348"/>
        <w:spacing w:after="0" w:line="293" w:lineRule="auto"/>
        <w:tabs>
          <w:tab w:leader="none" w:pos="69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9"/>
          <w:szCs w:val="19"/>
          <w:color w:val="auto"/>
        </w:rPr>
      </w:pPr>
    </w:p>
    <w:p>
      <w:pPr>
        <w:ind w:right="20" w:firstLine="348"/>
        <w:spacing w:after="0" w:line="293" w:lineRule="auto"/>
        <w:tabs>
          <w:tab w:leader="none" w:pos="69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expect that we will need to raise additional capital to fund our development and commercialization plans, which may not be available to us on favorable terms or at all.</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96" w:lineRule="exact"/>
        <w:rPr>
          <w:sz w:val="20"/>
          <w:szCs w:val="20"/>
          <w:color w:val="auto"/>
        </w:rPr>
      </w:pPr>
    </w:p>
    <w:p>
      <w:pPr>
        <w:jc w:val="both"/>
        <w:ind w:firstLine="348"/>
        <w:spacing w:after="0" w:line="274" w:lineRule="auto"/>
        <w:tabs>
          <w:tab w:leader="none" w:pos="6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protect our intellectual property and proprietary rights throughout the world.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Litigation</w:t>
      </w:r>
    </w:p>
    <w:p>
      <w:pPr>
        <w:spacing w:after="0" w:line="196" w:lineRule="exact"/>
        <w:rPr>
          <w:sz w:val="20"/>
          <w:szCs w:val="20"/>
          <w:color w:val="auto"/>
        </w:rPr>
      </w:pPr>
    </w:p>
    <w:p>
      <w:pPr>
        <w:ind w:right="480" w:firstLine="348"/>
        <w:spacing w:after="0" w:line="293" w:lineRule="auto"/>
        <w:tabs>
          <w:tab w:leader="none" w:pos="69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face liability and/or negative publicity for any unknown defects or errors in our products.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Regulatory and Legal Compliance Matters</w:t>
      </w:r>
    </w:p>
    <w:p>
      <w:pPr>
        <w:spacing w:after="0" w:line="196" w:lineRule="exact"/>
        <w:rPr>
          <w:sz w:val="20"/>
          <w:szCs w:val="20"/>
          <w:color w:val="auto"/>
        </w:rPr>
      </w:pPr>
    </w:p>
    <w:p>
      <w:pPr>
        <w:ind w:left="700" w:hanging="352"/>
        <w:spacing w:after="0"/>
        <w:tabs>
          <w:tab w:leader="none" w:pos="7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products may, in the future, be subject to regulation by the FDA or other regulatory authorities.</w:t>
      </w:r>
    </w:p>
    <w:p>
      <w:pPr>
        <w:spacing w:after="0" w:line="189" w:lineRule="exact"/>
        <w:rPr>
          <w:rFonts w:ascii="Times New Roman" w:cs="Times New Roman" w:eastAsia="Times New Roman" w:hAnsi="Times New Roman"/>
          <w:sz w:val="19"/>
          <w:szCs w:val="19"/>
          <w:color w:val="auto"/>
        </w:rPr>
      </w:pPr>
    </w:p>
    <w:p>
      <w:pPr>
        <w:ind w:right="80" w:firstLine="348"/>
        <w:spacing w:after="0" w:line="274" w:lineRule="auto"/>
        <w:tabs>
          <w:tab w:leader="none" w:pos="69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currently subject to, and may in the future become subject to additional, U.S. federal and state laws and regulations, as well as the laws and regulations of other countries, relating to how we collect, store and process personal information, and how we transmit analytical data to our customers.</w:t>
      </w:r>
    </w:p>
    <w:p>
      <w:pPr>
        <w:spacing w:after="0" w:line="125" w:lineRule="exact"/>
        <w:rPr>
          <w:rFonts w:ascii="Times New Roman" w:cs="Times New Roman" w:eastAsia="Times New Roman" w:hAnsi="Times New Roman"/>
          <w:sz w:val="19"/>
          <w:szCs w:val="19"/>
          <w:color w:val="auto"/>
        </w:rPr>
      </w:pPr>
    </w:p>
    <w:p>
      <w:pPr>
        <w:ind w:right="20" w:firstLine="348"/>
        <w:spacing w:after="0" w:line="293" w:lineRule="auto"/>
        <w:tabs>
          <w:tab w:leader="none" w:pos="69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9"/>
          <w:szCs w:val="19"/>
          <w:color w:val="auto"/>
        </w:rPr>
      </w:pPr>
    </w:p>
    <w:p>
      <w:pPr>
        <w:ind w:right="60" w:firstLine="348"/>
        <w:spacing w:after="0" w:line="293" w:lineRule="auto"/>
        <w:tabs>
          <w:tab w:leader="none" w:pos="69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9"/>
          <w:szCs w:val="19"/>
          <w:color w:val="auto"/>
        </w:rPr>
      </w:pPr>
    </w:p>
    <w:p>
      <w:pPr>
        <w:ind w:right="780" w:firstLine="348"/>
        <w:spacing w:after="0" w:line="293" w:lineRule="auto"/>
        <w:tabs>
          <w:tab w:leader="none" w:pos="69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Operations</w:t>
      </w:r>
    </w:p>
    <w:p>
      <w:pPr>
        <w:spacing w:after="0" w:line="196" w:lineRule="exact"/>
        <w:rPr>
          <w:sz w:val="20"/>
          <w:szCs w:val="20"/>
          <w:color w:val="auto"/>
        </w:rPr>
      </w:pPr>
    </w:p>
    <w:p>
      <w:pPr>
        <w:ind w:left="700" w:hanging="352"/>
        <w:spacing w:after="0"/>
        <w:tabs>
          <w:tab w:leader="none" w:pos="7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experience a significant disruption in our information technology systems or breaches of data security.</w:t>
      </w:r>
    </w:p>
    <w:p>
      <w:pPr>
        <w:spacing w:after="0" w:line="189" w:lineRule="exact"/>
        <w:rPr>
          <w:rFonts w:ascii="Times New Roman" w:cs="Times New Roman" w:eastAsia="Times New Roman" w:hAnsi="Times New Roman"/>
          <w:sz w:val="19"/>
          <w:szCs w:val="19"/>
          <w:color w:val="auto"/>
        </w:rPr>
      </w:pPr>
    </w:p>
    <w:p>
      <w:pPr>
        <w:ind w:right="240" w:firstLine="348"/>
        <w:spacing w:after="0" w:line="293" w:lineRule="auto"/>
        <w:tabs>
          <w:tab w:leader="none" w:pos="69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9"/>
          <w:szCs w:val="19"/>
          <w:color w:val="auto"/>
        </w:rPr>
      </w:pPr>
    </w:p>
    <w:p>
      <w:pPr>
        <w:ind w:firstLine="348"/>
        <w:spacing w:after="0" w:line="274" w:lineRule="auto"/>
        <w:tabs>
          <w:tab w:leader="none" w:pos="69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operations and financial results could be adversely impacted by global and national events, such as global geopolitical conflicts, including war, trade embargoes, tariff policies and boycotts, changing interest rates, volatility in the global financial markets and general economic downturns.</w:t>
      </w:r>
    </w:p>
    <w:p>
      <w:pPr>
        <w:sectPr>
          <w:pgSz w:w="11880" w:h="15480" w:orient="portrait"/>
          <w:cols w:equalWidth="0" w:num="1">
            <w:col w:w="10420"/>
          </w:cols>
          <w:pgMar w:left="700" w:top="691" w:right="76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34</w:t>
      </w:r>
    </w:p>
    <w:p>
      <w:pPr>
        <w:sectPr>
          <w:pgSz w:w="11880" w:h="15480" w:orient="portrait"/>
          <w:cols w:equalWidth="0" w:num="1">
            <w:col w:w="10420"/>
          </w:cols>
          <w:pgMar w:left="700" w:top="691" w:right="760" w:bottom="0" w:gutter="0" w:footer="0" w:header="0"/>
          <w:type w:val="continuous"/>
        </w:sectPr>
      </w:pPr>
    </w:p>
    <w:bookmarkStart w:id="36" w:name="page37"/>
    <w:bookmarkEnd w:id="36"/>
    <w:p>
      <w:pPr>
        <w:ind w:left="700" w:hanging="352"/>
        <w:spacing w:after="0"/>
        <w:tabs>
          <w:tab w:leader="none" w:pos="7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supply chain interruptions may negatively impact the development and commercialization of our products.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96" w:lineRule="exact"/>
        <w:rPr>
          <w:sz w:val="20"/>
          <w:szCs w:val="20"/>
          <w:color w:val="auto"/>
        </w:rPr>
      </w:pPr>
    </w:p>
    <w:p>
      <w:pPr>
        <w:ind w:right="140" w:firstLine="348"/>
        <w:spacing w:after="0" w:line="293" w:lineRule="auto"/>
        <w:tabs>
          <w:tab w:leader="none" w:pos="69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9"/>
          <w:szCs w:val="19"/>
          <w:color w:val="auto"/>
        </w:rPr>
      </w:pPr>
    </w:p>
    <w:p>
      <w:pPr>
        <w:ind w:right="220" w:firstLine="348"/>
        <w:spacing w:after="0" w:line="293" w:lineRule="auto"/>
        <w:tabs>
          <w:tab w:leader="none" w:pos="69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96" w:lineRule="exact"/>
        <w:rPr>
          <w:sz w:val="20"/>
          <w:szCs w:val="20"/>
          <w:color w:val="auto"/>
        </w:rPr>
      </w:pPr>
    </w:p>
    <w:p>
      <w:pPr>
        <w:ind w:left="700" w:hanging="352"/>
        <w:spacing w:after="0"/>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continue to incur significant costs and management resources as a result of operating as a public company.</w:t>
      </w:r>
    </w:p>
    <w:p>
      <w:pPr>
        <w:spacing w:after="0" w:line="189" w:lineRule="exact"/>
        <w:rPr>
          <w:rFonts w:ascii="Times New Roman" w:cs="Times New Roman" w:eastAsia="Times New Roman" w:hAnsi="Times New Roman"/>
          <w:sz w:val="19"/>
          <w:szCs w:val="19"/>
          <w:color w:val="auto"/>
        </w:rPr>
      </w:pPr>
    </w:p>
    <w:p>
      <w:pPr>
        <w:ind w:right="40" w:firstLine="348"/>
        <w:spacing w:after="0" w:line="293" w:lineRule="auto"/>
        <w:tabs>
          <w:tab w:leader="none" w:pos="69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7"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189" w:lineRule="exact"/>
        <w:rPr>
          <w:sz w:val="20"/>
          <w:szCs w:val="20"/>
          <w:color w:val="auto"/>
        </w:rPr>
      </w:pPr>
    </w:p>
    <w:p>
      <w:pPr>
        <w:ind w:right="5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right="60" w:firstLine="349"/>
        <w:spacing w:after="0" w:line="252" w:lineRule="auto"/>
        <w:rPr>
          <w:sz w:val="20"/>
          <w:szCs w:val="20"/>
          <w:color w:val="auto"/>
        </w:rPr>
      </w:pPr>
      <w:r>
        <w:rPr>
          <w:rFonts w:ascii="Times New Roman" w:cs="Times New Roman" w:eastAsia="Times New Roman" w:hAnsi="Times New Roman"/>
          <w:sz w:val="19"/>
          <w:szCs w:val="19"/>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$59.0 million and $70.8 million during the years ended December 31, 2025 and 2024, respectively. As of December 31, 2025, we had an accumulated deficit of $332.0 million. These losses and accumulated deficit were primarily due to the substantial investments we made in the scientific and technological development of our Nautilus Voyager platform.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138" w:lineRule="exact"/>
        <w:rPr>
          <w:sz w:val="20"/>
          <w:szCs w:val="20"/>
          <w:color w:val="auto"/>
        </w:rPr>
      </w:pPr>
    </w:p>
    <w:p>
      <w:pPr>
        <w:ind w:firstLine="349"/>
        <w:spacing w:after="0" w:line="226" w:lineRule="auto"/>
        <w:rPr>
          <w:sz w:val="20"/>
          <w:szCs w:val="20"/>
          <w:color w:val="auto"/>
        </w:rPr>
      </w:pPr>
      <w:r>
        <w:rPr>
          <w:rFonts w:ascii="Times New Roman" w:cs="Times New Roman" w:eastAsia="Times New Roman" w:hAnsi="Times New Roman"/>
          <w:sz w:val="19"/>
          <w:szCs w:val="19"/>
          <w:b w:val="1"/>
          <w:bCs w:val="1"/>
          <w:i w:val="1"/>
          <w:iCs w:val="1"/>
          <w:color w:val="auto"/>
        </w:rPr>
        <w:t>Our business is entirely dependent on the success of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which remains in the development stage and subject to scientific and technical validation. If we are unable to develop and commercialize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successfully and in a manner that provides currently anticipated functionality and levels of performance, we may never be able to recognize any revenue, and our business, operating results, and financial condition will suffer.</w:t>
      </w:r>
    </w:p>
    <w:p>
      <w:pPr>
        <w:spacing w:after="0" w:line="161" w:lineRule="exact"/>
        <w:rPr>
          <w:sz w:val="20"/>
          <w:szCs w:val="20"/>
          <w:color w:val="auto"/>
        </w:rPr>
      </w:pPr>
    </w:p>
    <w:p>
      <w:pPr>
        <w:ind w:right="60" w:firstLine="349"/>
        <w:spacing w:after="0" w:line="258" w:lineRule="auto"/>
        <w:rPr>
          <w:sz w:val="20"/>
          <w:szCs w:val="20"/>
          <w:color w:val="auto"/>
        </w:rPr>
      </w:pPr>
      <w:r>
        <w:rPr>
          <w:rFonts w:ascii="Times New Roman" w:cs="Times New Roman" w:eastAsia="Times New Roman" w:hAnsi="Times New Roman"/>
          <w:sz w:val="19"/>
          <w:szCs w:val="19"/>
          <w:color w:val="auto"/>
        </w:rPr>
        <w:t>Our future success is entirely dependent on our ability to successfully develop and commercialize our Nautilus Voyager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Voyager platform, which remains in the development stage and subject to 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Voyager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and services fail to deliver currently anticipated functionality and levels of performance, if our products and/or services are found by a court of law to infringe the intellectual property of another party, or if we are unable to obtain broad scientific and market acceptance of our products, services and technologies, we may never recognize material revenue and may be unable to continue our operations.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880" w:h="15480" w:orient="portrait"/>
          <w:cols w:equalWidth="0" w:num="1">
            <w:col w:w="10480"/>
          </w:cols>
          <w:pgMar w:left="700" w:top="691" w:right="700" w:bottom="0" w:gutter="0" w:footer="0" w:header="0"/>
          <w:type w:val="continuous"/>
        </w:sectPr>
      </w:pPr>
    </w:p>
    <w:bookmarkStart w:id="37" w:name="page38"/>
    <w:bookmarkEnd w:id="37"/>
    <w:p>
      <w:pPr>
        <w:ind w:right="100" w:firstLine="349"/>
        <w:spacing w:after="0" w:line="218" w:lineRule="auto"/>
        <w:rPr>
          <w:sz w:val="20"/>
          <w:szCs w:val="20"/>
          <w:color w:val="auto"/>
        </w:rPr>
      </w:pPr>
      <w:r>
        <w:rPr>
          <w:rFonts w:ascii="Times New Roman" w:cs="Times New Roman" w:eastAsia="Times New Roman" w:hAnsi="Times New Roman"/>
          <w:sz w:val="19"/>
          <w:szCs w:val="19"/>
          <w:b w:val="1"/>
          <w:bCs w:val="1"/>
          <w:i w:val="1"/>
          <w:iCs w:val="1"/>
          <w:color w:val="auto"/>
        </w:rPr>
        <w:t>We have not yet commercially launched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We may not be able to launch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successfully and even if it is successful, we may experience material delays in our commercialization program relative to current expectations.</w:t>
      </w:r>
    </w:p>
    <w:p>
      <w:pPr>
        <w:spacing w:after="0" w:line="160" w:lineRule="exact"/>
        <w:rPr>
          <w:sz w:val="20"/>
          <w:szCs w:val="20"/>
          <w:color w:val="auto"/>
        </w:rPr>
      </w:pPr>
    </w:p>
    <w:p>
      <w:pPr>
        <w:ind w:right="40" w:firstLine="349"/>
        <w:spacing w:after="0" w:line="253" w:lineRule="auto"/>
        <w:rPr>
          <w:sz w:val="20"/>
          <w:szCs w:val="20"/>
          <w:color w:val="auto"/>
        </w:rPr>
      </w:pPr>
      <w:r>
        <w:rPr>
          <w:rFonts w:ascii="Times New Roman" w:cs="Times New Roman" w:eastAsia="Times New Roman" w:hAnsi="Times New Roman"/>
          <w:sz w:val="19"/>
          <w:szCs w:val="19"/>
          <w:color w:val="auto"/>
        </w:rPr>
        <w:t>We anticipate commercializing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and over time, introduce additional applications in both targeted proteoform analysis and broadscale proteomics, which customers would access depending upon their specific needs. Initial customer access to the Nautilus Voyager platform is expected to be through our Early Access Program in which Nautilus will perform analysis and profiling of samples analyzed in our facility and shared via a cloud platform. We expect to work closely with early access collaborators to demonstrate the unique value proposition of our Nautilus Voyager platform. With data gained from our Early Access Program customers, we plan to leverage publications to drive awareness and customer demand and later sell instruments and reagents to select customers performing targeted proteoform and broadscale proteomics research. We announced the launch of our Iterative Mapping Early Access Program starting with target specific service offerings in January 2026 for the analysis of the microtubule-associated protein tau (or “Tau” for short), which has been broadly associated with the onset and progression of Alzheimer’s disease in human patients. Over time, we plan to extend this early access framework to include additional proteoforms in new disease areas like oncology and into a dual model that supports both targeted assays like Tau, and broadscale workflows, which are designed to offer broader proteome coverage. We do not anticipate that these early access activities will result in any material revenue. We expect to initiate our commercial launch in late 2026 by opening the Nautilus Voyager platform for pre-orders, with instrument installations at customer sites beginning in early 2027. At launch, we expect general availability to include the Voyager instrument, our Tau proteoform assay, and a second proteoform assay. We anticipate general availability of Broadscale proteomics capabilities in the first half of 2027, as we continue expanding the platform’s assay portfolio. Our first generally available broadscale consumable kits are designed to deliver strong initial performance, with subsequent releases expected to further expand capabilities and enable the platform to meet or exceed our previously announced product specifications.</w:t>
      </w:r>
    </w:p>
    <w:p>
      <w:pPr>
        <w:spacing w:after="0" w:line="157"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that they will be completed within the timelines currently anticipated, or that they will result in increased customer interest in our products and/or services. Given the scientific and technical complexity of our products and services, we could experience material delays in product development and commercial launch. In addition, if we are not able to supplement our initial platform release with subsequent consumable releases to enable our platform to meet or exceed our previously announced product specifications, we may lose customers or be limited in our ability to achieve market adoption. If our research and product development efforts do not result in commercially viable products and/or services within the anticipated timelines or if such products do not generate the interest in the market that we anticipate, our business, operating results, and financial condition will be adversely affected.</w:t>
      </w:r>
    </w:p>
    <w:p>
      <w:pPr>
        <w:spacing w:after="0" w:line="130" w:lineRule="exact"/>
        <w:rPr>
          <w:sz w:val="20"/>
          <w:szCs w:val="20"/>
          <w:color w:val="auto"/>
        </w:rPr>
      </w:pPr>
    </w:p>
    <w:p>
      <w:pPr>
        <w:ind w:right="1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4" w:lineRule="exact"/>
        <w:rPr>
          <w:sz w:val="20"/>
          <w:szCs w:val="20"/>
          <w:color w:val="auto"/>
        </w:rPr>
      </w:pPr>
    </w:p>
    <w:p>
      <w:pPr>
        <w:ind w:right="220" w:firstLine="349"/>
        <w:spacing w:after="0" w:line="263" w:lineRule="auto"/>
        <w:rPr>
          <w:sz w:val="20"/>
          <w:szCs w:val="20"/>
          <w:color w:val="auto"/>
        </w:rPr>
      </w:pPr>
      <w:r>
        <w:rPr>
          <w:rFonts w:ascii="Times New Roman" w:cs="Times New Roman" w:eastAsia="Times New Roman" w:hAnsi="Times New Roman"/>
          <w:sz w:val="19"/>
          <w:szCs w:val="19"/>
          <w:color w:val="auto"/>
        </w:rPr>
        <w:t>As noted above, establishing collaborations and partnerships with large pharmaceutical and biotechnology companies and with major research institutions is a material element of our commercialization strategy. While early collaborations have focused, and are are expected to continue to focus on the assessment and validation of our Nautilus Voyager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Voyager platform.</w:t>
      </w:r>
    </w:p>
    <w:p>
      <w:pPr>
        <w:spacing w:after="0" w:line="136"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7"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auto"/>
        </w:rPr>
        <w:t>Even if we are successful in entering into collaborations, the success of such collaborations will depend heavily on the efforts and activities of our collaborators.</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880" w:h="15480" w:orient="portrait"/>
          <w:cols w:equalWidth="0" w:num="1">
            <w:col w:w="10480"/>
          </w:cols>
          <w:pgMar w:left="700" w:top="684" w:right="700" w:bottom="0" w:gutter="0" w:footer="0" w:header="0"/>
          <w:type w:val="continuous"/>
        </w:sectPr>
      </w:pPr>
    </w:p>
    <w:bookmarkStart w:id="38" w:name="page39"/>
    <w:bookmarkEnd w:id="38"/>
    <w:p>
      <w:pPr>
        <w:ind w:left="340"/>
        <w:spacing w:after="0"/>
        <w:rPr>
          <w:sz w:val="20"/>
          <w:szCs w:val="20"/>
          <w:color w:val="auto"/>
        </w:rPr>
      </w:pPr>
      <w:r>
        <w:rPr>
          <w:rFonts w:ascii="Times New Roman" w:cs="Times New Roman" w:eastAsia="Times New Roman" w:hAnsi="Times New Roman"/>
          <w:sz w:val="19"/>
          <w:szCs w:val="19"/>
          <w:color w:val="auto"/>
        </w:rPr>
        <w:t>Scientific collaborations of the nature we propose to pursue are subject to numerous risks, including that:</w:t>
      </w:r>
    </w:p>
    <w:p>
      <w:pPr>
        <w:spacing w:after="0" w:line="189" w:lineRule="exact"/>
        <w:rPr>
          <w:sz w:val="20"/>
          <w:szCs w:val="20"/>
          <w:color w:val="auto"/>
        </w:rPr>
      </w:pPr>
    </w:p>
    <w:p>
      <w:pPr>
        <w:ind w:left="700" w:hanging="352"/>
        <w:spacing w:after="0"/>
        <w:tabs>
          <w:tab w:leader="none" w:pos="7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have significant discretion in determining the efforts and resources that they will apply to a specific</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project;</w:t>
      </w:r>
    </w:p>
    <w:p>
      <w:pPr>
        <w:spacing w:after="0" w:line="169" w:lineRule="exact"/>
        <w:rPr>
          <w:rFonts w:ascii="Times New Roman" w:cs="Times New Roman" w:eastAsia="Times New Roman" w:hAnsi="Times New Roman"/>
          <w:sz w:val="19"/>
          <w:szCs w:val="19"/>
          <w:color w:val="auto"/>
        </w:rPr>
      </w:pPr>
    </w:p>
    <w:p>
      <w:pPr>
        <w:ind w:right="100" w:firstLine="348"/>
        <w:spacing w:after="0" w:line="268"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0" w:lineRule="exact"/>
        <w:rPr>
          <w:rFonts w:ascii="Times New Roman" w:cs="Times New Roman" w:eastAsia="Times New Roman" w:hAnsi="Times New Roman"/>
          <w:sz w:val="19"/>
          <w:szCs w:val="19"/>
          <w:color w:val="auto"/>
        </w:rPr>
      </w:pPr>
    </w:p>
    <w:p>
      <w:pPr>
        <w:ind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9"/>
          <w:szCs w:val="19"/>
          <w:color w:val="auto"/>
        </w:rPr>
      </w:pPr>
    </w:p>
    <w:p>
      <w:pPr>
        <w:ind w:right="34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9"/>
          <w:szCs w:val="19"/>
          <w:color w:val="auto"/>
        </w:rPr>
      </w:pPr>
    </w:p>
    <w:p>
      <w:pPr>
        <w:ind w:right="44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could grant exclusive rights to our collaborators that would prevent us from collaborating with others;</w:t>
      </w:r>
    </w:p>
    <w:p>
      <w:pPr>
        <w:spacing w:after="0" w:line="189" w:lineRule="exact"/>
        <w:rPr>
          <w:rFonts w:ascii="Times New Roman" w:cs="Times New Roman" w:eastAsia="Times New Roman" w:hAnsi="Times New Roman"/>
          <w:sz w:val="19"/>
          <w:szCs w:val="19"/>
          <w:color w:val="auto"/>
        </w:rPr>
      </w:pPr>
    </w:p>
    <w:p>
      <w:pPr>
        <w:jc w:val="both"/>
        <w:ind w:right="380" w:firstLine="348"/>
        <w:spacing w:after="0" w:line="274"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5" w:lineRule="exact"/>
        <w:rPr>
          <w:rFonts w:ascii="Times New Roman" w:cs="Times New Roman" w:eastAsia="Times New Roman" w:hAnsi="Times New Roman"/>
          <w:sz w:val="19"/>
          <w:szCs w:val="19"/>
          <w:color w:val="auto"/>
        </w:rPr>
      </w:pPr>
    </w:p>
    <w:p>
      <w:pPr>
        <w:jc w:val="both"/>
        <w:ind w:right="72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9"/>
          <w:szCs w:val="19"/>
          <w:color w:val="auto"/>
        </w:rPr>
      </w:pPr>
    </w:p>
    <w:p>
      <w:pPr>
        <w:ind w:right="10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collaborator’s sales and marketing activities or other operations may not be in compliance with applicable laws resulting in civil or criminal proceedings.</w:t>
      </w:r>
    </w:p>
    <w:p>
      <w:pPr>
        <w:spacing w:after="0" w:line="107"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26" w:lineRule="exact"/>
        <w:rPr>
          <w:sz w:val="20"/>
          <w:szCs w:val="20"/>
          <w:color w:val="auto"/>
        </w:rPr>
      </w:pPr>
    </w:p>
    <w:p>
      <w:pPr>
        <w:ind w:right="140" w:firstLine="349"/>
        <w:spacing w:after="0" w:line="232" w:lineRule="auto"/>
        <w:rPr>
          <w:sz w:val="20"/>
          <w:szCs w:val="20"/>
          <w:color w:val="auto"/>
        </w:rPr>
      </w:pPr>
      <w:r>
        <w:rPr>
          <w:rFonts w:ascii="Times New Roman" w:cs="Times New Roman" w:eastAsia="Times New Roman" w:hAnsi="Times New Roman"/>
          <w:sz w:val="19"/>
          <w:szCs w:val="19"/>
          <w:b w:val="1"/>
          <w:bCs w:val="1"/>
          <w:i w:val="1"/>
          <w:iCs w:val="1"/>
          <w:color w:val="auto"/>
        </w:rPr>
        <w:t>Even if we are able to complete development of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we may not achieve or maintain significant commercial market acceptance.</w:t>
      </w:r>
    </w:p>
    <w:p>
      <w:pPr>
        <w:spacing w:after="0" w:line="159" w:lineRule="exact"/>
        <w:rPr>
          <w:sz w:val="20"/>
          <w:szCs w:val="20"/>
          <w:color w:val="auto"/>
        </w:rPr>
      </w:pPr>
    </w:p>
    <w:p>
      <w:pPr>
        <w:ind w:right="60" w:firstLine="349"/>
        <w:spacing w:after="0" w:line="250" w:lineRule="auto"/>
        <w:rPr>
          <w:sz w:val="20"/>
          <w:szCs w:val="20"/>
          <w:color w:val="auto"/>
        </w:rPr>
      </w:pPr>
      <w:r>
        <w:rPr>
          <w:rFonts w:ascii="Times New Roman" w:cs="Times New Roman" w:eastAsia="Times New Roman" w:hAnsi="Times New Roman"/>
          <w:sz w:val="19"/>
          <w:szCs w:val="19"/>
          <w:color w:val="auto"/>
        </w:rPr>
        <w:t>Even if we are able to complete development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Voyager platform relative to existing technologies and to validate our Nautilus Voyager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Voyager platform takes longer than anticipated or does not occur, our business will be materially and adversely affected.</w:t>
      </w:r>
    </w:p>
    <w:p>
      <w:pPr>
        <w:spacing w:after="0" w:line="151" w:lineRule="exact"/>
        <w:rPr>
          <w:sz w:val="20"/>
          <w:szCs w:val="20"/>
          <w:color w:val="auto"/>
        </w:rPr>
      </w:pPr>
    </w:p>
    <w:p>
      <w:pPr>
        <w:ind w:right="160" w:firstLine="349"/>
        <w:spacing w:after="0" w:line="262" w:lineRule="auto"/>
        <w:rPr>
          <w:sz w:val="20"/>
          <w:szCs w:val="20"/>
          <w:color w:val="auto"/>
        </w:rPr>
      </w:pPr>
      <w:r>
        <w:rPr>
          <w:rFonts w:ascii="Times New Roman" w:cs="Times New Roman" w:eastAsia="Times New Roman" w:hAnsi="Times New Roman"/>
          <w:sz w:val="19"/>
          <w:szCs w:val="19"/>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Voyager platform in peer-reviewed journal publications will be critical to our ability to obtain widespread acceptance within the scientific community. In addition,</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880" w:h="15480" w:orient="portrait"/>
          <w:cols w:equalWidth="0" w:num="1">
            <w:col w:w="10480"/>
          </w:cols>
          <w:pgMar w:left="700" w:top="691" w:right="700" w:bottom="0" w:gutter="0" w:footer="0" w:header="0"/>
          <w:type w:val="continuous"/>
        </w:sectPr>
      </w:pPr>
    </w:p>
    <w:bookmarkStart w:id="39" w:name="page40"/>
    <w:bookmarkEnd w:id="39"/>
    <w:p>
      <w:pPr>
        <w:ind w:right="180"/>
        <w:spacing w:after="0" w:line="263" w:lineRule="auto"/>
        <w:rPr>
          <w:sz w:val="20"/>
          <w:szCs w:val="20"/>
          <w:color w:val="auto"/>
        </w:rPr>
      </w:pPr>
      <w:r>
        <w:rPr>
          <w:rFonts w:ascii="Times New Roman" w:cs="Times New Roman" w:eastAsia="Times New Roman" w:hAnsi="Times New Roman"/>
          <w:sz w:val="19"/>
          <w:szCs w:val="19"/>
          <w:color w:val="auto"/>
        </w:rPr>
        <w:t>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Specific, material factors that will influence our ability to achieve market acceptance include the following:</w:t>
      </w:r>
    </w:p>
    <w:p>
      <w:pPr>
        <w:spacing w:after="0" w:line="189" w:lineRule="exact"/>
        <w:rPr>
          <w:sz w:val="20"/>
          <w:szCs w:val="20"/>
          <w:color w:val="auto"/>
        </w:rPr>
      </w:pPr>
    </w:p>
    <w:p>
      <w:pPr>
        <w:ind w:right="220" w:firstLine="348"/>
        <w:spacing w:after="0" w:line="230"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marketing and engagement initiatives to increase awareness of the capabilities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w:t>
      </w:r>
    </w:p>
    <w:p>
      <w:pPr>
        <w:spacing w:after="0" w:line="155" w:lineRule="exact"/>
        <w:rPr>
          <w:rFonts w:ascii="Times New Roman" w:cs="Times New Roman" w:eastAsia="Times New Roman" w:hAnsi="Times New Roman"/>
          <w:sz w:val="19"/>
          <w:szCs w:val="19"/>
          <w:color w:val="auto"/>
        </w:rPr>
      </w:pPr>
    </w:p>
    <w:p>
      <w:pPr>
        <w:ind w:right="18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Nautilus Voyager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9"/>
          <w:szCs w:val="19"/>
          <w:color w:val="auto"/>
        </w:rPr>
      </w:pPr>
    </w:p>
    <w:p>
      <w:pPr>
        <w:ind w:right="40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demonstrate that the functionality and performance of our Nautilus Voyager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willingness of prospective customers to adopt new products and workflows;</w:t>
      </w:r>
    </w:p>
    <w:p>
      <w:pPr>
        <w:spacing w:after="0" w:line="189" w:lineRule="exact"/>
        <w:rPr>
          <w:rFonts w:ascii="Times New Roman" w:cs="Times New Roman" w:eastAsia="Times New Roman" w:hAnsi="Times New Roman"/>
          <w:sz w:val="19"/>
          <w:szCs w:val="19"/>
          <w:color w:val="auto"/>
        </w:rPr>
      </w:pPr>
    </w:p>
    <w:p>
      <w:pPr>
        <w:ind w:right="42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ease of use of our Nautilus Voyager platform and whether it reliably provides significant advantages over alternative products and technologies;</w:t>
      </w:r>
    </w:p>
    <w:p>
      <w:pPr>
        <w:spacing w:after="0" w:line="107" w:lineRule="exact"/>
        <w:rPr>
          <w:rFonts w:ascii="Times New Roman" w:cs="Times New Roman" w:eastAsia="Times New Roman" w:hAnsi="Times New Roman"/>
          <w:sz w:val="19"/>
          <w:szCs w:val="19"/>
          <w:color w:val="auto"/>
        </w:rPr>
      </w:pPr>
    </w:p>
    <w:p>
      <w:pPr>
        <w:ind w:right="24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rate of adoption of our Nautilus Voyager platform by biopharmaceutical companies, laboratories, academic institutions and others;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will be able to sell our Nautilus Voyager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new products, workflows, and solutions that meet customer requirements;</w:t>
      </w:r>
    </w:p>
    <w:p>
      <w:pPr>
        <w:spacing w:after="0" w:line="189" w:lineRule="exact"/>
        <w:rPr>
          <w:rFonts w:ascii="Times New Roman" w:cs="Times New Roman" w:eastAsia="Times New Roman" w:hAnsi="Times New Roman"/>
          <w:sz w:val="19"/>
          <w:szCs w:val="19"/>
          <w:color w:val="auto"/>
        </w:rPr>
      </w:pPr>
    </w:p>
    <w:p>
      <w:pPr>
        <w:ind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introduction or development and commercialization by competitors of new products or enhancements to existing products with functionality and/or performance similar to our Nautilus Voyager platform; and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our investments in product innovation and commercial growth.</w:t>
      </w:r>
    </w:p>
    <w:p>
      <w:pPr>
        <w:spacing w:after="0" w:line="189"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We cannot assure you that we will be successful in addressing any of these criteria or any additional criteria that might affect the market acceptance of our products. If we are unsuccessful in achieving and maintaining market acceptance of our Nautilus Voyager platform, our business, financial condition and results of operations would be adversely affected.</w:t>
      </w:r>
    </w:p>
    <w:p>
      <w:pPr>
        <w:spacing w:after="0" w:line="118" w:lineRule="exact"/>
        <w:rPr>
          <w:sz w:val="20"/>
          <w:szCs w:val="20"/>
          <w:color w:val="auto"/>
        </w:rPr>
      </w:pPr>
    </w:p>
    <w:p>
      <w:pPr>
        <w:ind w:right="480" w:firstLine="349"/>
        <w:spacing w:after="0" w:line="281" w:lineRule="auto"/>
        <w:rPr>
          <w:sz w:val="20"/>
          <w:szCs w:val="20"/>
          <w:color w:val="auto"/>
        </w:rPr>
      </w:pPr>
      <w:r>
        <w:rPr>
          <w:rFonts w:ascii="Times New Roman" w:cs="Times New Roman" w:eastAsia="Times New Roman" w:hAnsi="Times New Roman"/>
          <w:sz w:val="19"/>
          <w:szCs w:val="19"/>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would be delayed, which would result in lost revenue and harm our business.</w:t>
      </w:r>
    </w:p>
    <w:p>
      <w:pPr>
        <w:spacing w:after="0" w:line="32" w:lineRule="exact"/>
        <w:rPr>
          <w:sz w:val="20"/>
          <w:szCs w:val="20"/>
          <w:color w:val="auto"/>
        </w:rPr>
      </w:pPr>
    </w:p>
    <w:p>
      <w:pPr>
        <w:ind w:right="20" w:firstLine="349"/>
        <w:spacing w:after="0" w:line="257" w:lineRule="auto"/>
        <w:rPr>
          <w:sz w:val="20"/>
          <w:szCs w:val="20"/>
          <w:color w:val="auto"/>
        </w:rPr>
      </w:pPr>
      <w:r>
        <w:rPr>
          <w:rFonts w:ascii="Times New Roman" w:cs="Times New Roman" w:eastAsia="Times New Roman" w:hAnsi="Times New Roman"/>
          <w:sz w:val="19"/>
          <w:szCs w:val="19"/>
          <w:color w:val="auto"/>
        </w:rPr>
        <w:t>In order for us to commercialize our Nautilus Voyager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Voyager platform, we may utilize long lead time instrument system components, such as cameras and lasers, and as a result, it may impact our ability to consistently source such components. Additionally, we intend to utilize approximately 300 unique multi-affinity reagents and various antibodies in order to generate deep proteomic information at the speed and scale which we expect our Nautilus Voyager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Voyager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ectPr>
          <w:pgSz w:w="11880" w:h="15480" w:orient="portrait"/>
          <w:cols w:equalWidth="0" w:num="1">
            <w:col w:w="10460"/>
          </w:cols>
          <w:pgMar w:left="700" w:top="691" w:right="720" w:bottom="0" w:gutter="0" w:footer="0" w:header="0"/>
          <w:type w:val="continuous"/>
        </w:sectPr>
      </w:pPr>
    </w:p>
    <w:bookmarkStart w:id="40" w:name="page41"/>
    <w:bookmarkEnd w:id="40"/>
    <w:p>
      <w:pPr>
        <w:ind w:right="380" w:firstLine="349"/>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establish an effective commercial organization, including effective distribution channels and sales and marketing functions, we may not be successful in commercializing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w:t>
      </w:r>
    </w:p>
    <w:p>
      <w:pPr>
        <w:spacing w:after="0" w:line="15" w:lineRule="exact"/>
        <w:rPr>
          <w:sz w:val="20"/>
          <w:szCs w:val="20"/>
          <w:color w:val="auto"/>
        </w:rPr>
      </w:pPr>
    </w:p>
    <w:p>
      <w:pPr>
        <w:ind w:right="140" w:firstLine="349"/>
        <w:spacing w:after="0" w:line="250" w:lineRule="auto"/>
        <w:rPr>
          <w:sz w:val="20"/>
          <w:szCs w:val="20"/>
          <w:color w:val="auto"/>
        </w:rPr>
      </w:pPr>
      <w:r>
        <w:rPr>
          <w:rFonts w:ascii="Times New Roman" w:cs="Times New Roman" w:eastAsia="Times New Roman" w:hAnsi="Times New Roman"/>
          <w:sz w:val="19"/>
          <w:szCs w:val="19"/>
          <w:color w:val="auto"/>
        </w:rPr>
        <w:t>We are only beginning to establish an internal organization focused specifically on the commercialization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Voyager platform. Accordingly, these initiatives will adversely affect our operating expenses prior to us having material off-setting revenue, if any.</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To develop these functions successfully, we will face a number of additional risks, including:</w:t>
      </w:r>
    </w:p>
    <w:p>
      <w:pPr>
        <w:spacing w:after="0" w:line="189" w:lineRule="exact"/>
        <w:rPr>
          <w:sz w:val="20"/>
          <w:szCs w:val="20"/>
          <w:color w:val="auto"/>
        </w:rPr>
      </w:pPr>
    </w:p>
    <w:p>
      <w:pPr>
        <w:ind w:right="60" w:firstLine="348"/>
        <w:spacing w:after="0" w:line="274"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 and cost of establishing a specialized sales, marketing and customer service and support force.</w:t>
      </w:r>
    </w:p>
    <w:p>
      <w:pPr>
        <w:spacing w:after="0" w:line="189"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Voyager platform may not gain market acceptance, which could materially impact our business and results of operations.</w:t>
      </w:r>
    </w:p>
    <w:p>
      <w:pPr>
        <w:spacing w:after="0" w:line="129" w:lineRule="exact"/>
        <w:rPr>
          <w:sz w:val="20"/>
          <w:szCs w:val="20"/>
          <w:color w:val="auto"/>
        </w:rPr>
      </w:pPr>
    </w:p>
    <w:p>
      <w:pPr>
        <w:ind w:right="340" w:firstLine="349"/>
        <w:spacing w:after="0" w:line="232" w:lineRule="auto"/>
        <w:rPr>
          <w:sz w:val="20"/>
          <w:szCs w:val="20"/>
          <w:color w:val="auto"/>
        </w:rPr>
      </w:pPr>
      <w:r>
        <w:rPr>
          <w:rFonts w:ascii="Times New Roman" w:cs="Times New Roman" w:eastAsia="Times New Roman" w:hAnsi="Times New Roman"/>
          <w:sz w:val="19"/>
          <w:szCs w:val="19"/>
          <w:b w:val="1"/>
          <w:bCs w:val="1"/>
          <w:i w:val="1"/>
          <w:iCs w:val="1"/>
          <w:color w:val="auto"/>
        </w:rPr>
        <w:t>The size of the markets for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may be smaller than estimated, and new market opportunities may not develop as quickly as we expect, or at all, limiting our ability to successfully sell our products.</w:t>
      </w:r>
    </w:p>
    <w:p>
      <w:pPr>
        <w:spacing w:after="0" w:line="159" w:lineRule="exact"/>
        <w:rPr>
          <w:sz w:val="20"/>
          <w:szCs w:val="20"/>
          <w:color w:val="auto"/>
        </w:rPr>
      </w:pPr>
    </w:p>
    <w:p>
      <w:pPr>
        <w:ind w:firstLine="349"/>
        <w:spacing w:after="0" w:line="253" w:lineRule="auto"/>
        <w:rPr>
          <w:sz w:val="20"/>
          <w:szCs w:val="20"/>
          <w:color w:val="auto"/>
        </w:rPr>
      </w:pPr>
      <w:r>
        <w:rPr>
          <w:rFonts w:ascii="Times New Roman" w:cs="Times New Roman" w:eastAsia="Times New Roman" w:hAnsi="Times New Roman"/>
          <w:sz w:val="19"/>
          <w:szCs w:val="19"/>
          <w:color w:val="auto"/>
        </w:rPr>
        <w:t>The market for proteomics technologies and products is evolving, making it difficult to predict with any accuracy the size of the markets for our current and future products, including our Nautilus Voyager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60"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880" w:h="15480" w:orient="portrait"/>
          <w:cols w:equalWidth="0" w:num="1">
            <w:col w:w="10460"/>
          </w:cols>
          <w:pgMar w:left="700" w:top="684" w:right="720" w:bottom="0" w:gutter="0" w:footer="0" w:header="0"/>
          <w:type w:val="continuous"/>
        </w:sectPr>
      </w:pPr>
    </w:p>
    <w:bookmarkStart w:id="41" w:name="page42"/>
    <w:bookmarkEnd w:id="41"/>
    <w:p>
      <w:pPr>
        <w:ind w:right="580" w:firstLine="349"/>
        <w:spacing w:after="0" w:line="230" w:lineRule="auto"/>
        <w:rPr>
          <w:sz w:val="20"/>
          <w:szCs w:val="20"/>
          <w:color w:val="auto"/>
        </w:rPr>
      </w:pPr>
      <w:r>
        <w:rPr>
          <w:rFonts w:ascii="Times New Roman" w:cs="Times New Roman" w:eastAsia="Times New Roman" w:hAnsi="Times New Roman"/>
          <w:sz w:val="19"/>
          <w:szCs w:val="19"/>
          <w:b w:val="1"/>
          <w:bCs w:val="1"/>
          <w:i w:val="1"/>
          <w:iCs w:val="1"/>
          <w:color w:val="auto"/>
        </w:rPr>
        <w:t>We are dependent on single source suppliers for some of the components and materials used in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and the loss of any of these suppliers could harm our business.</w:t>
      </w:r>
    </w:p>
    <w:p>
      <w:pPr>
        <w:spacing w:after="0" w:line="160" w:lineRule="exact"/>
        <w:rPr>
          <w:sz w:val="20"/>
          <w:szCs w:val="20"/>
          <w:color w:val="auto"/>
        </w:rPr>
      </w:pPr>
    </w:p>
    <w:p>
      <w:pPr>
        <w:ind w:firstLine="349"/>
        <w:spacing w:after="0" w:line="250" w:lineRule="auto"/>
        <w:rPr>
          <w:sz w:val="20"/>
          <w:szCs w:val="20"/>
          <w:color w:val="auto"/>
        </w:rPr>
      </w:pPr>
      <w:r>
        <w:rPr>
          <w:rFonts w:ascii="Times New Roman" w:cs="Times New Roman" w:eastAsia="Times New Roman" w:hAnsi="Times New Roman"/>
          <w:sz w:val="19"/>
          <w:szCs w:val="19"/>
          <w:color w:val="auto"/>
        </w:rPr>
        <w:t>We rely on single source suppliers for certain components and materials used in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Voyager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46"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Voyager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right="7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life sciences technology market is highly competitive. If we fail to compete effectively, our business and results of operation will suffer.</w:t>
      </w:r>
    </w:p>
    <w:p>
      <w:pPr>
        <w:spacing w:after="0" w:line="105" w:lineRule="exact"/>
        <w:rPr>
          <w:sz w:val="20"/>
          <w:szCs w:val="20"/>
          <w:color w:val="auto"/>
        </w:rPr>
      </w:pPr>
    </w:p>
    <w:p>
      <w:pPr>
        <w:jc w:val="both"/>
        <w:ind w:right="220" w:firstLine="349"/>
        <w:spacing w:after="0" w:line="265" w:lineRule="auto"/>
        <w:rPr>
          <w:sz w:val="20"/>
          <w:szCs w:val="20"/>
          <w:color w:val="auto"/>
        </w:rPr>
      </w:pPr>
      <w:r>
        <w:rPr>
          <w:rFonts w:ascii="Times New Roman" w:cs="Times New Roman" w:eastAsia="Times New Roman" w:hAnsi="Times New Roman"/>
          <w:sz w:val="19"/>
          <w:szCs w:val="19"/>
          <w:color w:val="auto"/>
        </w:rPr>
        <w:t>We face significant competition in the life sciences technology market. We currently compete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and Illumina, Inc. (through its acquisition of the former Somalogic business from Standard Biotools Inc.). We also compete with a number of emerging companies that are developing proteomic products and solutions.</w:t>
      </w:r>
    </w:p>
    <w:p>
      <w:pPr>
        <w:spacing w:after="0" w:line="133" w:lineRule="exact"/>
        <w:rPr>
          <w:sz w:val="20"/>
          <w:szCs w:val="20"/>
          <w:color w:val="auto"/>
        </w:rPr>
      </w:pPr>
    </w:p>
    <w:p>
      <w:pPr>
        <w:ind w:right="360" w:firstLine="349"/>
        <w:spacing w:after="0" w:line="293" w:lineRule="auto"/>
        <w:rPr>
          <w:sz w:val="20"/>
          <w:szCs w:val="20"/>
          <w:color w:val="auto"/>
        </w:rPr>
      </w:pPr>
      <w:r>
        <w:rPr>
          <w:rFonts w:ascii="Times New Roman" w:cs="Times New Roman" w:eastAsia="Times New Roman" w:hAnsi="Times New Roman"/>
          <w:sz w:val="19"/>
          <w:szCs w:val="19"/>
          <w:color w:val="auto"/>
        </w:rPr>
        <w:t>Some of our current competitors are large publicly-traded companies, or are divisions of large publicly-traded companies, and enjoy a number of competitive advantages over us, including:</w:t>
      </w:r>
    </w:p>
    <w:p>
      <w:pPr>
        <w:spacing w:after="0" w:line="107" w:lineRule="exact"/>
        <w:rPr>
          <w:sz w:val="20"/>
          <w:szCs w:val="20"/>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greater name and brand recognition;</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greater financial and human resources;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broader product lines;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larger sales forces and more established distributor networks;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 intellectual property portfolios;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larger and more established customer bases and relationships;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established, larger scale and lower cost manufacturing capabilities.</w:t>
      </w:r>
    </w:p>
    <w:p>
      <w:pPr>
        <w:spacing w:after="0" w:line="189"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sectPr>
          <w:pgSz w:w="11880" w:h="15480" w:orient="portrait"/>
          <w:cols w:equalWidth="0" w:num="1">
            <w:col w:w="10480"/>
          </w:cols>
          <w:pgMar w:left="700" w:top="68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880" w:h="15480" w:orient="portrait"/>
          <w:cols w:equalWidth="0" w:num="1">
            <w:col w:w="10480"/>
          </w:cols>
          <w:pgMar w:left="700" w:top="687" w:right="700" w:bottom="0" w:gutter="0" w:footer="0" w:header="0"/>
          <w:type w:val="continuous"/>
        </w:sectPr>
      </w:pPr>
    </w:p>
    <w:bookmarkStart w:id="42" w:name="page43"/>
    <w:bookmarkEnd w:id="42"/>
    <w:p>
      <w:pPr>
        <w:ind w:right="60" w:firstLine="349"/>
        <w:spacing w:after="0" w:line="232" w:lineRule="auto"/>
        <w:rPr>
          <w:sz w:val="20"/>
          <w:szCs w:val="20"/>
          <w:color w:val="auto"/>
        </w:rPr>
      </w:pPr>
      <w:r>
        <w:rPr>
          <w:rFonts w:ascii="Times New Roman" w:cs="Times New Roman" w:eastAsia="Times New Roman" w:hAnsi="Times New Roman"/>
          <w:sz w:val="19"/>
          <w:szCs w:val="19"/>
          <w:b w:val="1"/>
          <w:bCs w:val="1"/>
          <w:i w:val="1"/>
          <w:iCs w:val="1"/>
          <w:color w:val="auto"/>
        </w:rPr>
        <w:t>Even if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is commercialized and achieves broad scientific and market acceptance, if we fail to improve it or introduce compelling new products, our revenue and our prospects could be harmed.</w:t>
      </w:r>
    </w:p>
    <w:p>
      <w:pPr>
        <w:spacing w:after="0" w:line="159" w:lineRule="exact"/>
        <w:rPr>
          <w:sz w:val="20"/>
          <w:szCs w:val="20"/>
          <w:color w:val="auto"/>
        </w:rPr>
      </w:pPr>
    </w:p>
    <w:p>
      <w:pPr>
        <w:ind w:firstLine="349"/>
        <w:spacing w:after="0" w:line="250" w:lineRule="auto"/>
        <w:rPr>
          <w:sz w:val="20"/>
          <w:szCs w:val="20"/>
          <w:color w:val="auto"/>
        </w:rPr>
      </w:pPr>
      <w:r>
        <w:rPr>
          <w:rFonts w:ascii="Times New Roman" w:cs="Times New Roman" w:eastAsia="Times New Roman" w:hAnsi="Times New Roman"/>
          <w:sz w:val="19"/>
          <w:szCs w:val="19"/>
          <w:color w:val="auto"/>
        </w:rPr>
        <w:t>The life sciences industry is characterized by rapid and significant technological changes, frequent new product introductions and enhancements and evolving industry standards. Even if we are able to commercialize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and achieve broad scientific and market acceptance, our ability to attract new customers and increase revenue from existing customers will depend in large part on our ability to enhance and improve our Nautilus Voyager platform and to introduce compelling new products. The success of any enhancement to our Nautilus Voyager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Voyager platform that we develop may not be introduced in a timely or cost-effective manner, may contain defects, errors, vulnerabilities or bugs, or may not achieve the market acceptance necessary to generate significant revenue.</w:t>
      </w:r>
    </w:p>
    <w:p>
      <w:pPr>
        <w:spacing w:after="0" w:line="151"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100" w:firstLine="349"/>
        <w:spacing w:after="0" w:line="239" w:lineRule="auto"/>
        <w:rPr>
          <w:sz w:val="20"/>
          <w:szCs w:val="20"/>
          <w:color w:val="auto"/>
        </w:rPr>
      </w:pPr>
      <w:r>
        <w:rPr>
          <w:rFonts w:ascii="Times New Roman" w:cs="Times New Roman" w:eastAsia="Times New Roman" w:hAnsi="Times New Roman"/>
          <w:sz w:val="19"/>
          <w:szCs w:val="19"/>
          <w:b w:val="1"/>
          <w:bCs w:val="1"/>
          <w:i w:val="1"/>
          <w:iCs w:val="1"/>
          <w:color w:val="auto"/>
        </w:rPr>
        <w:t>We rely on third parties for development of certain aspects of the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and any failure of these third parties to perform their respective obligations in a timely manner or to our specifications could negatively impact our timelines, costs or product performance.</w:t>
      </w:r>
    </w:p>
    <w:p>
      <w:pPr>
        <w:spacing w:after="0" w:line="159" w:lineRule="exact"/>
        <w:rPr>
          <w:sz w:val="20"/>
          <w:szCs w:val="20"/>
          <w:color w:val="auto"/>
        </w:rPr>
      </w:pPr>
    </w:p>
    <w:p>
      <w:pPr>
        <w:ind w:right="120" w:firstLine="349"/>
        <w:spacing w:after="0" w:line="260" w:lineRule="auto"/>
        <w:rPr>
          <w:sz w:val="20"/>
          <w:szCs w:val="20"/>
          <w:color w:val="auto"/>
        </w:rPr>
      </w:pPr>
      <w:r>
        <w:rPr>
          <w:rFonts w:ascii="Times New Roman" w:cs="Times New Roman" w:eastAsia="Times New Roman" w:hAnsi="Times New Roman"/>
          <w:sz w:val="19"/>
          <w:szCs w:val="19"/>
          <w:color w:val="auto"/>
        </w:rPr>
        <w:t>We are engaged with a number of third party collaborators who assist us in co-development of certain aspects of the Nautilus Voyager platform, including, for example, certain affinity reagents and array chip substrates. Our agreements with these third party collaborators include obligations for these third parties to deliver certain aspects of technology to be used in the Nautilus Voyager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Voyager platform, its performance, or its cost.</w:t>
      </w:r>
    </w:p>
    <w:p>
      <w:pPr>
        <w:spacing w:after="0" w:line="134" w:lineRule="exact"/>
        <w:rPr>
          <w:sz w:val="20"/>
          <w:szCs w:val="20"/>
          <w:color w:val="auto"/>
        </w:rPr>
      </w:pPr>
    </w:p>
    <w:p>
      <w:pPr>
        <w:ind w:right="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4" w:lineRule="exact"/>
        <w:rPr>
          <w:sz w:val="20"/>
          <w:szCs w:val="20"/>
          <w:color w:val="auto"/>
        </w:rPr>
      </w:pPr>
    </w:p>
    <w:p>
      <w:pPr>
        <w:ind w:firstLine="349"/>
        <w:spacing w:after="0" w:line="252" w:lineRule="auto"/>
        <w:rPr>
          <w:sz w:val="20"/>
          <w:szCs w:val="20"/>
          <w:color w:val="auto"/>
        </w:rPr>
      </w:pPr>
      <w:r>
        <w:rPr>
          <w:rFonts w:ascii="Times New Roman" w:cs="Times New Roman" w:eastAsia="Times New Roman" w:hAnsi="Times New Roman"/>
          <w:sz w:val="19"/>
          <w:szCs w:val="19"/>
          <w:color w:val="auto"/>
        </w:rPr>
        <w:t>We expect that our revenue in the foreseeable future will be derived primarily from sales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Voyager platform. These reductions and delays may result from factors that are not within our control, such as:</w:t>
      </w:r>
    </w:p>
    <w:p>
      <w:pPr>
        <w:spacing w:after="0" w:line="145" w:lineRule="exact"/>
        <w:rPr>
          <w:sz w:val="20"/>
          <w:szCs w:val="20"/>
          <w:color w:val="auto"/>
        </w:rPr>
      </w:pPr>
    </w:p>
    <w:p>
      <w:pPr>
        <w:ind w:right="380" w:firstLine="348"/>
        <w:spacing w:after="0" w:line="293" w:lineRule="auto"/>
        <w:tabs>
          <w:tab w:leader="none" w:pos="69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in government funding of research and development, including any reductions in funding to the U.S. National Institutes of Health;</w:t>
      </w:r>
    </w:p>
    <w:p>
      <w:pPr>
        <w:spacing w:after="0" w:line="107" w:lineRule="exact"/>
        <w:rPr>
          <w:rFonts w:ascii="Times New Roman" w:cs="Times New Roman" w:eastAsia="Times New Roman" w:hAnsi="Times New Roman"/>
          <w:sz w:val="19"/>
          <w:szCs w:val="19"/>
          <w:color w:val="auto"/>
        </w:rPr>
      </w:pPr>
    </w:p>
    <w:p>
      <w:pPr>
        <w:ind w:right="220" w:firstLine="348"/>
        <w:spacing w:after="0" w:line="293" w:lineRule="auto"/>
        <w:tabs>
          <w:tab w:leader="none" w:pos="69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economic conditions, including recessionary effects, inflationary pressures and volatility in the global financial markets, including with respect to any future financial institution failures;</w:t>
      </w:r>
    </w:p>
    <w:p>
      <w:pPr>
        <w:sectPr>
          <w:pgSz w:w="11880" w:h="15480" w:orient="portrait"/>
          <w:cols w:equalWidth="0" w:num="1">
            <w:col w:w="10400"/>
          </w:cols>
          <w:pgMar w:left="700" w:top="68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41</w:t>
      </w:r>
    </w:p>
    <w:p>
      <w:pPr>
        <w:sectPr>
          <w:pgSz w:w="11880" w:h="15480" w:orient="portrait"/>
          <w:cols w:equalWidth="0" w:num="1">
            <w:col w:w="10400"/>
          </w:cols>
          <w:pgMar w:left="700" w:top="684" w:right="780" w:bottom="0" w:gutter="0" w:footer="0" w:header="0"/>
          <w:type w:val="continuous"/>
        </w:sectPr>
      </w:pPr>
    </w:p>
    <w:bookmarkStart w:id="43" w:name="page44"/>
    <w:bookmarkEnd w:id="43"/>
    <w:p>
      <w:pPr>
        <w:ind w:right="160" w:firstLine="348"/>
        <w:spacing w:after="0" w:line="274"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25" w:lineRule="exact"/>
        <w:rPr>
          <w:rFonts w:ascii="Times New Roman" w:cs="Times New Roman" w:eastAsia="Times New Roman" w:hAnsi="Times New Roman"/>
          <w:sz w:val="19"/>
          <w:szCs w:val="19"/>
          <w:color w:val="auto"/>
        </w:rPr>
      </w:pPr>
    </w:p>
    <w:p>
      <w:pPr>
        <w:ind w:right="620" w:firstLine="348"/>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tax legislation that may indirectly impact research institutions’ ability to allocate funds to different areas of research;</w:t>
      </w:r>
    </w:p>
    <w:p>
      <w:pPr>
        <w:spacing w:after="0" w:line="107" w:lineRule="exact"/>
        <w:rPr>
          <w:rFonts w:ascii="Times New Roman" w:cs="Times New Roman" w:eastAsia="Times New Roman" w:hAnsi="Times New Roman"/>
          <w:sz w:val="19"/>
          <w:szCs w:val="19"/>
          <w:color w:val="auto"/>
        </w:rPr>
      </w:pPr>
    </w:p>
    <w:p>
      <w:pPr>
        <w:ind w:right="420" w:firstLine="348"/>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regulatory environment affecting life science and Ag-Bio companies engaged in research and commercial activities;</w:t>
      </w:r>
    </w:p>
    <w:p>
      <w:pPr>
        <w:spacing w:after="0" w:line="105" w:lineRule="exact"/>
        <w:rPr>
          <w:rFonts w:ascii="Times New Roman" w:cs="Times New Roman" w:eastAsia="Times New Roman" w:hAnsi="Times New Roman"/>
          <w:sz w:val="19"/>
          <w:szCs w:val="19"/>
          <w:color w:val="auto"/>
        </w:rPr>
      </w:pPr>
    </w:p>
    <w:p>
      <w:pPr>
        <w:ind w:right="460" w:firstLine="348"/>
        <w:spacing w:after="0" w:line="295"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availability of AI and </w:t>
      </w:r>
      <w:r>
        <w:rPr>
          <w:rFonts w:ascii="Times New Roman" w:cs="Times New Roman" w:eastAsia="Times New Roman" w:hAnsi="Times New Roman"/>
          <w:sz w:val="19"/>
          <w:szCs w:val="19"/>
          <w:b w:val="1"/>
          <w:bCs w:val="1"/>
          <w:i w:val="1"/>
          <w:iCs w:val="1"/>
          <w:color w:val="auto"/>
        </w:rPr>
        <w:t>in silico</w:t>
      </w:r>
      <w:r>
        <w:rPr>
          <w:rFonts w:ascii="Times New Roman" w:cs="Times New Roman" w:eastAsia="Times New Roman" w:hAnsi="Times New Roman"/>
          <w:sz w:val="19"/>
          <w:szCs w:val="19"/>
          <w:color w:val="auto"/>
        </w:rPr>
        <w:t xml:space="preserve"> based research and development approaches, such as in drug discovery, that could impact funding allocations for R&amp;D in the pharmaceutical and biotechnology industry;</w:t>
      </w:r>
    </w:p>
    <w:p>
      <w:pPr>
        <w:spacing w:after="0" w:line="10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differences in budget cycles across various geographies and industries;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market-driven pressures on companies to consolidate operations and reduce costs;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and acquisitions in the life science and Ag-Bio industries;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factors affecting research and development spending.</w:t>
      </w:r>
    </w:p>
    <w:p>
      <w:pPr>
        <w:spacing w:after="0" w:line="189"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18" w:lineRule="exact"/>
        <w:rPr>
          <w:sz w:val="20"/>
          <w:szCs w:val="20"/>
          <w:color w:val="auto"/>
        </w:rPr>
      </w:pPr>
    </w:p>
    <w:p>
      <w:pPr>
        <w:ind w:right="3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380" w:firstLine="349"/>
        <w:spacing w:after="0" w:line="279" w:lineRule="auto"/>
        <w:rPr>
          <w:sz w:val="20"/>
          <w:szCs w:val="20"/>
          <w:color w:val="auto"/>
        </w:rPr>
      </w:pPr>
      <w:r>
        <w:rPr>
          <w:rFonts w:ascii="Times New Roman" w:cs="Times New Roman" w:eastAsia="Times New Roman" w:hAnsi="Times New Roman"/>
          <w:sz w:val="19"/>
          <w:szCs w:val="19"/>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specific factors that may result in fluctuations include, without limitation:</w:t>
      </w:r>
    </w:p>
    <w:p>
      <w:pPr>
        <w:spacing w:after="0" w:line="31" w:lineRule="exact"/>
        <w:rPr>
          <w:sz w:val="20"/>
          <w:szCs w:val="20"/>
          <w:color w:val="auto"/>
        </w:rPr>
      </w:pPr>
    </w:p>
    <w:p>
      <w:pPr>
        <w:ind w:right="140" w:firstLine="348"/>
        <w:spacing w:after="0" w:line="293" w:lineRule="auto"/>
        <w:tabs>
          <w:tab w:leader="none" w:pos="69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cost of, and level of investment in, research and development and commercialization activities relating to our Nautilus Voyager platform;</w:t>
      </w:r>
    </w:p>
    <w:p>
      <w:pPr>
        <w:spacing w:after="0" w:line="107" w:lineRule="exact"/>
        <w:rPr>
          <w:rFonts w:ascii="Times New Roman" w:cs="Times New Roman" w:eastAsia="Times New Roman" w:hAnsi="Times New Roman"/>
          <w:sz w:val="19"/>
          <w:szCs w:val="19"/>
          <w:color w:val="auto"/>
        </w:rPr>
      </w:pPr>
    </w:p>
    <w:p>
      <w:pPr>
        <w:ind w:right="520" w:firstLine="348"/>
        <w:spacing w:after="0" w:line="293" w:lineRule="auto"/>
        <w:tabs>
          <w:tab w:leader="none" w:pos="69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establish and successfully maintain appropriate collaborations and derive revenue from those collaborations;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that economic inflation may have on our costs for manufacturing our products;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litigation or governmental investigations involving us, our industry or both;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develop and commercialize our Nautilus Voyager platform on our anticipated timeline.</w:t>
      </w:r>
    </w:p>
    <w:p>
      <w:pPr>
        <w:spacing w:after="0" w:line="189"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5" w:lineRule="exact"/>
        <w:rPr>
          <w:sz w:val="20"/>
          <w:szCs w:val="20"/>
          <w:color w:val="auto"/>
        </w:rPr>
      </w:pPr>
    </w:p>
    <w:p>
      <w:pPr>
        <w:ind w:right="220" w:firstLine="348"/>
        <w:spacing w:after="0" w:line="293"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demand for any products we are able to commercialize, particularly our Nautilus Voyager platform, which may vary significantly from period to period;</w:t>
      </w:r>
    </w:p>
    <w:p>
      <w:pPr>
        <w:spacing w:after="0" w:line="107" w:lineRule="exact"/>
        <w:rPr>
          <w:rFonts w:ascii="Times New Roman" w:cs="Times New Roman" w:eastAsia="Times New Roman" w:hAnsi="Times New Roman"/>
          <w:sz w:val="19"/>
          <w:szCs w:val="19"/>
          <w:color w:val="auto"/>
        </w:rPr>
      </w:pPr>
    </w:p>
    <w:p>
      <w:pPr>
        <w:ind w:right="120" w:firstLine="348"/>
        <w:spacing w:after="0" w:line="293"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drive adoption of our Nautilus Voyager platform in our target markets and our ability to expand into any future target markets;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that economic inflation may have on our costs for manufacturing our products;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will be able to sell our Nautilus Voyager platform;</w:t>
      </w:r>
    </w:p>
    <w:p>
      <w:pPr>
        <w:spacing w:after="0" w:line="189"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9"/>
          <w:szCs w:val="19"/>
          <w:color w:val="auto"/>
        </w:rPr>
      </w:pPr>
    </w:p>
    <w:p>
      <w:pPr>
        <w:ind w:right="540" w:firstLine="348"/>
        <w:spacing w:after="0" w:line="293"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amount of expenditures that we may incur to develop, commercialize or acquire additional products and technologies or for other purposes, such as the expansion of our facilities;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880" w:h="15480" w:orient="portrait"/>
          <w:cols w:equalWidth="0" w:num="1">
            <w:col w:w="10480"/>
          </w:cols>
          <w:pgMar w:left="700" w:top="691" w:right="700" w:bottom="0" w:gutter="0" w:footer="0" w:header="0"/>
          <w:type w:val="continuous"/>
        </w:sectPr>
      </w:pPr>
    </w:p>
    <w:bookmarkStart w:id="44" w:name="page45"/>
    <w:bookmarkEnd w:id="44"/>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governmental funding of life sciences research and development or changes that impact budgets and budget</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cycles;</w:t>
      </w:r>
    </w:p>
    <w:p>
      <w:pPr>
        <w:spacing w:after="0" w:line="16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seasonal spending patterns of our customers;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when we recognize any revenue;</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accounting pronouncements or changes in our accounting policies;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higher than anticipated service, replacement and warranty costs;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and/or unpredictable tariffs on our products, and/or on parts or materials that we source from foreign suppliers;</w:t>
      </w:r>
    </w:p>
    <w:p>
      <w:pPr>
        <w:spacing w:after="0" w:line="189" w:lineRule="exact"/>
        <w:rPr>
          <w:rFonts w:ascii="Times New Roman" w:cs="Times New Roman" w:eastAsia="Times New Roman" w:hAnsi="Times New Roman"/>
          <w:sz w:val="19"/>
          <w:szCs w:val="19"/>
          <w:color w:val="auto"/>
        </w:rPr>
      </w:pPr>
    </w:p>
    <w:p>
      <w:pPr>
        <w:ind w:right="160" w:firstLine="348"/>
        <w:spacing w:after="0" w:line="274" w:lineRule="auto"/>
        <w:tabs>
          <w:tab w:leader="none" w:pos="69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conflicts in Eastern Europe and the Middle East,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5" w:lineRule="exact"/>
        <w:rPr>
          <w:rFonts w:ascii="Times New Roman" w:cs="Times New Roman" w:eastAsia="Times New Roman" w:hAnsi="Times New Roman"/>
          <w:sz w:val="19"/>
          <w:szCs w:val="19"/>
          <w:color w:val="auto"/>
        </w:rPr>
      </w:pPr>
    </w:p>
    <w:p>
      <w:pPr>
        <w:ind w:right="60" w:firstLine="348"/>
        <w:spacing w:after="0" w:line="293" w:lineRule="auto"/>
        <w:tabs>
          <w:tab w:leader="none" w:pos="69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industry, economic and market conditions and other factors, including factors unrelated to our operating performance or the operating performance of our competitors.</w:t>
      </w:r>
    </w:p>
    <w:p>
      <w:pPr>
        <w:spacing w:after="0" w:line="107"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5"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4"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firstLine="349"/>
        <w:spacing w:after="0" w:line="247" w:lineRule="auto"/>
        <w:rPr>
          <w:sz w:val="20"/>
          <w:szCs w:val="20"/>
          <w:color w:val="auto"/>
        </w:rPr>
      </w:pPr>
      <w:r>
        <w:rPr>
          <w:rFonts w:ascii="Times New Roman" w:cs="Times New Roman" w:eastAsia="Times New Roman" w:hAnsi="Times New Roman"/>
          <w:sz w:val="19"/>
          <w:szCs w:val="19"/>
          <w:color w:val="auto"/>
        </w:rPr>
        <w:t>We are a life sciences technology company with a limited operating history. We have not completed development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or any other products and have not generated any revenue to date. Our operations to date have been limited to developing our Nautilus Voyager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52" w:lineRule="exact"/>
        <w:rPr>
          <w:sz w:val="20"/>
          <w:szCs w:val="20"/>
          <w:color w:val="auto"/>
        </w:rPr>
      </w:pPr>
    </w:p>
    <w:p>
      <w:pPr>
        <w:ind w:right="140" w:firstLine="349"/>
        <w:spacing w:after="0" w:line="261" w:lineRule="auto"/>
        <w:rPr>
          <w:sz w:val="20"/>
          <w:szCs w:val="20"/>
          <w:color w:val="auto"/>
        </w:rPr>
      </w:pPr>
      <w:r>
        <w:rPr>
          <w:rFonts w:ascii="Times New Roman" w:cs="Times New Roman" w:eastAsia="Times New Roman" w:hAnsi="Times New Roman"/>
          <w:sz w:val="19"/>
          <w:szCs w:val="19"/>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expect that we will need to raise additional capital to fund our development and commercialization plans.</w:t>
      </w:r>
    </w:p>
    <w:p>
      <w:pPr>
        <w:spacing w:after="0" w:line="196"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136" w:lineRule="exact"/>
        <w:rPr>
          <w:sz w:val="20"/>
          <w:szCs w:val="20"/>
          <w:color w:val="auto"/>
        </w:rPr>
      </w:pPr>
    </w:p>
    <w:p>
      <w:pPr>
        <w:ind w:right="360" w:firstLine="349"/>
        <w:spacing w:after="0" w:line="293" w:lineRule="auto"/>
        <w:rPr>
          <w:sz w:val="20"/>
          <w:szCs w:val="20"/>
          <w:color w:val="auto"/>
        </w:rPr>
      </w:pPr>
      <w:r>
        <w:rPr>
          <w:rFonts w:ascii="Times New Roman" w:cs="Times New Roman" w:eastAsia="Times New Roman" w:hAnsi="Times New Roman"/>
          <w:sz w:val="19"/>
          <w:szCs w:val="19"/>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7" w:lineRule="exact"/>
        <w:rPr>
          <w:sz w:val="20"/>
          <w:szCs w:val="20"/>
          <w:color w:val="auto"/>
        </w:rPr>
      </w:pPr>
    </w:p>
    <w:p>
      <w:pPr>
        <w:ind w:left="700" w:hanging="352"/>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funding development and marketing efforts of our Nautilus Voyager platform or any other future products;</w:t>
      </w:r>
    </w:p>
    <w:p>
      <w:pPr>
        <w:spacing w:after="0" w:line="189" w:lineRule="exact"/>
        <w:rPr>
          <w:rFonts w:ascii="Times New Roman" w:cs="Times New Roman" w:eastAsia="Times New Roman" w:hAnsi="Times New Roman"/>
          <w:sz w:val="19"/>
          <w:szCs w:val="19"/>
          <w:color w:val="auto"/>
        </w:rPr>
      </w:pPr>
    </w:p>
    <w:p>
      <w:pPr>
        <w:ind w:right="360" w:firstLine="348"/>
        <w:spacing w:after="0" w:line="293" w:lineRule="auto"/>
        <w:tabs>
          <w:tab w:leader="none" w:pos="69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increasing our sales and marketing and other commercialization efforts to drive market adoption of our Nautilus Voyager platform, once commercialized;</w:t>
      </w:r>
    </w:p>
    <w:p>
      <w:pPr>
        <w:sectPr>
          <w:pgSz w:w="11880" w:h="15480" w:orient="portrait"/>
          <w:cols w:equalWidth="0" w:num="1">
            <w:col w:w="10480"/>
          </w:cols>
          <w:pgMar w:left="700" w:top="691" w:right="700" w:bottom="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880" w:h="15480" w:orient="portrait"/>
          <w:cols w:equalWidth="0" w:num="1">
            <w:col w:w="10480"/>
          </w:cols>
          <w:pgMar w:left="700" w:top="691" w:right="700" w:bottom="0" w:gutter="0" w:footer="0" w:header="0"/>
          <w:type w:val="continuous"/>
        </w:sectPr>
      </w:pPr>
    </w:p>
    <w:bookmarkStart w:id="45" w:name="page46"/>
    <w:bookmarkEnd w:id="45"/>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expanding our technologies into additional markets;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preparing, filing, prosecuting, defending and enforcing any patent claims and other intellectual property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acquiring, licensing or defending against third party intellectual property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acquiring or investing in complementary technologies, businesses or assets;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financing capital expenditures and general and administrative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Our present and future funding requirements will depend on many factors, including:</w:t>
      </w:r>
    </w:p>
    <w:p>
      <w:pPr>
        <w:spacing w:after="0" w:line="189" w:lineRule="exact"/>
        <w:rPr>
          <w:sz w:val="20"/>
          <w:szCs w:val="20"/>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execution of our development plans;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and timing of our investment in our sales, marketing, and distribution capabilities;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to our business that affect ongoing operating expenses;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of filing, prosecuting, defending and enforcing any patent claims and other intellectual property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in our business or commercialization strategy;</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in our research and development spending plans;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competing technological and market developments;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need to implement additional infrastructure and internal systems;</w:t>
      </w:r>
    </w:p>
    <w:p>
      <w:pPr>
        <w:spacing w:after="0" w:line="189" w:lineRule="exact"/>
        <w:rPr>
          <w:rFonts w:ascii="Times New Roman" w:cs="Times New Roman" w:eastAsia="Times New Roman" w:hAnsi="Times New Roman"/>
          <w:sz w:val="19"/>
          <w:szCs w:val="19"/>
          <w:color w:val="auto"/>
        </w:rPr>
      </w:pPr>
    </w:p>
    <w:p>
      <w:pPr>
        <w:ind w:right="40" w:firstLine="348"/>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geopolitical conflicts, including war, trade embargoes, tariff policies and boycotts, changing interest rates, volatility in the global financial markets and general economic downturns; and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items affecting our forecasted level of expenditures and use of cash resources including potential acquisitions.</w:t>
      </w:r>
    </w:p>
    <w:p>
      <w:pPr>
        <w:spacing w:after="0" w:line="189" w:lineRule="exact"/>
        <w:rPr>
          <w:sz w:val="20"/>
          <w:szCs w:val="20"/>
          <w:color w:val="auto"/>
        </w:rPr>
      </w:pPr>
    </w:p>
    <w:p>
      <w:pPr>
        <w:ind w:right="20" w:firstLine="349"/>
        <w:spacing w:after="0" w:line="264" w:lineRule="auto"/>
        <w:rPr>
          <w:sz w:val="20"/>
          <w:szCs w:val="20"/>
          <w:color w:val="auto"/>
        </w:rPr>
      </w:pPr>
      <w:r>
        <w:rPr>
          <w:rFonts w:ascii="Times New Roman" w:cs="Times New Roman" w:eastAsia="Times New Roman" w:hAnsi="Times New Roman"/>
          <w:sz w:val="19"/>
          <w:szCs w:val="19"/>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371"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We may be unable to raise additional funds or to enter into such agreements or arrangements on favorable terms, or at all. We filed (i) on February 28, 2024, a shelf registration statement on Form S-3 with the SEC that became effective on March 6, 2024 and allows us to undertake various equity and debt offerings up to $300.0 million; and (ii) on March 6, 2024, a prospectus supplement to the shelf registration statement that covers the offering, issuance and sale of up to $125.0 million of our common stock from time to time through an “at-the-market” program under the Securities Act. Our ability to raise additional funds may be adversely impacted by potential worsening global economic conditions and disruptions to, and volatility in, the credit and financial markets in the United States and worldwide, the global geopolitical conflicts,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7" w:lineRule="exact"/>
        <w:rPr>
          <w:sz w:val="20"/>
          <w:szCs w:val="20"/>
          <w:color w:val="auto"/>
        </w:rPr>
      </w:pPr>
    </w:p>
    <w:p>
      <w:pPr>
        <w:jc w:val="both"/>
        <w:ind w:right="80" w:firstLine="349"/>
        <w:spacing w:after="0" w:line="263" w:lineRule="auto"/>
        <w:rPr>
          <w:sz w:val="20"/>
          <w:szCs w:val="20"/>
          <w:color w:val="auto"/>
        </w:rPr>
      </w:pPr>
      <w:r>
        <w:rPr>
          <w:rFonts w:ascii="Times New Roman" w:cs="Times New Roman" w:eastAsia="Times New Roman" w:hAnsi="Times New Roman"/>
          <w:sz w:val="19"/>
          <w:szCs w:val="19"/>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9"/>
          <w:szCs w:val="19"/>
          <w:color w:val="auto"/>
        </w:rPr>
        <w:t>For example, the collapse of Silicon Valley Bank and other financial institutions in March 2023 has caused and could continue to cause volatility in the global financial markets.</w:t>
      </w:r>
    </w:p>
    <w:p>
      <w:pPr>
        <w:spacing w:after="0" w:line="127"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880" w:h="15480" w:orient="portrait"/>
          <w:cols w:equalWidth="0" w:num="1">
            <w:col w:w="10460"/>
          </w:cols>
          <w:pgMar w:left="700" w:top="691" w:right="720" w:bottom="0" w:gutter="0" w:footer="0" w:header="0"/>
          <w:type w:val="continuous"/>
        </w:sectPr>
      </w:pPr>
    </w:p>
    <w:bookmarkStart w:id="46" w:name="page47"/>
    <w:bookmarkEnd w:id="46"/>
    <w:p>
      <w:pPr>
        <w:ind w:right="20"/>
        <w:spacing w:after="0" w:line="274" w:lineRule="auto"/>
        <w:rPr>
          <w:sz w:val="20"/>
          <w:szCs w:val="20"/>
          <w:color w:val="auto"/>
        </w:rPr>
      </w:pPr>
      <w:r>
        <w:rPr>
          <w:rFonts w:ascii="Times New Roman" w:cs="Times New Roman" w:eastAsia="Times New Roman" w:hAnsi="Times New Roman"/>
          <w:sz w:val="19"/>
          <w:szCs w:val="19"/>
          <w:color w:val="auto"/>
        </w:rPr>
        <w:t>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25"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89" w:lineRule="exact"/>
        <w:rPr>
          <w:sz w:val="20"/>
          <w:szCs w:val="20"/>
          <w:color w:val="auto"/>
        </w:rPr>
      </w:pPr>
    </w:p>
    <w:p>
      <w:pPr>
        <w:ind w:right="28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4"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33"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41"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880" w:h="15480" w:orient="portrait"/>
          <w:cols w:equalWidth="0" w:num="1">
            <w:col w:w="10480"/>
          </w:cols>
          <w:pgMar w:left="700" w:top="691" w:right="700" w:bottom="0" w:gutter="0" w:footer="0" w:header="0"/>
          <w:type w:val="continuous"/>
        </w:sectPr>
      </w:pPr>
    </w:p>
    <w:bookmarkStart w:id="47" w:name="page48"/>
    <w:bookmarkEnd w:id="47"/>
    <w:p>
      <w:pPr>
        <w:ind w:right="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1"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6"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may not be able to protect our intellectual property rights throughout the world.</w:t>
      </w:r>
    </w:p>
    <w:p>
      <w:pPr>
        <w:spacing w:after="0" w:line="196" w:lineRule="exact"/>
        <w:rPr>
          <w:sz w:val="20"/>
          <w:szCs w:val="20"/>
          <w:color w:val="auto"/>
        </w:rPr>
      </w:pPr>
    </w:p>
    <w:p>
      <w:pPr>
        <w:jc w:val="both"/>
        <w:ind w:right="360" w:firstLine="349"/>
        <w:spacing w:after="0" w:line="238" w:lineRule="auto"/>
        <w:rPr>
          <w:sz w:val="20"/>
          <w:szCs w:val="20"/>
          <w:color w:val="auto"/>
        </w:rPr>
      </w:pPr>
      <w:r>
        <w:rPr>
          <w:rFonts w:ascii="Times New Roman" w:cs="Times New Roman" w:eastAsia="Times New Roman" w:hAnsi="Times New Roman"/>
          <w:sz w:val="19"/>
          <w:szCs w:val="19"/>
          <w:color w:val="auto"/>
        </w:rPr>
        <w:t>Filing, prosecuting and defending patents on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in all countries throughout the world would be prohibitively expensive, and our intellectual property rights in some countries outside the United States can be less extensive than those in the United States.</w:t>
      </w:r>
    </w:p>
    <w:p>
      <w:pPr>
        <w:spacing w:after="0" w:line="155"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1"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ectPr>
          <w:pgSz w:w="11880" w:h="15480" w:orient="portrait"/>
          <w:cols w:equalWidth="0" w:num="1">
            <w:col w:w="10440"/>
          </w:cols>
          <w:pgMar w:left="700" w:top="684" w:right="74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46</w:t>
      </w:r>
    </w:p>
    <w:p>
      <w:pPr>
        <w:sectPr>
          <w:pgSz w:w="11880" w:h="15480" w:orient="portrait"/>
          <w:cols w:equalWidth="0" w:num="1">
            <w:col w:w="10440"/>
          </w:cols>
          <w:pgMar w:left="700" w:top="684" w:right="740" w:bottom="0" w:gutter="0" w:footer="0" w:header="0"/>
          <w:type w:val="continuous"/>
        </w:sectPr>
      </w:pPr>
    </w:p>
    <w:bookmarkStart w:id="48" w:name="page49"/>
    <w:bookmarkEnd w:id="48"/>
    <w:p>
      <w:pPr>
        <w:ind w:firstLine="349"/>
        <w:spacing w:after="0" w:line="260" w:lineRule="auto"/>
        <w:rPr>
          <w:sz w:val="20"/>
          <w:szCs w:val="20"/>
          <w:color w:val="auto"/>
        </w:rPr>
      </w:pPr>
      <w:r>
        <w:rPr>
          <w:rFonts w:ascii="Times New Roman" w:cs="Times New Roman" w:eastAsia="Times New Roman" w:hAnsi="Times New Roman"/>
          <w:sz w:val="19"/>
          <w:szCs w:val="19"/>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ind w:right="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4"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377"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25"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spacing w:after="0" w:line="13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Issued patents covering our products could be found invalid or unenforceable if challenged.</w:t>
      </w:r>
    </w:p>
    <w:p>
      <w:pPr>
        <w:spacing w:after="0" w:line="19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w:t>
      </w:r>
    </w:p>
    <w:p>
      <w:pPr>
        <w:sectPr>
          <w:pgSz w:w="11880" w:h="15480" w:orient="portrait"/>
          <w:cols w:equalWidth="0" w:num="1">
            <w:col w:w="10480"/>
          </w:cols>
          <w:pgMar w:left="700" w:top="691" w:right="700" w:bottom="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880" w:h="15480" w:orient="portrait"/>
          <w:cols w:equalWidth="0" w:num="1">
            <w:col w:w="10480"/>
          </w:cols>
          <w:pgMar w:left="700" w:top="691" w:right="700" w:bottom="0" w:gutter="0" w:footer="0" w:header="0"/>
          <w:type w:val="continuous"/>
        </w:sectPr>
      </w:pPr>
    </w:p>
    <w:bookmarkStart w:id="49" w:name="page50"/>
    <w:bookmarkEnd w:id="49"/>
    <w:p>
      <w:pPr>
        <w:ind w:right="60"/>
        <w:spacing w:after="0" w:line="258" w:lineRule="auto"/>
        <w:rPr>
          <w:sz w:val="20"/>
          <w:szCs w:val="20"/>
          <w:color w:val="auto"/>
        </w:rPr>
      </w:pPr>
      <w:r>
        <w:rPr>
          <w:rFonts w:ascii="Times New Roman" w:cs="Times New Roman" w:eastAsia="Times New Roman" w:hAnsi="Times New Roman"/>
          <w:sz w:val="19"/>
          <w:szCs w:val="19"/>
          <w:color w:val="auto"/>
        </w:rPr>
        <w:t xml:space="preserve">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40"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1" w:lineRule="exact"/>
        <w:rPr>
          <w:sz w:val="20"/>
          <w:szCs w:val="20"/>
          <w:color w:val="auto"/>
        </w:rPr>
      </w:pPr>
    </w:p>
    <w:p>
      <w:pPr>
        <w:ind w:right="2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firstLine="349"/>
        <w:spacing w:after="0" w:line="245" w:lineRule="auto"/>
        <w:rPr>
          <w:sz w:val="20"/>
          <w:szCs w:val="20"/>
          <w:color w:val="auto"/>
        </w:rPr>
      </w:pPr>
      <w:r>
        <w:rPr>
          <w:rFonts w:ascii="Times New Roman" w:cs="Times New Roman" w:eastAsia="Times New Roman" w:hAnsi="Times New Roman"/>
          <w:sz w:val="19"/>
          <w:szCs w:val="19"/>
          <w:color w:val="auto"/>
        </w:rPr>
        <w:t>We rely heavily on trade secrets and confidentiality agreements to protect our unpatented know-how, technology and other proprietary information, including parts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54"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4"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1" w:lineRule="exact"/>
        <w:rPr>
          <w:sz w:val="20"/>
          <w:szCs w:val="20"/>
          <w:color w:val="auto"/>
        </w:rPr>
      </w:pPr>
    </w:p>
    <w:p>
      <w:pPr>
        <w:ind w:right="400" w:firstLine="349"/>
        <w:spacing w:after="0" w:line="293" w:lineRule="auto"/>
        <w:rPr>
          <w:sz w:val="20"/>
          <w:szCs w:val="20"/>
          <w:color w:val="auto"/>
        </w:rPr>
      </w:pPr>
      <w:r>
        <w:rPr>
          <w:rFonts w:ascii="Times New Roman" w:cs="Times New Roman" w:eastAsia="Times New Roman" w:hAnsi="Times New Roman"/>
          <w:sz w:val="19"/>
          <w:szCs w:val="19"/>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w:t>
      </w:r>
    </w:p>
    <w:p>
      <w:pPr>
        <w:sectPr>
          <w:pgSz w:w="11880" w:h="15480" w:orient="portrait"/>
          <w:cols w:equalWidth="0" w:num="1">
            <w:col w:w="10460"/>
          </w:cols>
          <w:pgMar w:left="700" w:top="691" w:right="720" w:bottom="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880" w:h="15480" w:orient="portrait"/>
          <w:cols w:equalWidth="0" w:num="1">
            <w:col w:w="10460"/>
          </w:cols>
          <w:pgMar w:left="700" w:top="691" w:right="720" w:bottom="0" w:gutter="0" w:footer="0" w:header="0"/>
          <w:type w:val="continuous"/>
        </w:sectPr>
      </w:pPr>
    </w:p>
    <w:bookmarkStart w:id="50" w:name="page51"/>
    <w:bookmarkEnd w:id="50"/>
    <w:p>
      <w:pPr>
        <w:spacing w:after="0" w:line="261" w:lineRule="auto"/>
        <w:rPr>
          <w:sz w:val="20"/>
          <w:szCs w:val="20"/>
          <w:color w:val="auto"/>
        </w:rPr>
      </w:pPr>
      <w:r>
        <w:rPr>
          <w:rFonts w:ascii="Times New Roman" w:cs="Times New Roman" w:eastAsia="Times New Roman" w:hAnsi="Times New Roman"/>
          <w:sz w:val="19"/>
          <w:szCs w:val="19"/>
          <w:color w:val="auto"/>
        </w:rPr>
        <w:t>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may be subject to claims challenging the inventorship of our patents and other intellectual property.</w:t>
      </w:r>
    </w:p>
    <w:p>
      <w:pPr>
        <w:spacing w:after="0" w:line="196" w:lineRule="exact"/>
        <w:rPr>
          <w:sz w:val="20"/>
          <w:szCs w:val="20"/>
          <w:color w:val="auto"/>
        </w:rPr>
      </w:pPr>
    </w:p>
    <w:p>
      <w:pPr>
        <w:ind w:right="40" w:firstLine="349"/>
        <w:spacing w:after="0" w:line="252" w:lineRule="auto"/>
        <w:rPr>
          <w:sz w:val="20"/>
          <w:szCs w:val="20"/>
          <w:color w:val="auto"/>
        </w:rPr>
      </w:pPr>
      <w:r>
        <w:rPr>
          <w:rFonts w:ascii="Times New Roman" w:cs="Times New Roman" w:eastAsia="Times New Roman" w:hAnsi="Times New Roman"/>
          <w:sz w:val="19"/>
          <w:szCs w:val="19"/>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378" w:lineRule="exact"/>
        <w:rPr>
          <w:sz w:val="20"/>
          <w:szCs w:val="20"/>
          <w:color w:val="auto"/>
        </w:rPr>
      </w:pPr>
    </w:p>
    <w:p>
      <w:pPr>
        <w:ind w:right="5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00" w:firstLine="349"/>
        <w:spacing w:after="0" w:line="259" w:lineRule="auto"/>
        <w:rPr>
          <w:sz w:val="20"/>
          <w:szCs w:val="20"/>
          <w:color w:val="auto"/>
        </w:rPr>
      </w:pPr>
      <w:r>
        <w:rPr>
          <w:rFonts w:ascii="Times New Roman" w:cs="Times New Roman" w:eastAsia="Times New Roman" w:hAnsi="Times New Roman"/>
          <w:sz w:val="19"/>
          <w:szCs w:val="19"/>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1" w:lineRule="exact"/>
        <w:rPr>
          <w:sz w:val="20"/>
          <w:szCs w:val="20"/>
          <w:color w:val="auto"/>
        </w:rPr>
      </w:pPr>
    </w:p>
    <w:p>
      <w:pPr>
        <w:ind w:right="560" w:firstLine="349"/>
        <w:spacing w:after="0" w:line="232" w:lineRule="auto"/>
        <w:rPr>
          <w:sz w:val="20"/>
          <w:szCs w:val="20"/>
          <w:color w:val="auto"/>
        </w:rPr>
      </w:pPr>
      <w:r>
        <w:rPr>
          <w:rFonts w:ascii="Times New Roman" w:cs="Times New Roman" w:eastAsia="Times New Roman" w:hAnsi="Times New Roman"/>
          <w:sz w:val="19"/>
          <w:szCs w:val="19"/>
          <w:b w:val="1"/>
          <w:bCs w:val="1"/>
          <w:i w:val="1"/>
          <w:iCs w:val="1"/>
          <w:color w:val="auto"/>
        </w:rPr>
        <w:t>Patent terms may be inadequate to protect our competitive position on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for an adequate amount of time.</w:t>
      </w:r>
    </w:p>
    <w:p>
      <w:pPr>
        <w:spacing w:after="0" w:line="159"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880" w:h="15480" w:orient="portrait"/>
          <w:cols w:equalWidth="0" w:num="1">
            <w:col w:w="10480"/>
          </w:cols>
          <w:pgMar w:left="700" w:top="691" w:right="700" w:bottom="0" w:gutter="0" w:footer="0" w:header="0"/>
          <w:type w:val="continuous"/>
        </w:sectPr>
      </w:pPr>
    </w:p>
    <w:bookmarkStart w:id="51" w:name="page52"/>
    <w:bookmarkEnd w:id="51"/>
    <w:p>
      <w:pPr>
        <w:ind w:right="24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36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24"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383"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4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880" w:h="15480" w:orient="portrait"/>
          <w:cols w:equalWidth="0" w:num="1">
            <w:col w:w="10480"/>
          </w:cols>
          <w:pgMar w:left="700" w:top="684" w:right="700" w:bottom="0" w:gutter="0" w:footer="0" w:header="0"/>
          <w:type w:val="continuous"/>
        </w:sectPr>
      </w:pPr>
    </w:p>
    <w:bookmarkStart w:id="52" w:name="page53"/>
    <w:bookmarkEnd w:id="52"/>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cannot license rights to use technologies on reasonable terms, we may not be able to commercialize new products in the future.</w:t>
      </w:r>
    </w:p>
    <w:p>
      <w:pPr>
        <w:spacing w:after="0" w:line="105" w:lineRule="exact"/>
        <w:rPr>
          <w:sz w:val="20"/>
          <w:szCs w:val="20"/>
          <w:color w:val="auto"/>
        </w:rPr>
      </w:pPr>
    </w:p>
    <w:p>
      <w:pPr>
        <w:ind w:right="20" w:firstLine="349"/>
        <w:spacing w:after="0" w:line="249" w:lineRule="auto"/>
        <w:rPr>
          <w:sz w:val="20"/>
          <w:szCs w:val="20"/>
          <w:color w:val="auto"/>
        </w:rPr>
      </w:pPr>
      <w:r>
        <w:rPr>
          <w:rFonts w:ascii="Times New Roman" w:cs="Times New Roman" w:eastAsia="Times New Roman" w:hAnsi="Times New Roman"/>
          <w:sz w:val="19"/>
          <w:szCs w:val="19"/>
          <w:color w:val="auto"/>
        </w:rPr>
        <w:t>We may identify third-party technology that we may need to license or acquire in order to develop or commercialize our products or technologies, including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7"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0" w:lineRule="exact"/>
        <w:rPr>
          <w:sz w:val="20"/>
          <w:szCs w:val="20"/>
          <w:color w:val="auto"/>
        </w:rPr>
      </w:pPr>
    </w:p>
    <w:p>
      <w:pPr>
        <w:ind w:right="2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necessarily address all potential threats.</w:t>
      </w:r>
    </w:p>
    <w:p>
      <w:pPr>
        <w:spacing w:after="0" w:line="196"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7" w:lineRule="exact"/>
        <w:rPr>
          <w:sz w:val="20"/>
          <w:szCs w:val="20"/>
          <w:color w:val="auto"/>
        </w:rPr>
      </w:pPr>
    </w:p>
    <w:p>
      <w:pPr>
        <w:ind w:right="14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any future licensor(s), might not have been the first to make the inventions covered by the issued patent or pending patent application that we license or may own in the future;</w:t>
      </w:r>
    </w:p>
    <w:p>
      <w:pPr>
        <w:sectPr>
          <w:pgSz w:w="11880" w:h="15480" w:orient="portrait"/>
          <w:cols w:equalWidth="0" w:num="1">
            <w:col w:w="10420"/>
          </w:cols>
          <w:pgMar w:left="700" w:top="68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51</w:t>
      </w:r>
    </w:p>
    <w:p>
      <w:pPr>
        <w:sectPr>
          <w:pgSz w:w="11880" w:h="15480" w:orient="portrait"/>
          <w:cols w:equalWidth="0" w:num="1">
            <w:col w:w="10420"/>
          </w:cols>
          <w:pgMar w:left="700" w:top="684" w:right="760" w:bottom="0" w:gutter="0" w:footer="0" w:header="0"/>
          <w:type w:val="continuous"/>
        </w:sectPr>
      </w:pPr>
    </w:p>
    <w:bookmarkStart w:id="53" w:name="page54"/>
    <w:bookmarkEnd w:id="53"/>
    <w:p>
      <w:pPr>
        <w:ind w:right="820" w:firstLine="348"/>
        <w:spacing w:after="0" w:line="293" w:lineRule="auto"/>
        <w:tabs>
          <w:tab w:leader="none" w:pos="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any future licensor(s), might not have been the first to file patent applications covering certain of our or their inventions;</w:t>
      </w:r>
    </w:p>
    <w:p>
      <w:pPr>
        <w:spacing w:after="0" w:line="107" w:lineRule="exact"/>
        <w:rPr>
          <w:rFonts w:ascii="Times New Roman" w:cs="Times New Roman" w:eastAsia="Times New Roman" w:hAnsi="Times New Roman"/>
          <w:sz w:val="19"/>
          <w:szCs w:val="19"/>
          <w:color w:val="auto"/>
        </w:rPr>
      </w:pPr>
    </w:p>
    <w:p>
      <w:pPr>
        <w:ind w:right="60" w:firstLine="348"/>
        <w:spacing w:after="0" w:line="293" w:lineRule="auto"/>
        <w:tabs>
          <w:tab w:leader="none" w:pos="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possible that our pending patent applications or those that we may license or own in the future will not lead to issued</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patents;</w:t>
      </w:r>
    </w:p>
    <w:p>
      <w:pPr>
        <w:spacing w:after="0" w:line="169" w:lineRule="exact"/>
        <w:rPr>
          <w:rFonts w:ascii="Times New Roman" w:cs="Times New Roman" w:eastAsia="Times New Roman" w:hAnsi="Times New Roman"/>
          <w:sz w:val="19"/>
          <w:szCs w:val="19"/>
          <w:color w:val="auto"/>
        </w:rPr>
      </w:pPr>
    </w:p>
    <w:p>
      <w:pPr>
        <w:ind w:right="360" w:firstLine="348"/>
        <w:spacing w:after="0" w:line="293" w:lineRule="auto"/>
        <w:tabs>
          <w:tab w:leader="none" w:pos="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patents that we hold rights to may be held invalid or unenforceable, including as a result of legal challenges by our competitors;</w:t>
      </w:r>
    </w:p>
    <w:p>
      <w:pPr>
        <w:spacing w:after="0" w:line="107"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develop additional proprietary technologies that are patentable;</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patents of others may harm our business; and</w:t>
      </w:r>
    </w:p>
    <w:p>
      <w:pPr>
        <w:spacing w:after="0" w:line="189" w:lineRule="exact"/>
        <w:rPr>
          <w:rFonts w:ascii="Times New Roman" w:cs="Times New Roman" w:eastAsia="Times New Roman" w:hAnsi="Times New Roman"/>
          <w:sz w:val="19"/>
          <w:szCs w:val="19"/>
          <w:color w:val="auto"/>
        </w:rPr>
      </w:pPr>
    </w:p>
    <w:p>
      <w:pPr>
        <w:ind w:right="340" w:firstLine="348"/>
        <w:spacing w:after="0" w:line="293" w:lineRule="auto"/>
        <w:tabs>
          <w:tab w:leader="none" w:pos="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choose not to file a patent for certain trade secrets or know-how, and a third party may independently derive, use, commercialize, publish or patent such intellectual property.</w:t>
      </w:r>
    </w:p>
    <w:p>
      <w:pPr>
        <w:spacing w:after="0" w:line="107"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Should any of these events occur, they could materially adversely affect our business, financial condition, results of operations and prospects.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Litigation</w:t>
      </w:r>
    </w:p>
    <w:p>
      <w:pPr>
        <w:spacing w:after="0" w:line="189" w:lineRule="exact"/>
        <w:rPr>
          <w:sz w:val="20"/>
          <w:szCs w:val="20"/>
          <w:color w:val="auto"/>
        </w:rPr>
      </w:pPr>
    </w:p>
    <w:p>
      <w:pPr>
        <w:jc w:val="both"/>
        <w:ind w:right="2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3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41" w:lineRule="exact"/>
        <w:rPr>
          <w:sz w:val="20"/>
          <w:szCs w:val="20"/>
          <w:color w:val="auto"/>
        </w:rPr>
      </w:pPr>
    </w:p>
    <w:p>
      <w:pPr>
        <w:ind w:right="440" w:firstLine="349"/>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have unknown defects or errors, which may give rise to claims against us and adversely affect market adoption of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w:t>
      </w:r>
    </w:p>
    <w:p>
      <w:pPr>
        <w:spacing w:after="0" w:line="11" w:lineRule="exact"/>
        <w:rPr>
          <w:sz w:val="20"/>
          <w:szCs w:val="20"/>
          <w:color w:val="auto"/>
        </w:rPr>
      </w:pPr>
    </w:p>
    <w:p>
      <w:pPr>
        <w:ind w:right="20" w:firstLine="349"/>
        <w:spacing w:after="0" w:line="247" w:lineRule="auto"/>
        <w:rPr>
          <w:sz w:val="20"/>
          <w:szCs w:val="20"/>
          <w:color w:val="auto"/>
        </w:rPr>
      </w:pPr>
      <w:r>
        <w:rPr>
          <w:rFonts w:ascii="Times New Roman" w:cs="Times New Roman" w:eastAsia="Times New Roman" w:hAnsi="Times New Roman"/>
          <w:sz w:val="19"/>
          <w:szCs w:val="19"/>
          <w:color w:val="auto"/>
        </w:rPr>
        <w:t>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Voyager platform, these risks may increase. We expect to provide warranties that our Nautilus Voyager platform will meet performance expectations or be free from defects. The costs incurred in correcting any defects or errors may be substantial and could adversely affect our operating margins.</w:t>
      </w:r>
    </w:p>
    <w:p>
      <w:pPr>
        <w:spacing w:after="0" w:line="152" w:lineRule="exact"/>
        <w:rPr>
          <w:sz w:val="20"/>
          <w:szCs w:val="20"/>
          <w:color w:val="auto"/>
        </w:rPr>
      </w:pPr>
    </w:p>
    <w:p>
      <w:pPr>
        <w:ind w:right="300" w:firstLine="349"/>
        <w:spacing w:after="0" w:line="268" w:lineRule="auto"/>
        <w:rPr>
          <w:sz w:val="20"/>
          <w:szCs w:val="20"/>
          <w:color w:val="auto"/>
        </w:rPr>
      </w:pPr>
      <w:r>
        <w:rPr>
          <w:rFonts w:ascii="Times New Roman" w:cs="Times New Roman" w:eastAsia="Times New Roman" w:hAnsi="Times New Roman"/>
          <w:sz w:val="19"/>
          <w:szCs w:val="19"/>
          <w:color w:val="auto"/>
        </w:rPr>
        <w:t>In manufacturing our Nautilus Voyager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If our products contain defects, we may experience:</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880" w:h="15480" w:orient="portrait"/>
          <w:cols w:equalWidth="0" w:num="1">
            <w:col w:w="10480"/>
          </w:cols>
          <w:pgMar w:left="700" w:top="691" w:right="700" w:bottom="0" w:gutter="0" w:footer="0" w:header="0"/>
          <w:type w:val="continuous"/>
        </w:sectPr>
      </w:pPr>
    </w:p>
    <w:bookmarkStart w:id="54" w:name="page55"/>
    <w:bookmarkEnd w:id="54"/>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failure to achieve market acceptance or expansion of our product sales;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customer orders and delay in order fulfillment;</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damage to our brand reputation;</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cost of our warranty program due to product repair or replacement;</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recalls or replacements;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to attract new customers;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diversion of resources from our manufacturing and research and development departments into our service department; and</w:t>
      </w:r>
    </w:p>
    <w:p>
      <w:pPr>
        <w:spacing w:after="0" w:line="189"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claims against us, including product liability claims, which could be costly and time consuming to defend and result in substantial damages.</w:t>
      </w:r>
    </w:p>
    <w:p>
      <w:pPr>
        <w:spacing w:after="0" w:line="107" w:lineRule="exact"/>
        <w:rPr>
          <w:sz w:val="20"/>
          <w:szCs w:val="20"/>
          <w:color w:val="auto"/>
        </w:rPr>
      </w:pPr>
    </w:p>
    <w:p>
      <w:pPr>
        <w:ind w:right="600" w:firstLine="349"/>
        <w:spacing w:after="0" w:line="293" w:lineRule="auto"/>
        <w:rPr>
          <w:sz w:val="20"/>
          <w:szCs w:val="20"/>
          <w:color w:val="auto"/>
        </w:rPr>
      </w:pPr>
      <w:r>
        <w:rPr>
          <w:rFonts w:ascii="Times New Roman" w:cs="Times New Roman" w:eastAsia="Times New Roman" w:hAnsi="Times New Roman"/>
          <w:sz w:val="19"/>
          <w:szCs w:val="19"/>
          <w:color w:val="auto"/>
        </w:rPr>
        <w:t>The occurrence of any one or more of the foregoing could negatively affect our business, financial condition and results of operations.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If we are sued for product liability, we could face substantial liabilities that exceed our resources.</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Regulatory and Legal Compliance Matters</w:t>
      </w:r>
    </w:p>
    <w:p>
      <w:pPr>
        <w:spacing w:after="0" w:line="189" w:lineRule="exact"/>
        <w:rPr>
          <w:sz w:val="20"/>
          <w:szCs w:val="20"/>
          <w:color w:val="auto"/>
        </w:rPr>
      </w:pPr>
    </w:p>
    <w:p>
      <w:pPr>
        <w:jc w:val="both"/>
        <w:ind w:right="16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36"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3"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effective February 2, 2026, incorporates by reference certain requirements under ISO 13485.</w:t>
      </w:r>
    </w:p>
    <w:p>
      <w:pPr>
        <w:spacing w:after="0" w:line="13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ectPr>
          <w:pgSz w:w="11880" w:h="15480" w:orient="portrait"/>
          <w:cols w:equalWidth="0" w:num="1">
            <w:col w:w="10460"/>
          </w:cols>
          <w:pgMar w:left="700" w:top="691" w:right="720" w:bottom="0" w:gutter="0" w:footer="0" w:header="0"/>
          <w:type w:val="continuous"/>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9"/>
          <w:szCs w:val="19"/>
          <w:color w:val="auto"/>
        </w:rPr>
        <w:t>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7"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If we sought and received regulatory clearance or approval for certain of our products, we would be subject to ongoing FDA obligations and continued regulatory oversight and review, including the general controls listed above and the FDA’s QMSRs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1"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0" w:lineRule="exact"/>
        <w:rPr>
          <w:sz w:val="20"/>
          <w:szCs w:val="20"/>
          <w:color w:val="auto"/>
        </w:rPr>
      </w:pPr>
    </w:p>
    <w:p>
      <w:pPr>
        <w:ind w:right="32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6" w:lineRule="exact"/>
        <w:rPr>
          <w:sz w:val="20"/>
          <w:szCs w:val="20"/>
          <w:color w:val="auto"/>
        </w:rPr>
      </w:pPr>
    </w:p>
    <w:p>
      <w:pPr>
        <w:ind w:right="60" w:firstLine="349"/>
        <w:spacing w:after="0" w:line="251" w:lineRule="auto"/>
        <w:rPr>
          <w:sz w:val="20"/>
          <w:szCs w:val="20"/>
          <w:color w:val="auto"/>
        </w:rPr>
      </w:pPr>
      <w:r>
        <w:rPr>
          <w:rFonts w:ascii="Times New Roman" w:cs="Times New Roman" w:eastAsia="Times New Roman" w:hAnsi="Times New Roman"/>
          <w:sz w:val="19"/>
          <w:szCs w:val="19"/>
          <w:color w:val="auto"/>
        </w:rPr>
        <w:t>We do not currently expect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52"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diagnostics (“IVDs”) are devices under the Federal Food, Drug, and Cosmetic Act, including when the manufacturer of the IVD is a laboratory, and phases out its enforcement discretion for LDTs. On March 31, 2025, the U.S. District Court for the Eastern District of Texas vacated and set aside the FDA LDT Final Rule in its entirety. Further, in June 2024, the U.S. Supreme Court overruled the </w:t>
      </w:r>
      <w:r>
        <w:rPr>
          <w:rFonts w:ascii="Times New Roman" w:cs="Times New Roman" w:eastAsia="Times New Roman" w:hAnsi="Times New Roman"/>
          <w:sz w:val="19"/>
          <w:szCs w:val="19"/>
          <w:b w:val="1"/>
          <w:bCs w:val="1"/>
          <w:i w:val="1"/>
          <w:iCs w:val="1"/>
          <w:color w:val="auto"/>
        </w:rPr>
        <w:t>Chevron</w:t>
      </w:r>
      <w:r>
        <w:rPr>
          <w:rFonts w:ascii="Times New Roman" w:cs="Times New Roman" w:eastAsia="Times New Roman" w:hAnsi="Times New Roman"/>
          <w:sz w:val="19"/>
          <w:szCs w:val="19"/>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which can lead to uncertainties in the industry.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79"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w:t>
      </w:r>
    </w:p>
    <w:p>
      <w:pPr>
        <w:sectPr>
          <w:pgSz w:w="11880" w:h="15480" w:orient="portrait"/>
          <w:cols w:equalWidth="0" w:num="1">
            <w:col w:w="10480"/>
          </w:cols>
          <w:pgMar w:left="700" w:top="691" w:right="700" w:bottom="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880" w:h="15480" w:orient="portrait"/>
          <w:cols w:equalWidth="0" w:num="1">
            <w:col w:w="10480"/>
          </w:cols>
          <w:pgMar w:left="700" w:top="691" w:right="700" w:bottom="0" w:gutter="0" w:footer="0" w:header="0"/>
          <w:type w:val="continuous"/>
        </w:sectPr>
      </w:pPr>
    </w:p>
    <w:bookmarkStart w:id="56" w:name="page57"/>
    <w:bookmarkEnd w:id="56"/>
    <w:p>
      <w:pPr>
        <w:spacing w:after="0" w:line="260" w:lineRule="auto"/>
        <w:rPr>
          <w:sz w:val="20"/>
          <w:szCs w:val="20"/>
          <w:color w:val="auto"/>
        </w:rPr>
      </w:pPr>
      <w:r>
        <w:rPr>
          <w:rFonts w:ascii="Times New Roman" w:cs="Times New Roman" w:eastAsia="Times New Roman" w:hAnsi="Times New Roman"/>
          <w:sz w:val="19"/>
          <w:szCs w:val="19"/>
          <w:color w:val="auto"/>
        </w:rPr>
        <w:t>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1"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7"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spacing w:after="0" w:line="129" w:lineRule="exact"/>
        <w:rPr>
          <w:sz w:val="20"/>
          <w:szCs w:val="20"/>
          <w:color w:val="auto"/>
        </w:rPr>
      </w:pPr>
    </w:p>
    <w:p>
      <w:pPr>
        <w:ind w:right="30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4"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1" w:lineRule="exact"/>
        <w:rPr>
          <w:sz w:val="20"/>
          <w:szCs w:val="20"/>
          <w:color w:val="auto"/>
        </w:rPr>
      </w:pPr>
    </w:p>
    <w:p>
      <w:pPr>
        <w:ind w:right="20" w:firstLine="349"/>
        <w:spacing w:after="0" w:line="257" w:lineRule="auto"/>
        <w:rPr>
          <w:sz w:val="20"/>
          <w:szCs w:val="20"/>
          <w:color w:val="auto"/>
        </w:rPr>
      </w:pPr>
      <w:r>
        <w:rPr>
          <w:rFonts w:ascii="Times New Roman" w:cs="Times New Roman" w:eastAsia="Times New Roman" w:hAnsi="Times New Roman"/>
          <w:sz w:val="19"/>
          <w:szCs w:val="19"/>
          <w:color w:val="auto"/>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took effect in 2025; and Indiana, Rhode Island and Kentucky have enacted similar laws that have taken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w:t>
      </w:r>
    </w:p>
    <w:p>
      <w:pPr>
        <w:sectPr>
          <w:pgSz w:w="11880" w:h="15480" w:orient="portrait"/>
          <w:cols w:equalWidth="0" w:num="1">
            <w:col w:w="10480"/>
          </w:cols>
          <w:pgMar w:left="700" w:top="691" w:right="700"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880" w:h="15480" w:orient="portrait"/>
          <w:cols w:equalWidth="0" w:num="1">
            <w:col w:w="10480"/>
          </w:cols>
          <w:pgMar w:left="700" w:top="691" w:right="700" w:bottom="0" w:gutter="0" w:footer="0" w:header="0"/>
          <w:type w:val="continuous"/>
        </w:sectPr>
      </w:pPr>
    </w:p>
    <w:bookmarkStart w:id="57" w:name="page58"/>
    <w:bookmarkEnd w:id="57"/>
    <w:p>
      <w:pPr>
        <w:ind w:right="20"/>
        <w:spacing w:after="0" w:line="262" w:lineRule="auto"/>
        <w:rPr>
          <w:sz w:val="20"/>
          <w:szCs w:val="20"/>
          <w:color w:val="auto"/>
        </w:rPr>
      </w:pPr>
      <w:r>
        <w:rPr>
          <w:rFonts w:ascii="Times New Roman" w:cs="Times New Roman" w:eastAsia="Times New Roman" w:hAnsi="Times New Roman"/>
          <w:sz w:val="19"/>
          <w:szCs w:val="19"/>
          <w:color w:val="auto"/>
        </w:rPr>
        <w:t>addition, laws in all 50 U.S. states require businesses to provide notice to consumers whose personal information has been disclosed or otherwise processed as a result of a data breach. State laws are changing rapidly. The U.S. Department of Justice also has issued rules regarding certain bulk sensitive personal data transfers, and there is discussion in the U.S. Congress of comprehensive federal data privacy legislation. It is possible that these or other laws, regulations, or other actual or asserted obligations relating to privacy or security matters, or otherwise relating to the collection, use, transfer, or other processing of personal information, may be interpreted and applied in a manner that is inconsistent with our practices. If so, this could result in government-imposed fines or orders requiring that we change our practices, which could adversely affect our business.</w:t>
      </w:r>
    </w:p>
    <w:p>
      <w:pPr>
        <w:spacing w:after="0" w:line="136" w:lineRule="exact"/>
        <w:rPr>
          <w:sz w:val="20"/>
          <w:szCs w:val="20"/>
          <w:color w:val="auto"/>
        </w:rPr>
      </w:pPr>
    </w:p>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4"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While we have implemented policies and contractual safeguards to ensure compliance with U.S. and foreign privacy laws and data transfer regulations, the complex and evolving landscape of privacy and data security laws and regulations both domestically and internationally, including the evolving compliance and operational requirements for such laws and regulations,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privacy, security, or the collection, use, transfer, or other processing of personal information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Our use of artificial intelligence and machine learning technologies may result in reputational harm or liability.</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880" w:h="15480" w:orient="portrait"/>
          <w:cols w:equalWidth="0" w:num="1">
            <w:col w:w="10480"/>
          </w:cols>
          <w:pgMar w:left="700" w:top="691" w:right="700" w:bottom="0" w:gutter="0" w:footer="0" w:header="0"/>
          <w:type w:val="continuous"/>
        </w:sectPr>
      </w:pPr>
    </w:p>
    <w:bookmarkStart w:id="58" w:name="page59"/>
    <w:bookmarkEnd w:id="58"/>
    <w:p>
      <w:pPr>
        <w:ind w:right="80" w:firstLine="349"/>
        <w:spacing w:after="0" w:line="239" w:lineRule="auto"/>
        <w:rPr>
          <w:sz w:val="20"/>
          <w:szCs w:val="20"/>
          <w:color w:val="auto"/>
        </w:rPr>
      </w:pPr>
      <w:r>
        <w:rPr>
          <w:rFonts w:ascii="Times New Roman" w:cs="Times New Roman" w:eastAsia="Times New Roman" w:hAnsi="Times New Roman"/>
          <w:sz w:val="19"/>
          <w:szCs w:val="19"/>
          <w:b w:val="1"/>
          <w:bCs w:val="1"/>
          <w:i w:val="1"/>
          <w:iCs w:val="1"/>
          <w:color w:val="auto"/>
        </w:rPr>
        <w:t>If we commercialize our Nautilus Voyager</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9"/>
          <w:szCs w:val="19"/>
          <w:b w:val="1"/>
          <w:bCs w:val="1"/>
          <w:i w:val="1"/>
          <w:iCs w:val="1"/>
          <w:color w:val="auto"/>
        </w:rPr>
        <w:t xml:space="preserve"> platform outside of the United States, our international business could expose us to business, tax, regulatory, political, operational, financial, and economic risks associated with doing business outside of the United States.</w:t>
      </w:r>
    </w:p>
    <w:p>
      <w:pPr>
        <w:spacing w:after="0" w:line="159" w:lineRule="exact"/>
        <w:rPr>
          <w:sz w:val="20"/>
          <w:szCs w:val="20"/>
          <w:color w:val="auto"/>
        </w:rPr>
      </w:pPr>
    </w:p>
    <w:p>
      <w:pPr>
        <w:ind w:right="40" w:firstLine="349"/>
        <w:spacing w:after="0"/>
        <w:rPr>
          <w:sz w:val="20"/>
          <w:szCs w:val="20"/>
          <w:color w:val="auto"/>
        </w:rPr>
      </w:pPr>
      <w:r>
        <w:rPr>
          <w:rFonts w:ascii="Times New Roman" w:cs="Times New Roman" w:eastAsia="Times New Roman" w:hAnsi="Times New Roman"/>
          <w:sz w:val="19"/>
          <w:szCs w:val="19"/>
          <w:color w:val="auto"/>
        </w:rPr>
        <w:t>If we commercialize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spacing w:after="0" w:line="382" w:lineRule="exact"/>
        <w:rPr>
          <w:sz w:val="20"/>
          <w:szCs w:val="20"/>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compliance with existing and changing foreign regulatory requirements and laws;</w:t>
      </w:r>
    </w:p>
    <w:p>
      <w:pPr>
        <w:spacing w:after="0" w:line="189"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export or import restrictions;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laws and business practices favoring local companies;</w:t>
      </w:r>
    </w:p>
    <w:p>
      <w:pPr>
        <w:spacing w:after="0" w:line="189" w:lineRule="exact"/>
        <w:rPr>
          <w:rFonts w:ascii="Times New Roman" w:cs="Times New Roman" w:eastAsia="Times New Roman" w:hAnsi="Times New Roman"/>
          <w:sz w:val="19"/>
          <w:szCs w:val="19"/>
          <w:color w:val="auto"/>
        </w:rPr>
      </w:pPr>
    </w:p>
    <w:p>
      <w:pPr>
        <w:ind w:right="20" w:firstLine="348"/>
        <w:spacing w:after="0" w:line="293" w:lineRule="auto"/>
        <w:tabs>
          <w:tab w:leader="none" w:pos="69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foreign currency exchange, longer payment cycles and difficulties in enforcing agreements and collecting receivables through certain foreign legal systems;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and economic volatility;</w:t>
      </w:r>
    </w:p>
    <w:p>
      <w:pPr>
        <w:spacing w:after="0" w:line="189" w:lineRule="exact"/>
        <w:rPr>
          <w:rFonts w:ascii="Times New Roman" w:cs="Times New Roman" w:eastAsia="Times New Roman" w:hAnsi="Times New Roman"/>
          <w:sz w:val="19"/>
          <w:szCs w:val="19"/>
          <w:color w:val="auto"/>
        </w:rPr>
      </w:pPr>
    </w:p>
    <w:p>
      <w:pPr>
        <w:ind w:right="40" w:firstLine="348"/>
        <w:spacing w:after="0" w:line="268" w:lineRule="auto"/>
        <w:tabs>
          <w:tab w:leader="none" w:pos="69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30"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potentially adverse tax consequences, tariffs, customs charges, bureaucratic requirements and other trade barriers;</w:t>
      </w:r>
    </w:p>
    <w:p>
      <w:pPr>
        <w:spacing w:after="0" w:line="189" w:lineRule="exact"/>
        <w:rPr>
          <w:rFonts w:ascii="Times New Roman" w:cs="Times New Roman" w:eastAsia="Times New Roman" w:hAnsi="Times New Roman"/>
          <w:sz w:val="19"/>
          <w:szCs w:val="19"/>
          <w:color w:val="auto"/>
        </w:rPr>
      </w:pPr>
    </w:p>
    <w:p>
      <w:pPr>
        <w:ind w:right="480" w:firstLine="348"/>
        <w:spacing w:after="0" w:line="293" w:lineRule="auto"/>
        <w:tabs>
          <w:tab w:leader="none" w:pos="69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protecting, maintaining, enforcing or procuring intellectual property rights.</w:t>
      </w:r>
    </w:p>
    <w:p>
      <w:pPr>
        <w:spacing w:after="0" w:line="189"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auto"/>
        </w:rPr>
        <w:t>If one or more of these risks occurs, it could require us to dedicate significant resources to remedy such occurrence, and if we are unsuccessful in finding a solution, our financial results will suffer.</w:t>
      </w:r>
    </w:p>
    <w:p>
      <w:pPr>
        <w:spacing w:after="0" w:line="107"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For example, on January 15, 2025, the United States Department of Commerce Bureau of Industry and Security (“BIS”) issued an Interim Final Rule (“IFR”) implementing targeted export controls on certain laboratory instruments.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 and certain liquid chromatography mass spectrometers (LC/MS)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spacing w:after="0" w:line="13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In addition, if we commercialize our Nautilus Voyager platform outside of the United States, we may rely on distributors for sales of our Nautilus Voyager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Voyager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880" w:h="15480" w:orient="portrait"/>
          <w:cols w:equalWidth="0" w:num="1">
            <w:col w:w="10480"/>
          </w:cols>
          <w:pgMar w:left="700" w:top="684" w:right="700" w:bottom="0" w:gutter="0" w:footer="0" w:header="0"/>
          <w:type w:val="continuous"/>
        </w:sectPr>
      </w:pPr>
    </w:p>
    <w:bookmarkStart w:id="59" w:name="page60"/>
    <w:bookmarkEnd w:id="59"/>
    <w:p>
      <w:pPr>
        <w:ind w:right="6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34"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4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36"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ectPr>
          <w:pgSz w:w="11880" w:h="15480" w:orient="portrait"/>
          <w:cols w:equalWidth="0" w:num="1">
            <w:col w:w="10440"/>
          </w:cols>
          <w:pgMar w:left="700" w:top="68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58</w:t>
      </w:r>
    </w:p>
    <w:p>
      <w:pPr>
        <w:sectPr>
          <w:pgSz w:w="11880" w:h="15480" w:orient="portrait"/>
          <w:cols w:equalWidth="0" w:num="1">
            <w:col w:w="10440"/>
          </w:cols>
          <w:pgMar w:left="700" w:top="684" w:right="740" w:bottom="0" w:gutter="0" w:footer="0" w:header="0"/>
          <w:type w:val="continuous"/>
        </w:sectPr>
      </w:pPr>
    </w:p>
    <w:bookmarkStart w:id="60" w:name="page61"/>
    <w:bookmarkEnd w:id="60"/>
    <w:p>
      <w:pPr>
        <w:ind w:right="9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100" w:firstLine="349"/>
        <w:spacing w:after="0" w:line="258" w:lineRule="auto"/>
        <w:rPr>
          <w:sz w:val="20"/>
          <w:szCs w:val="20"/>
          <w:color w:val="auto"/>
        </w:rPr>
      </w:pPr>
      <w:r>
        <w:rPr>
          <w:rFonts w:ascii="Times New Roman" w:cs="Times New Roman" w:eastAsia="Times New Roman" w:hAnsi="Times New Roman"/>
          <w:sz w:val="19"/>
          <w:szCs w:val="19"/>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70" w:lineRule="exact"/>
        <w:rPr>
          <w:sz w:val="20"/>
          <w:szCs w:val="20"/>
          <w:color w:val="auto"/>
        </w:rPr>
      </w:pPr>
    </w:p>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right="5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Significant developments or changes in national laws or policies to protect or promote domestic interests and/or address foreign competition could have an adverse effect on our business and financial condition.</w:t>
      </w:r>
    </w:p>
    <w:p>
      <w:pPr>
        <w:spacing w:after="0" w:line="105"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Operations</w:t>
      </w:r>
    </w:p>
    <w:p>
      <w:pPr>
        <w:spacing w:after="0" w:line="189" w:lineRule="exact"/>
        <w:rPr>
          <w:sz w:val="20"/>
          <w:szCs w:val="20"/>
          <w:color w:val="auto"/>
        </w:rPr>
      </w:pPr>
    </w:p>
    <w:p>
      <w:pPr>
        <w:ind w:right="4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w:t>
      </w:r>
    </w:p>
    <w:p>
      <w:pPr>
        <w:sectPr>
          <w:pgSz w:w="11880" w:h="15480" w:orient="portrait"/>
          <w:cols w:equalWidth="0" w:num="1">
            <w:col w:w="10480"/>
          </w:cols>
          <w:pgMar w:left="700" w:top="684" w:right="700" w:bottom="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880" w:h="15480" w:orient="portrait"/>
          <w:cols w:equalWidth="0" w:num="1">
            <w:col w:w="10480"/>
          </w:cols>
          <w:pgMar w:left="700" w:top="684" w:right="700" w:bottom="0" w:gutter="0" w:footer="0" w:header="0"/>
          <w:type w:val="continuous"/>
        </w:sectPr>
      </w:pPr>
    </w:p>
    <w:bookmarkStart w:id="61" w:name="page62"/>
    <w:bookmarkEnd w:id="61"/>
    <w:p>
      <w:pPr>
        <w:jc w:val="both"/>
        <w:ind w:right="100"/>
        <w:spacing w:after="0" w:line="274" w:lineRule="auto"/>
        <w:rPr>
          <w:sz w:val="20"/>
          <w:szCs w:val="20"/>
          <w:color w:val="auto"/>
        </w:rPr>
      </w:pPr>
      <w:r>
        <w:rPr>
          <w:rFonts w:ascii="Times New Roman" w:cs="Times New Roman" w:eastAsia="Times New Roman" w:hAnsi="Times New Roman"/>
          <w:sz w:val="19"/>
          <w:szCs w:val="19"/>
          <w:color w:val="auto"/>
        </w:rPr>
        <w:t>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spacing w:after="0" w:line="125"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spacing w:after="0" w:line="377"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381" w:lineRule="exact"/>
        <w:rPr>
          <w:sz w:val="20"/>
          <w:szCs w:val="20"/>
          <w:color w:val="auto"/>
        </w:rPr>
      </w:pPr>
    </w:p>
    <w:p>
      <w:pPr>
        <w:jc w:val="both"/>
        <w:ind w:right="360" w:firstLine="349"/>
        <w:spacing w:after="0" w:line="263" w:lineRule="auto"/>
        <w:rPr>
          <w:sz w:val="20"/>
          <w:szCs w:val="20"/>
          <w:color w:val="auto"/>
        </w:rPr>
      </w:pPr>
      <w:r>
        <w:rPr>
          <w:rFonts w:ascii="Times New Roman" w:cs="Times New Roman" w:eastAsia="Times New Roman" w:hAnsi="Times New Roman"/>
          <w:sz w:val="19"/>
          <w:szCs w:val="19"/>
          <w:color w:val="auto"/>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spacing w:after="0" w:line="141"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may be unable to manage our anticipated growth effectively.</w:t>
      </w:r>
    </w:p>
    <w:p>
      <w:pPr>
        <w:spacing w:after="0" w:line="196" w:lineRule="exact"/>
        <w:rPr>
          <w:sz w:val="20"/>
          <w:szCs w:val="20"/>
          <w:color w:val="auto"/>
        </w:rPr>
      </w:pPr>
    </w:p>
    <w:p>
      <w:pPr>
        <w:ind w:right="180" w:firstLine="349"/>
        <w:spacing w:after="0" w:line="249" w:lineRule="auto"/>
        <w:rPr>
          <w:sz w:val="20"/>
          <w:szCs w:val="20"/>
          <w:color w:val="auto"/>
        </w:rPr>
      </w:pPr>
      <w:r>
        <w:rPr>
          <w:rFonts w:ascii="Times New Roman" w:cs="Times New Roman" w:eastAsia="Times New Roman" w:hAnsi="Times New Roman"/>
          <w:sz w:val="19"/>
          <w:szCs w:val="19"/>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2025, we had 130 employees. While in the first quarter of 2025 we implemented our workforce reductions, to execute our anticipated growth successfully, we must continue to attract and retain qualified personnel and manage and train them effectively. Developing and commercializing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will require us to hire and retain scientific, sales and marketing, software, manufacturing, customer service, distribution and quality assurance personnel. In addition, we expect that we will need to hire</w:t>
      </w:r>
    </w:p>
    <w:p>
      <w:pPr>
        <w:sectPr>
          <w:pgSz w:w="11880" w:h="15480" w:orient="portrait"/>
          <w:cols w:equalWidth="0" w:num="1">
            <w:col w:w="10460"/>
          </w:cols>
          <w:pgMar w:left="700" w:top="691" w:right="720"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ectPr>
          <w:pgSz w:w="11880" w:h="15480" w:orient="portrait"/>
          <w:cols w:equalWidth="0" w:num="1">
            <w:col w:w="10460"/>
          </w:cols>
          <w:pgMar w:left="700" w:top="691" w:right="720" w:bottom="0" w:gutter="0" w:footer="0" w:header="0"/>
          <w:type w:val="continuous"/>
        </w:sectPr>
      </w:pPr>
    </w:p>
    <w:bookmarkStart w:id="62" w:name="page63"/>
    <w:bookmarkEnd w:id="62"/>
    <w:p>
      <w:pPr>
        <w:ind w:right="40"/>
        <w:spacing w:after="0" w:line="268" w:lineRule="auto"/>
        <w:rPr>
          <w:sz w:val="20"/>
          <w:szCs w:val="20"/>
          <w:color w:val="auto"/>
        </w:rPr>
      </w:pPr>
      <w:r>
        <w:rPr>
          <w:rFonts w:ascii="Times New Roman" w:cs="Times New Roman" w:eastAsia="Times New Roman" w:hAnsi="Times New Roman"/>
          <w:sz w:val="19"/>
          <w:szCs w:val="19"/>
          <w:color w:val="auto"/>
        </w:rPr>
        <w:t>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spacing w:after="0" w:line="131"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5"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If we are unable to recruit and retain key executives and scientists, we may be unable to achieve our goals.</w:t>
      </w:r>
    </w:p>
    <w:p>
      <w:pPr>
        <w:spacing w:after="0" w:line="196"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25" w:lineRule="exact"/>
        <w:rPr>
          <w:sz w:val="20"/>
          <w:szCs w:val="20"/>
          <w:color w:val="auto"/>
        </w:rPr>
      </w:pPr>
    </w:p>
    <w:p>
      <w:pPr>
        <w:ind w:right="20" w:firstLine="349"/>
        <w:spacing w:after="0" w:line="267" w:lineRule="auto"/>
        <w:rPr>
          <w:sz w:val="20"/>
          <w:szCs w:val="20"/>
          <w:color w:val="auto"/>
        </w:rPr>
      </w:pPr>
      <w:r>
        <w:rPr>
          <w:rFonts w:ascii="Times New Roman" w:cs="Times New Roman" w:eastAsia="Times New Roman" w:hAnsi="Times New Roman"/>
          <w:sz w:val="19"/>
          <w:szCs w:val="19"/>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367"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Workforce reductions, such as the workforce reduction implemented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1"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40" w:firstLine="349"/>
        <w:spacing w:after="0" w:line="247" w:lineRule="auto"/>
        <w:rPr>
          <w:sz w:val="20"/>
          <w:szCs w:val="20"/>
          <w:color w:val="auto"/>
        </w:rPr>
      </w:pPr>
      <w:r>
        <w:rPr>
          <w:rFonts w:ascii="Times New Roman" w:cs="Times New Roman" w:eastAsia="Times New Roman" w:hAnsi="Times New Roman"/>
          <w:sz w:val="19"/>
          <w:szCs w:val="19"/>
          <w:color w:val="auto"/>
        </w:rPr>
        <w:t>We may in the future seek to acquire or invest in businesses, applications or technologies that we believe could complement or expand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52"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880" w:h="15480" w:orient="portrait"/>
          <w:cols w:equalWidth="0" w:num="1">
            <w:col w:w="10480"/>
          </w:cols>
          <w:pgMar w:left="700" w:top="691" w:right="700" w:bottom="0" w:gutter="0" w:footer="0" w:header="0"/>
          <w:type w:val="continuous"/>
        </w:sectPr>
      </w:pPr>
    </w:p>
    <w:bookmarkStart w:id="63" w:name="page64"/>
    <w:bookmarkEnd w:id="63"/>
    <w:p>
      <w:pPr>
        <w:ind w:right="6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Unfavorable U.S. or global economic conditions as a result of multiple global events, including global pandemics, geopolitical conflicts, such as the conflicts in Eastern Europe and the Middle East, changing tariff environments, potential trade wars and embargoes, changing interest rates, instability in the global financial markets, and general economic downturns, could adversely affect our ability to raise capital and our business, results of operations and financial condition.</w:t>
      </w:r>
    </w:p>
    <w:p>
      <w:pPr>
        <w:spacing w:after="0" w:line="134" w:lineRule="exact"/>
        <w:rPr>
          <w:sz w:val="20"/>
          <w:szCs w:val="20"/>
          <w:color w:val="auto"/>
        </w:rPr>
      </w:pPr>
    </w:p>
    <w:p>
      <w:pPr>
        <w:ind w:right="20" w:firstLine="349"/>
        <w:spacing w:after="0" w:line="254" w:lineRule="auto"/>
        <w:rPr>
          <w:sz w:val="20"/>
          <w:szCs w:val="20"/>
          <w:color w:val="auto"/>
        </w:rPr>
      </w:pPr>
      <w:r>
        <w:rPr>
          <w:rFonts w:ascii="Times New Roman" w:cs="Times New Roman" w:eastAsia="Times New Roman" w:hAnsi="Times New Roman"/>
          <w:sz w:val="19"/>
          <w:szCs w:val="19"/>
          <w:color w:val="auto"/>
        </w:rPr>
        <w:t>While the potential economic impact brought by multiple adverse global circumstances, such as the global pandemics, geopolitical conflicts such as the conflicts in Eastern Europe and the Middle East, potential uncertainty related to Taiwan and its relationship with China, changing tariff environments and potential for trade wars and embargoes, changing interest rates and general economic downturns,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Voyager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 On February 20, 2026, the Supreme Court ruled against President Trump’s use of the International Emergency Economic Powers Act, or IEEPA, to impose tariffs on global trade partners. The case has been returned to the Court of International Trade for reconsideration in accordance with the Supreme Court ruling, and thus, the impact of this decision on previous tariffs is not yet clear. In addition, President Trump has already stated that he will impose new tariffs under different authorities including Section 122.</w:t>
      </w:r>
    </w:p>
    <w:p>
      <w:pPr>
        <w:spacing w:after="0" w:line="379"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Further, changes in U.S. government spending resulting from new political administrations 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2025, we had cash, cash equivalents and investments of $156.1 million, consisting of U.S. treasury securities, mutual funds, corporate debt securities, commercial paper, and agency securities. Any default by the U.S. government or credit downgrade of the securities we hold could impact the liquidity or valuation of our investments.</w:t>
      </w:r>
    </w:p>
    <w:p>
      <w:pPr>
        <w:spacing w:after="0" w:line="136" w:lineRule="exact"/>
        <w:rPr>
          <w:sz w:val="20"/>
          <w:szCs w:val="20"/>
          <w:color w:val="auto"/>
        </w:rPr>
      </w:pPr>
    </w:p>
    <w:p>
      <w:pPr>
        <w:ind w:right="280" w:firstLine="349"/>
        <w:spacing w:after="0" w:line="274" w:lineRule="auto"/>
        <w:rPr>
          <w:sz w:val="20"/>
          <w:szCs w:val="20"/>
          <w:color w:val="auto"/>
        </w:rPr>
      </w:pPr>
      <w:r>
        <w:rPr>
          <w:rFonts w:ascii="Times New Roman" w:cs="Times New Roman" w:eastAsia="Times New Roman" w:hAnsi="Times New Roman"/>
          <w:sz w:val="19"/>
          <w:szCs w:val="19"/>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07"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Our facilities in Seattle, San Carlos and San Diego are vulnerable to natural disasters, public health crises,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ectPr>
          <w:pgSz w:w="11880" w:h="15480" w:orient="portrait"/>
          <w:cols w:equalWidth="0" w:num="1">
            <w:col w:w="10460"/>
          </w:cols>
          <w:pgMar w:left="700" w:top="684" w:right="720" w:bottom="0" w:gutter="0" w:footer="0" w:header="0"/>
          <w:type w:val="continuous"/>
        </w:sectPr>
      </w:pPr>
    </w:p>
    <w:bookmarkStart w:id="64" w:name="page65"/>
    <w:bookmarkEnd w:id="64"/>
    <w:p>
      <w:pPr>
        <w:ind w:right="80" w:firstLine="349"/>
        <w:spacing w:after="0" w:line="247" w:lineRule="auto"/>
        <w:rPr>
          <w:sz w:val="20"/>
          <w:szCs w:val="20"/>
          <w:color w:val="auto"/>
        </w:rPr>
      </w:pPr>
      <w:r>
        <w:rPr>
          <w:rFonts w:ascii="Times New Roman" w:cs="Times New Roman" w:eastAsia="Times New Roman" w:hAnsi="Times New Roman"/>
          <w:sz w:val="19"/>
          <w:szCs w:val="19"/>
          <w:color w:val="auto"/>
        </w:rPr>
        <w:t>If our research and development program or planned commercialization program were disrupted by a disaster or catastrophe, the launch of new products, including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45" w:lineRule="exact"/>
        <w:rPr>
          <w:sz w:val="20"/>
          <w:szCs w:val="20"/>
          <w:color w:val="auto"/>
        </w:rPr>
      </w:pPr>
    </w:p>
    <w:p>
      <w:pPr>
        <w:ind w:right="2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Voyager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An active trading market for our Common Stock may never develop or be sustained.</w:t>
      </w:r>
    </w:p>
    <w:p>
      <w:pPr>
        <w:spacing w:after="0" w:line="19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Prior to the Business Combination, there was no public trading market for Legacy Nautilus’ Common Stock. Although our Common Stock is listed on the Nasdaq Capital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368" w:lineRule="exact"/>
        <w:rPr>
          <w:sz w:val="20"/>
          <w:szCs w:val="20"/>
          <w:color w:val="auto"/>
        </w:rPr>
      </w:pPr>
    </w:p>
    <w:p>
      <w:pPr>
        <w:ind w:right="1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market price of our Common Stock has been and may continue to be volatile, which could result in substantial losses for investors.</w:t>
      </w:r>
    </w:p>
    <w:p>
      <w:pPr>
        <w:spacing w:after="0" w:line="105"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The market price of our Common Stock has been and may continue to be highly volatile and could be subject to wide fluctuations in response to various factors, some of which are beyond our control.</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market price of our Common Stock may fluctuate due to a variety of factors, including:</w:t>
      </w:r>
    </w:p>
    <w:p>
      <w:pPr>
        <w:spacing w:after="0" w:line="189" w:lineRule="exact"/>
        <w:rPr>
          <w:sz w:val="20"/>
          <w:szCs w:val="20"/>
          <w:color w:val="auto"/>
        </w:rPr>
      </w:pPr>
    </w:p>
    <w:p>
      <w:pPr>
        <w:ind w:right="480" w:firstLine="348"/>
        <w:spacing w:after="0" w:line="293" w:lineRule="auto"/>
        <w:tabs>
          <w:tab w:leader="none" w:pos="6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fluctuations in our operating results, including fluctuations in our quarterly and annual results;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expenses being more than anticipated;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or discontinuation of any of our product development and research programs;</w:t>
      </w:r>
    </w:p>
    <w:p>
      <w:pPr>
        <w:spacing w:after="0" w:line="189"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 of existing or new competitive businesses or technologies;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about new research programs or products of our competitors;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or disputes concerning patent applications, issued patents or other proprietary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recruitment or departure of key personnel;</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and governmental investigations involving us, our industry or both;</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or legal developments in the United States and other countries;</w:t>
      </w:r>
    </w:p>
    <w:p>
      <w:pPr>
        <w:spacing w:after="0" w:line="189" w:lineRule="exact"/>
        <w:rPr>
          <w:rFonts w:ascii="Times New Roman" w:cs="Times New Roman" w:eastAsia="Times New Roman" w:hAnsi="Times New Roman"/>
          <w:sz w:val="19"/>
          <w:szCs w:val="19"/>
          <w:color w:val="auto"/>
        </w:rPr>
      </w:pPr>
    </w:p>
    <w:p>
      <w:pPr>
        <w:ind w:right="160" w:firstLine="348"/>
        <w:spacing w:after="0" w:line="293" w:lineRule="auto"/>
        <w:tabs>
          <w:tab w:leader="none" w:pos="6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volatility and variations in market conditions in the life sciences technology sector generally, or the proteomics or genomics sectors specifically;</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880" w:h="15480" w:orient="portrait"/>
          <w:cols w:equalWidth="0" w:num="1">
            <w:col w:w="10480"/>
          </w:cols>
          <w:pgMar w:left="700" w:top="691" w:right="700" w:bottom="0" w:gutter="0" w:footer="0" w:header="0"/>
          <w:type w:val="continuous"/>
        </w:sectPr>
      </w:pPr>
    </w:p>
    <w:bookmarkStart w:id="65" w:name="page66"/>
    <w:bookmarkEnd w:id="65"/>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perceptions of us or our industry;</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expenses related to any of our research and development programs or products;</w:t>
      </w:r>
    </w:p>
    <w:p>
      <w:pPr>
        <w:spacing w:after="0" w:line="189" w:lineRule="exact"/>
        <w:rPr>
          <w:rFonts w:ascii="Times New Roman" w:cs="Times New Roman" w:eastAsia="Times New Roman" w:hAnsi="Times New Roman"/>
          <w:sz w:val="19"/>
          <w:szCs w:val="19"/>
          <w:color w:val="auto"/>
        </w:rPr>
      </w:pPr>
    </w:p>
    <w:p>
      <w:pPr>
        <w:jc w:val="both"/>
        <w:ind w:right="120" w:firstLine="348"/>
        <w:spacing w:after="0" w:line="274" w:lineRule="auto"/>
        <w:tabs>
          <w:tab w:leader="none" w:pos="6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our financial results meet the expectations of securities analysts or investors;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announcement or expectation of additional financing efforts;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our Common Stock by us or by our insiders or other stockholders;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economic, industry and market conditions;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pandemics, natural disasters or major catastrophic events.</w:t>
      </w:r>
    </w:p>
    <w:p>
      <w:pPr>
        <w:spacing w:after="0" w:line="189"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0" w:lineRule="exact"/>
        <w:rPr>
          <w:sz w:val="20"/>
          <w:szCs w:val="20"/>
          <w:color w:val="auto"/>
        </w:rPr>
      </w:pPr>
    </w:p>
    <w:p>
      <w:pPr>
        <w:ind w:right="8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do not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24"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We must continue to satisfy the Nasdaq Capital Market’s continued listing requirements, including, among other things, a minimum closing bid price requirement of $1.00 per share for 30 consecutive business days. If a company fails for 30 consecutive business days to meet the $1.00 minimum closing bid price requirement, The Nasdaq Stock Market LLC (“Nasdaq”) will send a deficiency notice to the company, advising that it has been afforded a “compliance period” of 180 calendar days to regain compliance with the applicable requirements.</w:t>
      </w:r>
    </w:p>
    <w:p>
      <w:pPr>
        <w:spacing w:after="0" w:line="133"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w:t>
      </w:r>
    </w:p>
    <w:p>
      <w:pPr>
        <w:spacing w:after="0" w:line="131" w:lineRule="exact"/>
        <w:rPr>
          <w:sz w:val="20"/>
          <w:szCs w:val="20"/>
          <w:color w:val="auto"/>
        </w:rPr>
      </w:pPr>
    </w:p>
    <w:p>
      <w:pPr>
        <w:ind w:right="120" w:firstLine="349"/>
        <w:spacing w:after="0" w:line="261" w:lineRule="auto"/>
        <w:rPr>
          <w:sz w:val="20"/>
          <w:szCs w:val="20"/>
          <w:color w:val="auto"/>
        </w:rPr>
      </w:pPr>
      <w:r>
        <w:rPr>
          <w:rFonts w:ascii="Times New Roman" w:cs="Times New Roman" w:eastAsia="Times New Roman" w:hAnsi="Times New Roman"/>
          <w:sz w:val="19"/>
          <w:szCs w:val="19"/>
          <w:color w:val="auto"/>
        </w:rPr>
        <w:t>On May 1, 2025, we received a letter from the Listing Qualifications Staff (“Staff”) of Nasdaq indicating that, based upon the closing bid price of shares of our Common Stock for the 30 consecutive business day period between March 19, 2025, through April 30, 2025, we did not meet the Minimum Bid Price Requirement for continued listing on the Nasdaq Global Select Market pursuant to Nasdaq Listing Rule 5450(a)(1). On November 3, 2025, the Staff notified us that since the Company’s stock had achieved a closing bid price of greater than $1.00 for at least 10 consecutive business days, that we had regained compliance with the Nasdaq listing requirements. If the closing bid price of our Common Stock should fall below $1 for 30 consecutive business days in the future, we could again fail to meet the Minimum Bid Price Requirement for continued listing on the Nasdaq Capital Market and face a risk of delisting.</w:t>
      </w:r>
    </w:p>
    <w:p>
      <w:pPr>
        <w:spacing w:after="0" w:line="13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Even though we have regained compliance with the Nasdaq Capital Market’s minimum closing bid price requirement, there is no guarantee that we will remain in compliance with such listing requirements or other listing requirements in the future. Any failure to maintain compliance with continued listing requirements of the Nasdaq Capital Market could result in delisting of our common stock from the Nasdaq Capital Market and negatively impact our company and holders of our common stock, including by reducing the willingness of investors to hold our common stock because of the resulting decreased price, liquidity and trading of our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880" w:h="15480" w:orient="portrait"/>
          <w:cols w:equalWidth="0" w:num="1">
            <w:col w:w="10480"/>
          </w:cols>
          <w:pgMar w:left="700" w:top="691" w:right="700" w:bottom="0" w:gutter="0" w:footer="0" w:header="0"/>
          <w:type w:val="continuous"/>
        </w:sectPr>
      </w:pPr>
    </w:p>
    <w:bookmarkStart w:id="66" w:name="page67"/>
    <w:bookmarkEnd w:id="66"/>
    <w:p>
      <w:pPr>
        <w:ind w:right="1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As of December 31, 2025, our directors, executive officers, holders of more than 5% of our outstanding shares of Common Stock and their respective affiliates beneficially owned, collectively, approximately 68.8% of the outstanding shares of our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9" w:lineRule="exact"/>
        <w:rPr>
          <w:sz w:val="20"/>
          <w:szCs w:val="20"/>
          <w:color w:val="auto"/>
        </w:rPr>
      </w:pPr>
    </w:p>
    <w:p>
      <w:pPr>
        <w:ind w:right="4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right="320" w:firstLine="349"/>
        <w:spacing w:after="0" w:line="274" w:lineRule="auto"/>
        <w:rPr>
          <w:sz w:val="20"/>
          <w:szCs w:val="20"/>
          <w:color w:val="auto"/>
        </w:rPr>
      </w:pPr>
      <w:r>
        <w:rPr>
          <w:rFonts w:ascii="Times New Roman" w:cs="Times New Roman" w:eastAsia="Times New Roman" w:hAnsi="Times New Roman"/>
          <w:sz w:val="19"/>
          <w:szCs w:val="19"/>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25"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6" w:lineRule="exact"/>
        <w:rPr>
          <w:sz w:val="20"/>
          <w:szCs w:val="20"/>
          <w:color w:val="auto"/>
        </w:rPr>
      </w:pPr>
    </w:p>
    <w:p>
      <w:pPr>
        <w:ind w:right="2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firstLine="349"/>
        <w:spacing w:after="0" w:line="250" w:lineRule="auto"/>
        <w:rPr>
          <w:sz w:val="20"/>
          <w:szCs w:val="20"/>
          <w:color w:val="auto"/>
        </w:rPr>
      </w:pPr>
      <w:r>
        <w:rPr>
          <w:rFonts w:ascii="Times New Roman" w:cs="Times New Roman" w:eastAsia="Times New Roman" w:hAnsi="Times New Roman"/>
          <w:sz w:val="19"/>
          <w:szCs w:val="19"/>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other research and development activities, and commercialization of our Nautilus Voyager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do not expect to pay any dividends for the foreseeable future. Investors may never obtain a return on their investment.</w:t>
      </w:r>
    </w:p>
    <w:p>
      <w:pPr>
        <w:spacing w:after="0" w:line="196"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8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3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880" w:h="15480" w:orient="portrait"/>
          <w:cols w:equalWidth="0" w:num="1">
            <w:col w:w="10460"/>
          </w:cols>
          <w:pgMar w:left="700" w:top="684" w:right="720" w:bottom="0" w:gutter="0" w:footer="0" w:header="0"/>
          <w:type w:val="continuous"/>
        </w:sectPr>
      </w:pPr>
    </w:p>
    <w:bookmarkStart w:id="67" w:name="page68"/>
    <w:bookmarkEnd w:id="67"/>
    <w:p>
      <w:pPr>
        <w:ind w:right="740"/>
        <w:spacing w:after="0" w:line="293" w:lineRule="auto"/>
        <w:rPr>
          <w:sz w:val="20"/>
          <w:szCs w:val="20"/>
          <w:color w:val="auto"/>
        </w:rPr>
      </w:pPr>
      <w:r>
        <w:rPr>
          <w:rFonts w:ascii="Times New Roman" w:cs="Times New Roman" w:eastAsia="Times New Roman" w:hAnsi="Times New Roman"/>
          <w:sz w:val="19"/>
          <w:szCs w:val="19"/>
          <w:color w:val="auto"/>
        </w:rPr>
        <w:t>action asserting a claim arising under the Securities Act against any person in connection with any offering of the Company’s securities, including any auditor, underwriter, expert, control person or other defendant.</w:t>
      </w:r>
    </w:p>
    <w:p>
      <w:pPr>
        <w:spacing w:after="0" w:line="107"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3"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4"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6" w:lineRule="exact"/>
        <w:rPr>
          <w:sz w:val="20"/>
          <w:szCs w:val="20"/>
          <w:color w:val="auto"/>
        </w:rPr>
      </w:pPr>
    </w:p>
    <w:p>
      <w:pPr>
        <w:ind w:right="20" w:firstLine="348"/>
        <w:spacing w:after="0" w:line="274"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25" w:lineRule="exact"/>
        <w:rPr>
          <w:rFonts w:ascii="Times New Roman" w:cs="Times New Roman" w:eastAsia="Times New Roman" w:hAnsi="Times New Roman"/>
          <w:sz w:val="19"/>
          <w:szCs w:val="19"/>
          <w:color w:val="auto"/>
        </w:rPr>
      </w:pPr>
    </w:p>
    <w:p>
      <w:pPr>
        <w:ind w:right="22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9"/>
          <w:szCs w:val="19"/>
          <w:color w:val="auto"/>
        </w:rPr>
      </w:pPr>
    </w:p>
    <w:p>
      <w:pPr>
        <w:ind w:right="18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stockholders are only able to take action at a meeting of stockholders and are not able to take action by written consent for any matter;</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vacancies on our board of directors are able to be filled only by our board of directors and not by stockholders;</w:t>
      </w:r>
    </w:p>
    <w:p>
      <w:pPr>
        <w:spacing w:after="0" w:line="189" w:lineRule="exact"/>
        <w:rPr>
          <w:rFonts w:ascii="Times New Roman" w:cs="Times New Roman" w:eastAsia="Times New Roman" w:hAnsi="Times New Roman"/>
          <w:sz w:val="19"/>
          <w:szCs w:val="19"/>
          <w:color w:val="auto"/>
        </w:rPr>
      </w:pPr>
    </w:p>
    <w:p>
      <w:pPr>
        <w:ind w:right="22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litigation against us can only be brought in Delaware;</w:t>
      </w:r>
    </w:p>
    <w:p>
      <w:pPr>
        <w:spacing w:after="0" w:line="189" w:lineRule="exact"/>
        <w:rPr>
          <w:rFonts w:ascii="Times New Roman" w:cs="Times New Roman" w:eastAsia="Times New Roman" w:hAnsi="Times New Roman"/>
          <w:sz w:val="19"/>
          <w:szCs w:val="19"/>
          <w:color w:val="auto"/>
        </w:rPr>
      </w:pPr>
    </w:p>
    <w:p>
      <w:pPr>
        <w:ind w:right="12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9"/>
          <w:szCs w:val="19"/>
          <w:color w:val="auto"/>
        </w:rPr>
      </w:pPr>
    </w:p>
    <w:p>
      <w:pPr>
        <w:ind w:right="20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 notice procedures apply for stockholders to nominate candidates for election as directors or to bring matters before an annual meeting of stockholders.</w:t>
      </w:r>
    </w:p>
    <w:p>
      <w:pPr>
        <w:spacing w:after="0" w:line="107" w:lineRule="exact"/>
        <w:rPr>
          <w:sz w:val="20"/>
          <w:szCs w:val="20"/>
          <w:color w:val="auto"/>
        </w:rPr>
      </w:pPr>
    </w:p>
    <w:p>
      <w:pPr>
        <w:jc w:val="both"/>
        <w:ind w:right="80" w:firstLine="349"/>
        <w:spacing w:after="0" w:line="268" w:lineRule="auto"/>
        <w:rPr>
          <w:sz w:val="20"/>
          <w:szCs w:val="20"/>
          <w:color w:val="auto"/>
        </w:rPr>
      </w:pPr>
      <w:r>
        <w:rPr>
          <w:rFonts w:ascii="Times New Roman" w:cs="Times New Roman" w:eastAsia="Times New Roman" w:hAnsi="Times New Roman"/>
          <w:sz w:val="19"/>
          <w:szCs w:val="19"/>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880" w:h="15480" w:orient="portrait"/>
          <w:cols w:equalWidth="0" w:num="1">
            <w:col w:w="10480"/>
          </w:cols>
          <w:pgMar w:left="700" w:top="691" w:right="700" w:bottom="0" w:gutter="0" w:footer="0" w:header="0"/>
          <w:type w:val="continuous"/>
        </w:sectPr>
      </w:pPr>
    </w:p>
    <w:bookmarkStart w:id="68" w:name="page69"/>
    <w:bookmarkEnd w:id="68"/>
    <w:p>
      <w:pPr>
        <w:ind w:left="34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will continue to incur significant increased costs and management resources as a result of operating as a public company.</w:t>
      </w:r>
    </w:p>
    <w:p>
      <w:pPr>
        <w:spacing w:after="0" w:line="19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As a public company, we will continue to incur significant legal, accounting, compliance and other expenses that we did not incur as a private company and these expenses may increase even more given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33"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broad discretion in the use of the net proceeds from the Business Combination and the PIPE Financing and may not use them effectively.</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9" w:lineRule="exact"/>
        <w:rPr>
          <w:sz w:val="20"/>
          <w:szCs w:val="20"/>
          <w:color w:val="auto"/>
        </w:rPr>
      </w:pPr>
    </w:p>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ability to use net operating losses and certain other tax attributes to offset future taxable income may be subject to certain limitations.</w:t>
      </w:r>
    </w:p>
    <w:p>
      <w:pPr>
        <w:spacing w:after="0" w:line="105"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2025, we had U.S. federal NOLs of $203.7 million, of which $203.2 million do not expire, and state NOLs of $197.9 million that will begin to expire in 2037.</w:t>
      </w:r>
    </w:p>
    <w:p>
      <w:pPr>
        <w:spacing w:after="0" w:line="136" w:lineRule="exact"/>
        <w:rPr>
          <w:sz w:val="20"/>
          <w:szCs w:val="20"/>
          <w:color w:val="auto"/>
        </w:rPr>
      </w:pPr>
    </w:p>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ectPr>
          <w:pgSz w:w="11880" w:h="15480" w:orient="portrait"/>
          <w:cols w:equalWidth="0" w:num="1">
            <w:col w:w="10480"/>
          </w:cols>
          <w:pgMar w:left="700" w:top="10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880" w:h="15480" w:orient="portrait"/>
          <w:cols w:equalWidth="0" w:num="1">
            <w:col w:w="10480"/>
          </w:cols>
          <w:pgMar w:left="700" w:top="1091" w:right="700" w:bottom="0" w:gutter="0" w:footer="0" w:header="0"/>
          <w:type w:val="continuous"/>
        </w:sectPr>
      </w:pPr>
    </w:p>
    <w:bookmarkStart w:id="69" w:name="page70"/>
    <w:bookmarkEnd w:id="69"/>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Changes in tax laws could have a material adverse effect on our future business, cash flows, results of operations or financial condition.</w:t>
      </w:r>
    </w:p>
    <w:p>
      <w:pPr>
        <w:spacing w:after="0" w:line="105"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We are subject to tax laws, regulations, and policies of U.S. federal, state, and local taxing jurisdictions and may in the future be subject to the tax laws, regulations, and policies of other taxing jurisdictions. Changes in tax laws, as well as other factors, could cause us to experience fluctuations in our tax obligations and effective tax rates and otherwise adversely affect our tax positions and/or our tax liabilities. In addition, many countries and local jurisdictions and organizations such as the Organisation for Economic Co-operation and Development (the “OECD”) have proposed or implemented new tax laws or changes to existing tax laws, including additional taxes on payroll or employees and a proposed 15% global minimum tax (“Pillar 2”) that is being implemented by several countries and is being considered for implementation by others. On January 5, 2026, the OECD announced a “side-by-side” elective safe harbor that exempts U.S.-parented multinational entities from certain provisions of Pillar Two for fiscal years beginning on or after January 1, 2026. Any new or changes to tax laws could adversely affect our future effective tax rate, operating results, tax credits or incentives or tax payments, which could have a material adverse effect on our future business, cash flows, results of operations or financial condition, including if we expand internationally.</w:t>
      </w:r>
    </w:p>
    <w:p>
      <w:pPr>
        <w:spacing w:after="0" w:line="136" w:lineRule="exact"/>
        <w:rPr>
          <w:sz w:val="20"/>
          <w:szCs w:val="20"/>
          <w:color w:val="auto"/>
        </w:rPr>
      </w:pPr>
    </w:p>
    <w:p>
      <w:pPr>
        <w:ind w:right="2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220" w:firstLine="349"/>
        <w:spacing w:after="0" w:line="260"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41"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 non-accelerated filer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remain a non-accelerated filer, our independent registered public accounting firm will not be required to attest to the effectiveness of our internal controls over financial reporting pursuant to Section 404(b) of SOX.</w:t>
      </w:r>
    </w:p>
    <w:p>
      <w:pPr>
        <w:spacing w:after="0" w:line="136"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6"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18" w:lineRule="exact"/>
        <w:rPr>
          <w:sz w:val="20"/>
          <w:szCs w:val="20"/>
          <w:color w:val="auto"/>
        </w:rPr>
      </w:pPr>
    </w:p>
    <w:p>
      <w:pPr>
        <w:jc w:val="both"/>
        <w:ind w:right="1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880" w:h="15480" w:orient="portrait"/>
          <w:cols w:equalWidth="0" w:num="1">
            <w:col w:w="10480"/>
          </w:cols>
          <w:pgMar w:left="700" w:top="684" w:right="700" w:bottom="0" w:gutter="0" w:footer="0" w:header="0"/>
          <w:type w:val="continuous"/>
        </w:sectPr>
      </w:pPr>
    </w:p>
    <w:bookmarkStart w:id="70" w:name="page71"/>
    <w:bookmarkEnd w:id="70"/>
    <w:p>
      <w:pPr>
        <w:ind w:right="160"/>
        <w:spacing w:after="0" w:line="293" w:lineRule="auto"/>
        <w:rPr>
          <w:sz w:val="20"/>
          <w:szCs w:val="20"/>
          <w:color w:val="auto"/>
        </w:rPr>
      </w:pPr>
      <w:r>
        <w:rPr>
          <w:rFonts w:ascii="Times New Roman" w:cs="Times New Roman" w:eastAsia="Times New Roman" w:hAnsi="Times New Roman"/>
          <w:sz w:val="19"/>
          <w:szCs w:val="19"/>
          <w:color w:val="auto"/>
        </w:rPr>
        <w:t>publicly announced guidance or the expectations of securities analysts and investors, resulting in a decline in the market price of our Common Stock.</w:t>
      </w:r>
    </w:p>
    <w:p>
      <w:pPr>
        <w:spacing w:after="0" w:line="100" w:lineRule="exact"/>
        <w:rPr>
          <w:sz w:val="20"/>
          <w:szCs w:val="20"/>
          <w:color w:val="auto"/>
        </w:rPr>
      </w:pPr>
    </w:p>
    <w:p>
      <w:pPr>
        <w:ind w:right="3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are a “smaller reporting company” within the meaning of the Securities Act, and the reduced disclosure requirements applicable to smaller reporting companies may make our Common Stock less attractive to investors.</w:t>
      </w:r>
    </w:p>
    <w:p>
      <w:pPr>
        <w:spacing w:after="0" w:line="105"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Although we ceased to be an “emerging growth company,” as defined in the JOBS Act, on December 31, 2025, we are still currently a “smaller reporting company” as defined in the Exchange Act. Smaller reporting companies may take advantage of certain exemptions from various reporting requirements that are applicable to other public companies that are not smaller reporting companies, including, among others, reduced disclosure obligations regarding executive compensation in our periodic reports and proxy statements, and not being required to furnish a stock performance graph in our annual report. Additionally, as a smaller reporting company, we are only required to provide two years of audited financial statements in our SEC reports. We will remain a smaller reporting company until the last day of the fiscal year in which (1) the market value of our common stock held by non-affiliates equals or exceeds $250 million as of the prior June 30, or (2) our annual revenues equal or exceed $100 million during such completed fiscal year and the market value of our common stock held by non-affiliates equals or exceeds $700 million as of the prior June 30.</w:t>
      </w:r>
    </w:p>
    <w:p>
      <w:pPr>
        <w:spacing w:after="0" w:line="374"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If we take advantage of some or all of the reduced disclosure requirements available to smaller reporting companies, investors may find our common stock less attractive, which may result in a less active trading market for our common stock and greater stock price volatility.</w:t>
      </w:r>
    </w:p>
    <w:p>
      <w:pPr>
        <w:spacing w:after="0" w:line="118" w:lineRule="exact"/>
        <w:rPr>
          <w:sz w:val="20"/>
          <w:szCs w:val="20"/>
          <w:color w:val="auto"/>
        </w:rPr>
      </w:pPr>
    </w:p>
    <w:p>
      <w:pPr>
        <w:ind w:right="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9" w:lineRule="exact"/>
        <w:rPr>
          <w:sz w:val="20"/>
          <w:szCs w:val="20"/>
          <w:color w:val="auto"/>
        </w:rPr>
      </w:pPr>
    </w:p>
    <w:p>
      <w:pPr>
        <w:ind w:right="2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Investor advocacy groups, proxy advisory services, investment funds, institutional investors, stockholders, and customers are increasingly focused on environmental, social, and governance (“ESG”) practices of companies.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and Strategy</w:t>
      </w:r>
    </w:p>
    <w:p>
      <w:pPr>
        <w:spacing w:after="0" w:line="200" w:lineRule="exact"/>
        <w:rPr>
          <w:sz w:val="20"/>
          <w:szCs w:val="20"/>
          <w:color w:val="auto"/>
        </w:rPr>
      </w:pPr>
    </w:p>
    <w:p>
      <w:pPr>
        <w:spacing w:after="0" w:line="214"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We have established policies and processes for assessing, identifying, and managing risks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31"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w:t>
      </w:r>
    </w:p>
    <w:p>
      <w:pPr>
        <w:sectPr>
          <w:pgSz w:w="11880" w:h="15480" w:orient="portrait"/>
          <w:cols w:equalWidth="0" w:num="1">
            <w:col w:w="10420"/>
          </w:cols>
          <w:pgMar w:left="700" w:top="691" w:right="76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69</w:t>
      </w:r>
    </w:p>
    <w:p>
      <w:pPr>
        <w:sectPr>
          <w:pgSz w:w="11880" w:h="15480" w:orient="portrait"/>
          <w:cols w:equalWidth="0" w:num="1">
            <w:col w:w="10420"/>
          </w:cols>
          <w:pgMar w:left="700" w:top="691" w:right="760" w:bottom="0" w:gutter="0" w:footer="0" w:header="0"/>
          <w:type w:val="continuous"/>
        </w:sectPr>
      </w:pPr>
    </w:p>
    <w:bookmarkStart w:id="71" w:name="page72"/>
    <w:bookmarkEnd w:id="71"/>
    <w:p>
      <w:pPr>
        <w:ind w:right="100"/>
        <w:spacing w:after="0" w:line="293" w:lineRule="auto"/>
        <w:rPr>
          <w:sz w:val="20"/>
          <w:szCs w:val="20"/>
          <w:color w:val="auto"/>
        </w:rPr>
      </w:pPr>
      <w:r>
        <w:rPr>
          <w:rFonts w:ascii="Times New Roman" w:cs="Times New Roman" w:eastAsia="Times New Roman" w:hAnsi="Times New Roman"/>
          <w:sz w:val="19"/>
          <w:szCs w:val="19"/>
          <w:color w:val="auto"/>
        </w:rPr>
        <w:t>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0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Head of IT, to manage the risk assessment and mitigation process.</w:t>
      </w:r>
    </w:p>
    <w:p>
      <w:pPr>
        <w:spacing w:after="0" w:line="131" w:lineRule="exact"/>
        <w:rPr>
          <w:sz w:val="20"/>
          <w:szCs w:val="20"/>
          <w:color w:val="auto"/>
        </w:rPr>
      </w:pPr>
    </w:p>
    <w:p>
      <w:pPr>
        <w:ind w:right="560" w:firstLine="349"/>
        <w:spacing w:after="0" w:line="274" w:lineRule="auto"/>
        <w:rPr>
          <w:sz w:val="20"/>
          <w:szCs w:val="20"/>
          <w:color w:val="auto"/>
        </w:rPr>
      </w:pPr>
      <w:r>
        <w:rPr>
          <w:rFonts w:ascii="Times New Roman" w:cs="Times New Roman" w:eastAsia="Times New Roman" w:hAnsi="Times New Roman"/>
          <w:sz w:val="19"/>
          <w:szCs w:val="19"/>
          <w:color w:val="auto"/>
        </w:rPr>
        <w:t>As part of our overall risk management system, we monitor our safeguards and train our employees on these safeguards, in collaboration with human resources, IT, and management. Personnel at all levels and departments are made aware of our cybersecurity policies through trainings integrated into new employee onboarding processes and annual employee re-training.</w:t>
      </w:r>
    </w:p>
    <w:p>
      <w:pPr>
        <w:spacing w:after="0" w:line="125"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We engage consultants, experts, or other third parties in connection with our risk assessment processes. These third parties assist us in designing and implementing our cybersecurity policies and procedures, as well as in monitoring and testing our safeguards.</w:t>
      </w:r>
    </w:p>
    <w:p>
      <w:pPr>
        <w:spacing w:after="0" w:line="107"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We require each third-party service provider who may have access to our systems and/or our sensitive data to attest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13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have not experienced any cybersecurity incidents that have been determined to be material in the past, however, like other life sciences technology companies, we have experienced cybersecurity incidents and may continue to experience them in the future. For additional information regarding whether any risks from cybersecurity threats, including as a result of any previous cybersecurity incidents, materially affected or are reasonably likely to materially affect our company, including our business strategy, results of operations, or financial condition, please refer to Item 1A, “Risk Factors,” in this annual report on Form 10-K, including, for example, the risk factor entitled “If we experience a significant disruption in our information technology systems or breaches of data security, our business could be adversely affected.”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Governance</w:t>
      </w:r>
    </w:p>
    <w:p>
      <w:pPr>
        <w:spacing w:after="0" w:line="196" w:lineRule="exact"/>
        <w:rPr>
          <w:sz w:val="20"/>
          <w:szCs w:val="20"/>
          <w:color w:val="auto"/>
        </w:rPr>
      </w:pPr>
    </w:p>
    <w:p>
      <w:pPr>
        <w:ind w:right="320" w:firstLine="349"/>
        <w:spacing w:after="0" w:line="268" w:lineRule="auto"/>
        <w:rPr>
          <w:sz w:val="20"/>
          <w:szCs w:val="20"/>
          <w:color w:val="auto"/>
        </w:rPr>
      </w:pPr>
      <w:r>
        <w:rPr>
          <w:rFonts w:ascii="Times New Roman" w:cs="Times New Roman" w:eastAsia="Times New Roman" w:hAnsi="Times New Roman"/>
          <w:sz w:val="19"/>
          <w:szCs w:val="19"/>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31" w:lineRule="exact"/>
        <w:rPr>
          <w:sz w:val="20"/>
          <w:szCs w:val="20"/>
          <w:color w:val="auto"/>
        </w:rPr>
      </w:pPr>
    </w:p>
    <w:p>
      <w:pPr>
        <w:ind w:right="320" w:firstLine="349"/>
        <w:spacing w:after="0" w:line="268" w:lineRule="auto"/>
        <w:rPr>
          <w:sz w:val="20"/>
          <w:szCs w:val="20"/>
          <w:color w:val="auto"/>
        </w:rPr>
      </w:pPr>
      <w:r>
        <w:rPr>
          <w:rFonts w:ascii="Times New Roman" w:cs="Times New Roman" w:eastAsia="Times New Roman" w:hAnsi="Times New Roman"/>
          <w:sz w:val="19"/>
          <w:szCs w:val="19"/>
          <w:color w:val="auto"/>
        </w:rPr>
        <w:t>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spacing w:after="0" w:line="131" w:lineRule="exact"/>
        <w:rPr>
          <w:sz w:val="20"/>
          <w:szCs w:val="20"/>
          <w:color w:val="auto"/>
        </w:rPr>
      </w:pPr>
    </w:p>
    <w:p>
      <w:pPr>
        <w:jc w:val="both"/>
        <w:ind w:right="300" w:firstLine="349"/>
        <w:spacing w:after="0" w:line="268" w:lineRule="auto"/>
        <w:rPr>
          <w:sz w:val="20"/>
          <w:szCs w:val="20"/>
          <w:color w:val="auto"/>
        </w:rPr>
      </w:pPr>
      <w:r>
        <w:rPr>
          <w:rFonts w:ascii="Times New Roman" w:cs="Times New Roman" w:eastAsia="Times New Roman" w:hAnsi="Times New Roman"/>
          <w:sz w:val="19"/>
          <w:szCs w:val="19"/>
          <w:color w:val="auto"/>
        </w:rPr>
        <w:t>Our Head of IT and our management committee on cybersecurity oversee our cybersecurity policies and processes, including those described in “Risk Management and Strategy” above. The processes by which our Head of IT and representatives from our management committee on cybersecurity are informed about and monitor the prevention, detection, mitigation, and remediation of cybersecurity incidents includes the following:</w:t>
      </w:r>
    </w:p>
    <w:p>
      <w:pPr>
        <w:spacing w:after="0" w:line="131" w:lineRule="exact"/>
        <w:rPr>
          <w:sz w:val="20"/>
          <w:szCs w:val="20"/>
          <w:color w:val="auto"/>
        </w:rPr>
      </w:pPr>
    </w:p>
    <w:p>
      <w:pPr>
        <w:ind w:right="120" w:firstLine="348"/>
        <w:spacing w:after="0" w:line="274"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monitoring of Company computer and information systems for potential malware, ransomware and other malicious activity, and remediation of identified issues, including mitigation of identified risks and containment and elimination of any malicious software;</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mandatory cybersecurity training as part of new employee onboarding along with required annual employee cybersecurity re-</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training;</w:t>
      </w:r>
    </w:p>
    <w:p>
      <w:pPr>
        <w:spacing w:after="0" w:line="169"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automated monitoring of systems and network infrastructure through event log analysis by security information and event management application;</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 incident reporting directly to the Company’s CFO and General Counsel; and</w:t>
      </w:r>
    </w:p>
    <w:p>
      <w:pPr>
        <w:spacing w:after="0" w:line="189" w:lineRule="exact"/>
        <w:rPr>
          <w:sz w:val="20"/>
          <w:szCs w:val="20"/>
          <w:color w:val="auto"/>
        </w:rPr>
      </w:pPr>
    </w:p>
    <w:p>
      <w:pPr>
        <w:ind w:left="700" w:hanging="352"/>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escalation to the Company’s audit committee and board of directors as warranted based upon the nature of the identified</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w:t>
      </w:r>
    </w:p>
    <w:p>
      <w:pPr>
        <w:spacing w:after="0" w:line="169"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auto"/>
        </w:rPr>
        <w:t>Our Head of IT and/or representatives from our management committee on cybersecurity provide periodic briefings to the audit committee regarding our company’s cybersecurity risks and activities, including any recent cybersecurity incidents and related</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ectPr>
          <w:pgSz w:w="11880" w:h="15480" w:orient="portrait"/>
          <w:cols w:equalWidth="0" w:num="1">
            <w:col w:w="10440"/>
          </w:cols>
          <w:pgMar w:left="700" w:top="691" w:right="740" w:bottom="0" w:gutter="0" w:footer="0" w:header="0"/>
          <w:type w:val="continuous"/>
        </w:sectPr>
      </w:pPr>
    </w:p>
    <w:bookmarkStart w:id="72" w:name="page73"/>
    <w:bookmarkEnd w:id="72"/>
    <w:p>
      <w:pPr>
        <w:ind w:right="100"/>
        <w:spacing w:after="0" w:line="293" w:lineRule="auto"/>
        <w:rPr>
          <w:sz w:val="20"/>
          <w:szCs w:val="20"/>
          <w:color w:val="auto"/>
        </w:rPr>
      </w:pPr>
      <w:r>
        <w:rPr>
          <w:rFonts w:ascii="Times New Roman" w:cs="Times New Roman" w:eastAsia="Times New Roman" w:hAnsi="Times New Roman"/>
          <w:sz w:val="19"/>
          <w:szCs w:val="19"/>
          <w:color w:val="auto"/>
        </w:rPr>
        <w:t>responses, cybersecurity systems testing, activities of third parties, and the like. Our audit committee provides regular updates to the board of directors on such reports.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196"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Our corporate headquarters are located at 2701 Eastlake Avenue East, Seattle, Washington and our research and development facilities, and manufacturing centers are located at 835 Industrial Rd, San Carlos, California. The Seattle facility is approximately 14,800 square feet. The 835 Industrial Rd, San Carlos, California lease is for approximately 45,338 square feet of office and research space. We lease approximately 19,957 square feet of additional research and development and manufacturing space at 1561 Industrial Rd, San Carlos, California. In addition, we lease office and research space located at 4475 Executive Drive, San Diego, California. The San Diego facility is approximately 7,064 square feet. We do not own real property and believe that our current facilities are sufficient to meet our ongoing needs and that, if we require additional space, we will be able to obtain additional facilities on commercially reasonable terms.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10400"/>
          </w:cols>
          <w:pgMar w:left="700" w:top="69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71</w:t>
      </w:r>
    </w:p>
    <w:p>
      <w:pPr>
        <w:sectPr>
          <w:pgSz w:w="11880" w:h="15480" w:orient="portrait"/>
          <w:cols w:equalWidth="0" w:num="1">
            <w:col w:w="10400"/>
          </w:cols>
          <w:pgMar w:left="700" w:top="691" w:right="780" w:bottom="0" w:gutter="0" w:footer="0" w:header="0"/>
          <w:type w:val="continuous"/>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Part II</w:t>
      </w:r>
    </w:p>
    <w:p>
      <w:pPr>
        <w:spacing w:after="0" w:line="218" w:lineRule="exact"/>
        <w:rPr>
          <w:sz w:val="20"/>
          <w:szCs w:val="20"/>
          <w:color w:val="auto"/>
        </w:rPr>
      </w:pPr>
    </w:p>
    <w:p>
      <w:pPr>
        <w:ind w:right="420"/>
        <w:spacing w:after="0" w:line="451"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Our common stock has traded on the Nasdaq Capital Market since October 29, 2025, and previously traded on the Nasdaq Global Select Market, under the symbol “NAUT” from June 10, 2021 to October 28, 2025. Prior to June 10, 2021 and before completion of the Business Combination, the Class A ordinary shares of ARYA Sciences Acquisition Corp III traded on The Nasdaq Capital Market under the symbol “ARYA” and there was no public trading market for Legacy Nautilus’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196"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As of February 19, 2026, there were 27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9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w:t>
      </w:r>
    </w:p>
    <w:p>
      <w:pPr>
        <w:spacing w:after="0" w:line="196" w:lineRule="exact"/>
        <w:rPr>
          <w:sz w:val="20"/>
          <w:szCs w:val="20"/>
          <w:color w:val="auto"/>
        </w:rPr>
      </w:pPr>
    </w:p>
    <w:p>
      <w:pPr>
        <w:ind w:right="520" w:firstLine="349"/>
        <w:spacing w:after="0" w:line="293" w:lineRule="auto"/>
        <w:rPr>
          <w:sz w:val="20"/>
          <w:szCs w:val="20"/>
          <w:color w:val="auto"/>
        </w:rPr>
      </w:pPr>
      <w:r>
        <w:rPr>
          <w:rFonts w:ascii="Times New Roman" w:cs="Times New Roman" w:eastAsia="Times New Roman" w:hAnsi="Times New Roman"/>
          <w:sz w:val="19"/>
          <w:szCs w:val="19"/>
          <w:color w:val="auto"/>
        </w:rPr>
        <w:t>Our equity plan information required by this Item is incorporated by reference to the information in Part III, Item 12 of this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Sales of Unregistered Securities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 Reserved ]</w:t>
      </w:r>
    </w:p>
    <w:p>
      <w:pPr>
        <w:sectPr>
          <w:pgSz w:w="11880" w:h="15480" w:orient="portrait"/>
          <w:cols w:equalWidth="0" w:num="1">
            <w:col w:w="10420"/>
          </w:cols>
          <w:pgMar w:left="700" w:top="67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72</w:t>
      </w:r>
    </w:p>
    <w:p>
      <w:pPr>
        <w:sectPr>
          <w:pgSz w:w="11880" w:h="15480" w:orient="portrait"/>
          <w:cols w:equalWidth="0" w:num="1">
            <w:col w:w="10420"/>
          </w:cols>
          <w:pgMar w:left="700" w:top="671" w:right="7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194" w:lineRule="exact"/>
        <w:rPr>
          <w:sz w:val="20"/>
          <w:szCs w:val="20"/>
          <w:color w:val="auto"/>
        </w:rPr>
      </w:pPr>
    </w:p>
    <w:p>
      <w:pPr>
        <w:ind w:right="180" w:firstLine="349"/>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based upon current expectations that involve risk and uncertainties. Nautilus’s actual results may differ materially from those anticipated in these forward-looking statements as a result of various factors, including those set forth in the section titled “Risk Factors” in Part I, Item 1A and elsewhere in this Annual Report on Form 10-K. Please also see the section entitled “Special Note Regarding Forward-Looking Statements.”</w:t>
      </w:r>
    </w:p>
    <w:p>
      <w:pPr>
        <w:spacing w:after="0" w:line="136" w:lineRule="exact"/>
        <w:rPr>
          <w:sz w:val="20"/>
          <w:szCs w:val="20"/>
          <w:color w:val="auto"/>
        </w:rPr>
      </w:pPr>
    </w:p>
    <w:p>
      <w:pPr>
        <w:jc w:val="both"/>
        <w:ind w:right="540" w:firstLine="349"/>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96" w:lineRule="exact"/>
        <w:rPr>
          <w:sz w:val="20"/>
          <w:szCs w:val="20"/>
          <w:color w:val="auto"/>
        </w:rPr>
      </w:pPr>
    </w:p>
    <w:p>
      <w:pPr>
        <w:ind w:right="60" w:firstLine="349"/>
        <w:spacing w:after="0" w:line="251" w:lineRule="auto"/>
        <w:rPr>
          <w:sz w:val="20"/>
          <w:szCs w:val="20"/>
          <w:color w:val="auto"/>
        </w:rPr>
      </w:pPr>
      <w:r>
        <w:rPr>
          <w:rFonts w:ascii="Times New Roman" w:cs="Times New Roman" w:eastAsia="Times New Roman" w:hAnsi="Times New Roman"/>
          <w:sz w:val="19"/>
          <w:szCs w:val="19"/>
          <w:color w:val="auto"/>
        </w:rPr>
        <w:t>We are a development stage life sciences company focused on creating a platform technology to quantify and unlock the complexity of the proteome. We were founded to address longstanding challenges in proteomics through the development of a new analysis method, Iterative Mapping, for the quantification of single, intact protein molecules at scale. Our mission is to transform the field of proteomics by broadening access to high-quality proteomic data and enabling fundamental advancements across human health and medicine. Iterative Mapping is designed to enable broad and deep characterization of the proteome while delivering high reproducibility through direct single-molecule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w:t>
      </w:r>
    </w:p>
    <w:p>
      <w:pPr>
        <w:spacing w:after="0" w:line="147"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Since our incorporation in 2016, we have devoted substantially all of our resources to research and development activities, including with respect to our proteomics platform, or Nautilus Voyager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Voyager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44"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In order to commercialize our Nautilus Voyager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instruments, and related consumables. Among other factors, we will need to develop reliable supply chains for the various components in our Nautilus Voyager platform, instruments, and consumables to support large-scale commercial production. In connection with our Nautilus platform, we intend to utilize approximately 300 unique multi-affinity reagents and various antibodies in order to generate deep proteomic information at the speed and scale which we expect our Nautilus Voyager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44"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anticipate commercializing our Nautilus Voyager 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and over time, add additional applications in both targeted proteoform analysis and broadscale proteomics, which customers would access depending upon their specific proteomics needs. Initial customer access to the Nautilus Voyager platform is expected to be through our Early Access Program in which Nautilus will perform analysis and profiling of samples analyzed in our facility and shared via a cloud platform. We expect to work closely with early access collaborators to demonstrate the unique value proposition of our Nautilus Voyager platform. With data gained from our Early Access Program customers, we plan to leverage publications to drive</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880" w:h="15480" w:orient="portrait"/>
          <w:cols w:equalWidth="0" w:num="1">
            <w:col w:w="10480"/>
          </w:cols>
          <w:pgMar w:left="700" w:top="684" w:right="700" w:bottom="0" w:gutter="0" w:footer="0" w:header="0"/>
          <w:type w:val="continuous"/>
        </w:sectPr>
      </w:pPr>
    </w:p>
    <w:bookmarkStart w:id="75" w:name="page76"/>
    <w:bookmarkEnd w:id="75"/>
    <w:p>
      <w:pPr>
        <w:ind w:right="40"/>
        <w:spacing w:after="0" w:line="251" w:lineRule="auto"/>
        <w:rPr>
          <w:sz w:val="20"/>
          <w:szCs w:val="20"/>
          <w:color w:val="auto"/>
        </w:rPr>
      </w:pPr>
      <w:r>
        <w:rPr>
          <w:rFonts w:ascii="Times New Roman" w:cs="Times New Roman" w:eastAsia="Times New Roman" w:hAnsi="Times New Roman"/>
          <w:sz w:val="19"/>
          <w:szCs w:val="19"/>
          <w:color w:val="auto"/>
        </w:rPr>
        <w:t>awareness and customer demand and later sell instruments and reagents to select customers performing targeted proteoform and broadscale proteomics research.We announced the launch of our Iterative Mapping Early Access Program starting with target specific service offerings in January 2026 for the analysis of the microtubule-associated protein tau (or “Tau” for short), which has been broadly associated with the onset and progression of Alzheimer’s disease in human patients. Over time, we plan to extend this early access framework to include additional proteoforms in new disease areas like oncology and into a dual model that supports both targeted assays, and broadscale workflows, which are designed to offer broader proteome coverage. We do not anticipate that these early access activities will result in any material revenue. We expect to initiate our commercial launch in late 2026 by opening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for pre-orders, with instrument installations at customer sites beginning in early 2027. At launch, we expect general availability to include the Voyager instrument, our Tau proteoform assay, and a second proteoform assay. We anticipate general availability of Broadscale proteomics capabilities in the first half of 2027, as we continue expanding the platform’s assay portfolio. Our first generally available broadscale consumable kits are designed to deliver strong initial performance, with subsequent releases expected to further expand capabilities and enable the platform to meet or exceed our previously announced product specifications.</w:t>
      </w:r>
    </w:p>
    <w:p>
      <w:pPr>
        <w:spacing w:after="0" w:line="389"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phased commercial launch strategy for our Nautilus Voyager platform.</w:t>
      </w:r>
    </w:p>
    <w:p>
      <w:pPr>
        <w:spacing w:after="0" w:line="133" w:lineRule="exact"/>
        <w:rPr>
          <w:sz w:val="20"/>
          <w:szCs w:val="20"/>
          <w:color w:val="auto"/>
        </w:rPr>
      </w:pPr>
    </w:p>
    <w:p>
      <w:pPr>
        <w:ind w:right="180" w:firstLine="349"/>
        <w:spacing w:after="0" w:line="261" w:lineRule="auto"/>
        <w:rPr>
          <w:sz w:val="20"/>
          <w:szCs w:val="20"/>
          <w:color w:val="auto"/>
        </w:rPr>
      </w:pPr>
      <w:r>
        <w:rPr>
          <w:rFonts w:ascii="Times New Roman" w:cs="Times New Roman" w:eastAsia="Times New Roman" w:hAnsi="Times New Roman"/>
          <w:sz w:val="19"/>
          <w:szCs w:val="19"/>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7"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5"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2025, we had cash, cash equivalents and short-term investments of $103.4 million. As of the filing of this Annual Report on Form 10-K, we believe that our existing cash, cash equivalents, and short-term investments will enable us to fund our planned operating expenses and capital expenditures through at least the next 12 months.</w:t>
      </w:r>
    </w:p>
    <w:p>
      <w:pPr>
        <w:spacing w:after="0" w:line="136"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We have incurred significant losses since the commencement of our operations. Our net loss was $59.0 million during the year ended December 31, 2025, and we expect to continue to incur significant losses for the foreseeable future as we continue our research and development activities and planned commercialization of our Nautilus Voyager platform. As of December 31, 2025, we had an accumulated deficit of $332.0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We expect our expenses and capital requirements will increase substantially in connection with our ongoing activities as we:</w:t>
      </w:r>
    </w:p>
    <w:p>
      <w:pPr>
        <w:spacing w:after="0" w:line="189" w:lineRule="exact"/>
        <w:rPr>
          <w:sz w:val="20"/>
          <w:szCs w:val="20"/>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and development activities, including with respect to our Nautilus Voyager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conduct activities to develop and deliver service offerings and to establish and operate service laboratory operations;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undertake activities to establish sales, marketing and distribution capabilities for our Nautilus Voyager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setup costs related to production tooling and required testing;</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protect and expand our intellectual property portfolio, including patents, trade secrets and know how;</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operational, financial and management information systems;</w:t>
      </w:r>
    </w:p>
    <w:p>
      <w:pPr>
        <w:sectPr>
          <w:pgSz w:w="11880" w:h="15480" w:orient="portrait"/>
          <w:cols w:equalWidth="0" w:num="1">
            <w:col w:w="10440"/>
          </w:cols>
          <w:pgMar w:left="700" w:top="691" w:right="740" w:bottom="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ectPr>
          <w:pgSz w:w="11880" w:h="15480" w:orient="portrait"/>
          <w:cols w:equalWidth="0" w:num="1">
            <w:col w:w="10440"/>
          </w:cols>
          <w:pgMar w:left="700" w:top="691" w:right="740" w:bottom="0" w:gutter="0" w:footer="0" w:header="0"/>
          <w:type w:val="continuous"/>
        </w:sectPr>
      </w:pPr>
    </w:p>
    <w:bookmarkStart w:id="76" w:name="page77"/>
    <w:bookmarkEnd w:id="76"/>
    <w:p>
      <w:pPr>
        <w:ind w:left="700" w:hanging="352"/>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attract, hire and retain additional management, scientific and administrative personnel;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operate as a public company.</w:t>
      </w:r>
    </w:p>
    <w:p>
      <w:pPr>
        <w:spacing w:after="0" w:line="189"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Impact of Negative Global or National Events</w:t>
      </w:r>
    </w:p>
    <w:p>
      <w:pPr>
        <w:spacing w:after="0" w:line="196" w:lineRule="exact"/>
        <w:rPr>
          <w:sz w:val="20"/>
          <w:szCs w:val="20"/>
          <w:color w:val="auto"/>
        </w:rPr>
      </w:pPr>
    </w:p>
    <w:p>
      <w:pPr>
        <w:ind w:right="140" w:firstLine="349"/>
        <w:spacing w:after="0" w:line="260" w:lineRule="auto"/>
        <w:rPr>
          <w:sz w:val="20"/>
          <w:szCs w:val="20"/>
          <w:color w:val="auto"/>
        </w:rPr>
      </w:pPr>
      <w:r>
        <w:rPr>
          <w:rFonts w:ascii="Times New Roman" w:cs="Times New Roman" w:eastAsia="Times New Roman" w:hAnsi="Times New Roman"/>
          <w:sz w:val="19"/>
          <w:szCs w:val="19"/>
          <w:color w:val="auto"/>
        </w:rPr>
        <w:t>Businesses have been and will continue to be impacted by a number of challenging global and national events and circumstances that continue to evolve, including extreme weather conditions, economic uncertainty, increased tariffs, inflation, changing interest rates,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41" w:lineRule="exact"/>
        <w:rPr>
          <w:sz w:val="20"/>
          <w:szCs w:val="20"/>
          <w:color w:val="auto"/>
        </w:rPr>
      </w:pPr>
    </w:p>
    <w:p>
      <w:pPr>
        <w:ind w:right="260" w:firstLine="349"/>
        <w:spacing w:after="0" w:line="263" w:lineRule="auto"/>
        <w:rPr>
          <w:sz w:val="20"/>
          <w:szCs w:val="20"/>
          <w:color w:val="auto"/>
        </w:rPr>
      </w:pPr>
      <w:r>
        <w:rPr>
          <w:rFonts w:ascii="Times New Roman" w:cs="Times New Roman" w:eastAsia="Times New Roman" w:hAnsi="Times New Roman"/>
          <w:sz w:val="19"/>
          <w:szCs w:val="19"/>
          <w:color w:val="auto"/>
        </w:rPr>
        <w:t>We have been and continue to actively monitor our supply chain in light of these challenging global and national events and circumstances, including our third-party materials suppliers. We have, in the past, experienced some supply disruptions, including closures at certain chip manufacturers, which led to extended lead times for certain chips;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w:t>
      </w:r>
    </w:p>
    <w:p>
      <w:pPr>
        <w:spacing w:after="0" w:line="13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Our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196"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To date, we have not generated any revenue and we may not generate any revenue from the sale of products or from other sources in the near future.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w:t>
      </w:r>
    </w:p>
    <w:p>
      <w:pPr>
        <w:spacing w:after="0" w:line="191"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acquired in-process research and development, and allocated expenses for technology and facilities. We expense research and development expenses in the periods in which they are incurred.</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1880" w:h="15480" w:orient="portrait"/>
          <w:cols w:equalWidth="0" w:num="1">
            <w:col w:w="10480"/>
          </w:cols>
          <w:pgMar w:left="700" w:top="691" w:right="700" w:bottom="0" w:gutter="0" w:footer="0" w:header="0"/>
          <w:type w:val="continuous"/>
        </w:sectPr>
      </w:pPr>
    </w:p>
    <w:bookmarkStart w:id="77" w:name="page78"/>
    <w:bookmarkEnd w:id="77"/>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plan to continue to invest in our research and development efforts and to increase our investment in research and development efforts related to our product development. While we experienced certain cost-savings associated with our workforce reductions implemented in the first quarter of 2025,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91"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loss contingency accruals, and marketing expenses. We expense general and administrative expenses in the periods in which they are incurred.</w:t>
      </w:r>
    </w:p>
    <w:p>
      <w:pPr>
        <w:spacing w:after="0" w:line="133"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While we experienced certain cost-savings associated with our workforce reductions implemented in the first quarter of 2025,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96"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Other income (expense) consists primarily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Comparison of Fiscal Years Ended December 31, 2025 to December 31, 2024</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shows our consolidated statements of operations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8"/>
                <w:szCs w:val="18"/>
                <w:color w:val="auto"/>
              </w:rPr>
            </w:pP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4"/>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7"/>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41,110</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50,477</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79"/>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25,727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30,999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(5,272)</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54"/>
        </w:trPr>
        <w:tc>
          <w:tcPr>
            <w:tcW w:w="56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operating expenses</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66,837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81,476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77"/>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7"/>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79"/>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expense</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w:t>
            </w:r>
          </w:p>
        </w:tc>
      </w:tr>
      <w:tr>
        <w:trPr>
          <w:trHeight w:val="277"/>
        </w:trPr>
        <w:tc>
          <w:tcPr>
            <w:tcW w:w="56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other income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7,836</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10,696</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(2,860)</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17"/>
        </w:trPr>
        <w:tc>
          <w:tcPr>
            <w:tcW w:w="560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Net loss</w:t>
            </w:r>
          </w:p>
        </w:tc>
        <w:tc>
          <w:tcPr>
            <w:tcW w:w="24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(59,001)</w:t>
            </w:r>
          </w:p>
        </w:tc>
        <w:tc>
          <w:tcPr>
            <w:tcW w:w="340" w:type="dxa"/>
            <w:vAlign w:val="bottom"/>
            <w:gridSpan w:val="2"/>
          </w:tcPr>
          <w:p>
            <w:pPr>
              <w:jc w:val="right"/>
              <w:ind w:right="43"/>
              <w:spacing w:after="0" w:line="217"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(70,780)</w:t>
            </w:r>
          </w:p>
        </w:tc>
        <w:tc>
          <w:tcPr>
            <w:tcW w:w="300" w:type="dxa"/>
            <w:vAlign w:val="bottom"/>
            <w:gridSpan w:val="2"/>
          </w:tcPr>
          <w:p>
            <w:pPr>
              <w:jc w:val="right"/>
              <w:ind w:right="3"/>
              <w:spacing w:after="0" w:line="217"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11,779</w:t>
            </w:r>
          </w:p>
        </w:tc>
        <w:tc>
          <w:tcPr>
            <w:tcW w:w="122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9"/>
                <w:szCs w:val="19"/>
                <w:color w:val="auto"/>
              </w:rPr>
              <w:t>(17)%</w:t>
            </w: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-1611630</wp:posOffset>
            </wp:positionV>
            <wp:extent cx="6681470" cy="1618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6681470" cy="1618615"/>
                    </a:xfrm>
                    <a:prstGeom prst="rect">
                      <a:avLst/>
                    </a:prstGeom>
                    <a:noFill/>
                  </pic:spPr>
                </pic:pic>
              </a:graphicData>
            </a:graphic>
          </wp:anchor>
        </w:drawing>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9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Research and development expenses were $41.1 million for the year ended December 31, 2025, compared to $50.5 million for the year ended December 31, 2024, a decrease of $9.4 million, or 19%. The decrease was due to a $4.5 million decrease in laboratory supplies and equipment expense due to operating efficiencies, lower development-related costs, and continued focus on cost optimization. Also contributing to the decrease was a $2.4 million decrease in salaries and related benefits driven by savings from the reduction in force implemented in the first quarter of 2025, a $1.9 million decrease in stock-based compensation expense, and a $0.7 million decrease in in-process research and development expense primarily resulting from an asset acquisition in the prior year. The decrease in stock-based compensation expense is driven by stock options granted at the time of the Merger becoming fully expensed in 2025 and lower expense associated with stock options granted since the Merger.</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880" w:h="15480" w:orient="portrait"/>
          <w:cols w:equalWidth="0" w:num="1">
            <w:col w:w="10480"/>
          </w:cols>
          <w:pgMar w:left="700" w:top="691" w:right="700" w:bottom="0" w:gutter="0" w:footer="0" w:header="0"/>
          <w:type w:val="continuous"/>
        </w:sectPr>
      </w:pPr>
    </w:p>
    <w:bookmarkStart w:id="78" w:name="page79"/>
    <w:bookmarkEnd w:id="78"/>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9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General and administrative expenses were $25.7 million for the year ended December 31, 2025, compared to $31.0 million for the year ended December 31, 2024, a decrease of $5.3 million, or 17%. The decrease was primarily due to a $3.9 million decrease in stock-based compensation expense. The decrease in stock-based compensation expense is driven by stock options granted at the time of the Merger becoming fully expensed in 2025 and lower expense associated with stock options granted since the Merger. Also contributing to the decrease was a $1.3 million decrease in professional services attributable to legal and consulting fees, primarily driven by professional services fees for the shelf registration statement filed in February 2024 and the resolution of the Standard Biotools legal matter. These decreases were partially offset by a $0.5 million increase in facilities expenses.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96"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Other income (expense) was $7.8 million for the year ended December 31, 2025, compared to $10.7 million for the year ended December 31, 2024, a decrease of $2.9 million or 27%. The net decrease was primarily due to a $2.9 million decrease in interest income driven by a lower cash, cash equivalents, and investments balance as well as decreased yield rates on investments during the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19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Since our inception, we have not generated any revenue from product sales and have incurred significant operating losses and negative cash flows from our operations. Our net loss was $59.0 million for the year ended December 31, 2025. As of December 31, 2025, we had an accumulated deficit of $332.0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2025, we had cash, cash equivalents, and investments of $156.1 million.</w:t>
      </w:r>
    </w:p>
    <w:p>
      <w:pPr>
        <w:spacing w:after="0" w:line="137" w:lineRule="exact"/>
        <w:rPr>
          <w:sz w:val="20"/>
          <w:szCs w:val="20"/>
          <w:color w:val="auto"/>
        </w:rPr>
      </w:pPr>
    </w:p>
    <w:p>
      <w:pPr>
        <w:jc w:val="both"/>
        <w:ind w:right="140" w:firstLine="349"/>
        <w:spacing w:after="0" w:line="274" w:lineRule="auto"/>
        <w:rPr>
          <w:sz w:val="20"/>
          <w:szCs w:val="20"/>
          <w:color w:val="auto"/>
        </w:rPr>
      </w:pPr>
      <w:r>
        <w:rPr>
          <w:rFonts w:ascii="Times New Roman" w:cs="Times New Roman" w:eastAsia="Times New Roman" w:hAnsi="Times New Roman"/>
          <w:sz w:val="19"/>
          <w:szCs w:val="19"/>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25"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will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year ended December 31, 2025, we did not sell any shares of common stock pursuant to the Sales Agreement.</w:t>
      </w:r>
    </w:p>
    <w:p>
      <w:pPr>
        <w:spacing w:after="0" w:line="141" w:lineRule="exact"/>
        <w:rPr>
          <w:sz w:val="20"/>
          <w:szCs w:val="20"/>
          <w:color w:val="auto"/>
        </w:rPr>
      </w:pPr>
    </w:p>
    <w:p>
      <w:pPr>
        <w:ind w:right="220" w:firstLine="349"/>
        <w:spacing w:after="0" w:line="268" w:lineRule="auto"/>
        <w:rPr>
          <w:sz w:val="20"/>
          <w:szCs w:val="20"/>
          <w:color w:val="auto"/>
        </w:rPr>
      </w:pPr>
      <w:r>
        <w:rPr>
          <w:rFonts w:ascii="Times New Roman" w:cs="Times New Roman" w:eastAsia="Times New Roman" w:hAnsi="Times New Roman"/>
          <w:sz w:val="19"/>
          <w:szCs w:val="19"/>
          <w:color w:val="auto"/>
        </w:rPr>
        <w:t>The shares of our common stock to be offered and sold under the Sales Agreement will be issued and sold pursuant to our shelf registration statement on Form S-3 (File No. 333-277437) (the “Shelf Registration Statement”), which was filed with the SEC on February 28, 2024 and which became effective March 6, 2024. No securities have yet been sold under the Shelf Registration Statement.</w:t>
      </w:r>
    </w:p>
    <w:p>
      <w:pPr>
        <w:spacing w:after="0" w:line="131"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The Shelf Registration Statement will remain in effect for up to three years and allows us to sell from time to time up to $300.0 million of common stock, preferred stock, debt securities, depositary shares, warrants, subscription rights, purchase contracts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ectPr>
          <w:pgSz w:w="11880" w:h="15480" w:orient="portrait"/>
          <w:cols w:equalWidth="0" w:num="1">
            <w:col w:w="10460"/>
          </w:cols>
          <w:pgMar w:left="700" w:top="684" w:right="720" w:bottom="0" w:gutter="0" w:footer="0" w:header="0"/>
          <w:type w:val="continuous"/>
        </w:sectPr>
      </w:pPr>
    </w:p>
    <w:bookmarkStart w:id="79" w:name="page80"/>
    <w:bookmarkEnd w:id="79"/>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Funding Requirements</w:t>
      </w:r>
    </w:p>
    <w:p>
      <w:pPr>
        <w:spacing w:after="0" w:line="196"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auto"/>
        </w:rPr>
        <w:t>To date, we have not generated any revenue and we may not generate any revenue from the sale of products or from other sources in the near future.</w:t>
      </w:r>
    </w:p>
    <w:p>
      <w:pPr>
        <w:spacing w:after="0" w:line="107"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We implemented workforce reduction in the first quarter of 2025. The cost-saving initiatives resulted in reductions to personnel-related expenses during the period.</w:t>
      </w:r>
    </w:p>
    <w:p>
      <w:pPr>
        <w:spacing w:after="0" w:line="107"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However, we expect our expenses and capital requirements will continue to increase substantially in connection with our ongoing activities as we:</w:t>
      </w:r>
    </w:p>
    <w:p>
      <w:pPr>
        <w:spacing w:after="0" w:line="107" w:lineRule="exact"/>
        <w:rPr>
          <w:sz w:val="20"/>
          <w:szCs w:val="20"/>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and development activities, including with respect to our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w:t>
      </w:r>
    </w:p>
    <w:p>
      <w:pPr>
        <w:spacing w:after="0" w:line="120"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conduct activities to develop and deliver service offerings and to establish and operate service laboratory operations;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undertake activities to establish sales, marketing and distribution capabilities for our Nautilus Voyager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setup costs related to production tooling and required testing;</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protect and expand our intellectual property portfolio, including patents, trade secrets and know how;</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operational, financial and management information systems;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attract, hire and retain additional management, scientific and administrative personnel;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operate as a public company.</w:t>
      </w:r>
    </w:p>
    <w:p>
      <w:pPr>
        <w:spacing w:after="0" w:line="189"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As of the filing of this Annual Report on Form 10-K,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41"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Until such time as we can generate significant revenue from commercialization of our products, if ever, we will continue to require substantial additional capital to develop our Nautilus Voyager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4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or our Shelf Registration Statement,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ectPr>
          <w:pgSz w:w="11880" w:h="15480" w:orient="portrait"/>
          <w:cols w:equalWidth="0" w:num="1">
            <w:col w:w="10440"/>
          </w:cols>
          <w:pgMar w:left="700" w:top="68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ectPr>
          <w:pgSz w:w="11880" w:h="15480" w:orient="portrait"/>
          <w:cols w:equalWidth="0" w:num="1">
            <w:col w:w="10440"/>
          </w:cols>
          <w:pgMar w:left="700" w:top="684" w:right="740" w:bottom="0" w:gutter="0" w:footer="0" w:header="0"/>
          <w:type w:val="continuous"/>
        </w:sectPr>
      </w:pPr>
    </w:p>
    <w:bookmarkStart w:id="80" w:name="page81"/>
    <w:bookmarkEnd w:id="80"/>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Historical Cash Flows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For the Fiscal Years Ended December 31, 2025 and 2024</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our cash flows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4"/>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operating activities</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(59,145)</w:t>
            </w:r>
          </w:p>
        </w:tc>
      </w:tr>
      <w:tr>
        <w:trPr>
          <w:trHeight w:val="277"/>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cash provided by investing activities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35,224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66,250</w:t>
            </w:r>
          </w:p>
        </w:tc>
      </w:tr>
      <w:tr>
        <w:trPr>
          <w:trHeight w:val="279"/>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cash provided by financing activities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1,144</w:t>
            </w:r>
          </w:p>
        </w:tc>
      </w:tr>
      <w:tr>
        <w:trPr>
          <w:trHeight w:val="237"/>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(15,258)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8,249</w:t>
            </w: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-881380</wp:posOffset>
            </wp:positionV>
            <wp:extent cx="6681470" cy="888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6681470" cy="888365"/>
                    </a:xfrm>
                    <a:prstGeom prst="rect">
                      <a:avLst/>
                    </a:prstGeom>
                    <a:noFill/>
                  </pic:spPr>
                </pic:pic>
              </a:graphicData>
            </a:graphic>
          </wp:anchor>
        </w:drawing>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191"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auto"/>
        </w:rPr>
        <w:t>During the year ended December 31, 2025, net cash used in operating activities was $50.7 million, resulting from our net loss of $59.0 million and a decrease in net changes in assets and liabilities aggregating $3.6 million. Net cash used in operating activities includes non-cash charges aggregating $11.9 million, which is driven by $6.8 million of stock-based compensation expense, $4.7 million amortization of operating lease right-of-use assets, and $1.8 million in depreciation expense. These non-cash charges were partially offset by $1.4 million in net accretion of discounts on securities.</w:t>
      </w:r>
    </w:p>
    <w:p>
      <w:pPr>
        <w:spacing w:after="0" w:line="133" w:lineRule="exact"/>
        <w:rPr>
          <w:sz w:val="20"/>
          <w:szCs w:val="20"/>
          <w:color w:val="auto"/>
        </w:rPr>
      </w:pPr>
    </w:p>
    <w:p>
      <w:pPr>
        <w:ind w:right="180" w:firstLine="349"/>
        <w:spacing w:after="0" w:line="263" w:lineRule="auto"/>
        <w:rPr>
          <w:sz w:val="20"/>
          <w:szCs w:val="20"/>
          <w:color w:val="auto"/>
        </w:rPr>
      </w:pPr>
      <w:r>
        <w:rPr>
          <w:rFonts w:ascii="Times New Roman" w:cs="Times New Roman" w:eastAsia="Times New Roman" w:hAnsi="Times New Roman"/>
          <w:sz w:val="19"/>
          <w:szCs w:val="19"/>
          <w:color w:val="auto"/>
        </w:rPr>
        <w:t>During the year ended December 31, 2024, net cash used in operating activities was $59.1 million, resulting from our net loss of $70.8 million and a decrease in net changes in assets and liabilities aggregating $5.5 million. Net cash used in operating activities includes non-cash charges aggregating $17.1 million, which is driven by $12.7 million of stock-based compensation expense, $4.4 million of amortization of operating lease right-of-use assets, $2.1 million of depreciation expense, and $0.8 million in non-cash adjustments related to in-process research and development. These non-cash charges were partially offset by $2.8 million in net accretion of discounts on securities.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Investing Activities</w:t>
      </w:r>
    </w:p>
    <w:p>
      <w:pPr>
        <w:spacing w:after="0" w:line="191" w:lineRule="exact"/>
        <w:rPr>
          <w:sz w:val="20"/>
          <w:szCs w:val="20"/>
          <w:color w:val="auto"/>
        </w:rPr>
      </w:pPr>
    </w:p>
    <w:p>
      <w:pPr>
        <w:jc w:val="both"/>
        <w:ind w:right="32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2025, net cash provided by investing activities was $35.2 million, resulting from $109.0 million in proceeds from the maturities of securities, partially offset by $72.5 million in purchases of securities, and $1.3 million in purchases of property and equipment.</w:t>
      </w:r>
    </w:p>
    <w:p>
      <w:pPr>
        <w:spacing w:after="0" w:line="125" w:lineRule="exact"/>
        <w:rPr>
          <w:sz w:val="20"/>
          <w:szCs w:val="20"/>
          <w:color w:val="auto"/>
        </w:rPr>
      </w:pPr>
    </w:p>
    <w:p>
      <w:pPr>
        <w:ind w:right="38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2024, net cash provided by investing activities was $66.3 million, resulting from $155.4 million in proceeds from the maturities of securities, partially offset by $86.3 million in purchases of securities, $2.1 million in purchases of property and equipment, and $0.8 million in cash paid in connection with an asset acquisition.</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Financing Activities</w:t>
      </w:r>
    </w:p>
    <w:p>
      <w:pPr>
        <w:spacing w:after="0" w:line="19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During the year ended December 31, 2025, net cash provided by financing activities was comprised of $0.2 million of proceeds from the exercise of stock options and issuance of common stock under the employee stock purchase plan.</w:t>
      </w:r>
    </w:p>
    <w:p>
      <w:pPr>
        <w:spacing w:after="0" w:line="107"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During the year ended December 31, 2024, net cash provided by financing activities was comprised of $1.1 million of proceeds from the exercise of stock options and issuance of common stock under the employee stock purchase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196" w:lineRule="exact"/>
        <w:rPr>
          <w:sz w:val="20"/>
          <w:szCs w:val="20"/>
          <w:color w:val="auto"/>
        </w:rPr>
      </w:pPr>
    </w:p>
    <w:p>
      <w:pPr>
        <w:ind w:right="1080" w:firstLine="349"/>
        <w:spacing w:after="0" w:line="293" w:lineRule="auto"/>
        <w:rPr>
          <w:sz w:val="20"/>
          <w:szCs w:val="20"/>
          <w:color w:val="auto"/>
        </w:rPr>
      </w:pPr>
      <w:r>
        <w:rPr>
          <w:rFonts w:ascii="Times New Roman" w:cs="Times New Roman" w:eastAsia="Times New Roman" w:hAnsi="Times New Roman"/>
          <w:sz w:val="19"/>
          <w:szCs w:val="19"/>
          <w:color w:val="auto"/>
        </w:rPr>
        <w:t>For a discussion of our contractual obligations and commitments, refer to Part II, Item 8, Note 8, “Commitments and Contingencies” in our notes to the consolidated financial statements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196"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Our discussion and analysis of our financial condition and results of operations are based upon our financial statements included in Part II, Item 8 of this Annual Report on Form 10-K. The preparation of our financial statements in accordance with GAAP requires us to make estimates and assumptions that affect the reported amounts of assets, liabilities, and expenses.</w:t>
      </w:r>
    </w:p>
    <w:p>
      <w:pPr>
        <w:spacing w:after="0" w:line="125"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07"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Our critical accounting policies are those that materially affect our financial statements and involve difficult, subjective or complex judgments by management. A thorough understanding of these critical accounting policies is essential when reviewing our</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880" w:h="15480" w:orient="portrait"/>
          <w:cols w:equalWidth="0" w:num="1">
            <w:col w:w="10480"/>
          </w:cols>
          <w:pgMar w:left="700" w:top="684" w:right="700" w:bottom="0" w:gutter="0" w:footer="0" w:header="0"/>
          <w:type w:val="continuous"/>
        </w:sectPr>
      </w:pPr>
    </w:p>
    <w:bookmarkStart w:id="81" w:name="page82"/>
    <w:bookmarkEnd w:id="81"/>
    <w:p>
      <w:pPr>
        <w:ind w:right="100"/>
        <w:spacing w:after="0" w:line="293" w:lineRule="auto"/>
        <w:rPr>
          <w:sz w:val="20"/>
          <w:szCs w:val="20"/>
          <w:color w:val="auto"/>
        </w:rPr>
      </w:pPr>
      <w:r>
        <w:rPr>
          <w:rFonts w:ascii="Times New Roman" w:cs="Times New Roman" w:eastAsia="Times New Roman" w:hAnsi="Times New Roman"/>
          <w:sz w:val="19"/>
          <w:szCs w:val="19"/>
          <w:color w:val="auto"/>
        </w:rPr>
        <w:t>financial statements. We believe that the critical accounting policies listed below are the most difficult management decisions as they involve the use of significant estimates and assumptions as described above.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96"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Costs for research and development activities are expensed in the period in which they are incurred. Research and development expenses consist of costs incurred in performing research and development activities, including salaries, related benefits and stock-based compensation expense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spacing w:after="0" w:line="133"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Accounting Pronouncements</w:t>
      </w:r>
    </w:p>
    <w:p>
      <w:pPr>
        <w:spacing w:after="0" w:line="196"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For a description of recent accounting pronouncements, including the expected dates of adoption and estimated effects, if any, on our consolidated financial statements, see Part II, Item 8, Note 2, “Significant Accounting Policies” in our notes to the consolidated financial statements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Smaller Reporting Company Status</w:t>
      </w:r>
    </w:p>
    <w:p>
      <w:pPr>
        <w:spacing w:after="0" w:line="196" w:lineRule="exact"/>
        <w:rPr>
          <w:sz w:val="20"/>
          <w:szCs w:val="20"/>
          <w:color w:val="auto"/>
        </w:rPr>
      </w:pPr>
    </w:p>
    <w:p>
      <w:pPr>
        <w:ind w:right="100" w:firstLine="398"/>
        <w:spacing w:after="0" w:line="262" w:lineRule="auto"/>
        <w:rPr>
          <w:sz w:val="20"/>
          <w:szCs w:val="20"/>
          <w:color w:val="auto"/>
        </w:rPr>
      </w:pPr>
      <w:r>
        <w:rPr>
          <w:rFonts w:ascii="Times New Roman" w:cs="Times New Roman" w:eastAsia="Times New Roman" w:hAnsi="Times New Roman"/>
          <w:sz w:val="19"/>
          <w:szCs w:val="19"/>
          <w:color w:val="auto"/>
        </w:rPr>
        <w:t>Previously, we were an emerging growth company as defined by the JOBS Act. The JOBS Act exempts emerging growth companies from being required to comply with new or revised financial accounting standards until private companies (that is, those that have not had a U.S. Securities Act of 1933, as amended,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As of December 31, 2025, we ceased to be an emerging growth company.</w:t>
      </w:r>
    </w:p>
    <w:p>
      <w:pPr>
        <w:spacing w:after="0" w:line="13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We are currently still a “smaller reporting company,” as defined in Item 10(f)(1) of Regulation S-K. Smaller reporting companies may take advantage of certain reduced disclosure obligations, including, among other things, providing only two years of audited financial statements, as well as reduced disclosure obligations regarding executive compensation in periodic reports and proxy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196"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auto"/>
        </w:rPr>
        <w:t>We had cash, cash equivalents and investments of $156.1 million as of December 31, 2025.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2025, the effect of a hypothetical 1.00% (100 basis point) change in interest rates would have changed the fair value of our marketable securities by $1.1 million. Such change would only be realized if we sold the marketable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Inflation Risk</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ectPr>
          <w:pgSz w:w="11880" w:h="15480" w:orient="portrait"/>
          <w:cols w:equalWidth="0" w:num="1">
            <w:col w:w="10440"/>
          </w:cols>
          <w:pgMar w:left="700" w:top="691" w:right="740" w:bottom="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80</w:t>
      </w:r>
    </w:p>
    <w:p>
      <w:pPr>
        <w:sectPr>
          <w:pgSz w:w="11880" w:h="15480" w:orient="portrait"/>
          <w:cols w:equalWidth="0" w:num="1">
            <w:col w:w="10440"/>
          </w:cols>
          <w:pgMar w:left="700" w:top="691" w:right="74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149"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Report of Independent Registered Public Accounting Firm (PCAOB ID 238)</w:t>
      </w:r>
      <w:r>
        <w:rPr>
          <w:sz w:val="20"/>
          <w:szCs w:val="20"/>
          <w:color w:val="auto"/>
        </w:rPr>
        <w:tab/>
      </w:r>
      <w:r>
        <w:rPr>
          <w:rFonts w:ascii="Times New Roman" w:cs="Times New Roman" w:eastAsia="Times New Roman" w:hAnsi="Times New Roman"/>
          <w:sz w:val="19"/>
          <w:szCs w:val="19"/>
          <w:color w:val="auto"/>
        </w:rPr>
        <w:t>82</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Consolidated Balance Sheets</w:t>
      </w:r>
      <w:r>
        <w:rPr>
          <w:sz w:val="20"/>
          <w:szCs w:val="20"/>
          <w:color w:val="auto"/>
        </w:rPr>
        <w:tab/>
      </w:r>
      <w:r>
        <w:rPr>
          <w:rFonts w:ascii="Times New Roman" w:cs="Times New Roman" w:eastAsia="Times New Roman" w:hAnsi="Times New Roman"/>
          <w:sz w:val="19"/>
          <w:szCs w:val="19"/>
          <w:color w:val="auto"/>
        </w:rPr>
        <w:t>84</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Consolidated Statements of Operations</w:t>
      </w:r>
      <w:r>
        <w:rPr>
          <w:sz w:val="20"/>
          <w:szCs w:val="20"/>
          <w:color w:val="auto"/>
        </w:rPr>
        <w:tab/>
      </w:r>
      <w:r>
        <w:rPr>
          <w:rFonts w:ascii="Times New Roman" w:cs="Times New Roman" w:eastAsia="Times New Roman" w:hAnsi="Times New Roman"/>
          <w:sz w:val="19"/>
          <w:szCs w:val="19"/>
          <w:color w:val="auto"/>
        </w:rPr>
        <w:t>85</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Consolidated Statements of Comprehensive Loss</w:t>
      </w:r>
      <w:r>
        <w:rPr>
          <w:sz w:val="20"/>
          <w:szCs w:val="20"/>
          <w:color w:val="auto"/>
        </w:rPr>
        <w:tab/>
      </w:r>
      <w:r>
        <w:rPr>
          <w:rFonts w:ascii="Times New Roman" w:cs="Times New Roman" w:eastAsia="Times New Roman" w:hAnsi="Times New Roman"/>
          <w:sz w:val="19"/>
          <w:szCs w:val="19"/>
          <w:color w:val="auto"/>
        </w:rPr>
        <w:t>86</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Consolidated Statements of Stockholders’ Equity</w:t>
      </w:r>
      <w:r>
        <w:rPr>
          <w:sz w:val="20"/>
          <w:szCs w:val="20"/>
          <w:color w:val="auto"/>
        </w:rPr>
        <w:tab/>
      </w:r>
      <w:r>
        <w:rPr>
          <w:rFonts w:ascii="Times New Roman" w:cs="Times New Roman" w:eastAsia="Times New Roman" w:hAnsi="Times New Roman"/>
          <w:sz w:val="19"/>
          <w:szCs w:val="19"/>
          <w:color w:val="auto"/>
        </w:rPr>
        <w:t>87</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Consolidated Statements of Cash Flows</w:t>
      </w:r>
      <w:r>
        <w:rPr>
          <w:sz w:val="20"/>
          <w:szCs w:val="20"/>
          <w:color w:val="auto"/>
        </w:rPr>
        <w:tab/>
      </w:r>
      <w:r>
        <w:rPr>
          <w:rFonts w:ascii="Times New Roman" w:cs="Times New Roman" w:eastAsia="Times New Roman" w:hAnsi="Times New Roman"/>
          <w:sz w:val="19"/>
          <w:szCs w:val="19"/>
          <w:color w:val="auto"/>
        </w:rPr>
        <w:t>88</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color w:val="auto"/>
        </w:rPr>
        <w:t>Notes to Consolidated Financial Statements</w:t>
      </w:r>
      <w:r>
        <w:rPr>
          <w:sz w:val="20"/>
          <w:szCs w:val="20"/>
          <w:color w:val="auto"/>
        </w:rPr>
        <w:tab/>
      </w:r>
      <w:r>
        <w:rPr>
          <w:rFonts w:ascii="Times New Roman" w:cs="Times New Roman" w:eastAsia="Times New Roman" w:hAnsi="Times New Roman"/>
          <w:sz w:val="19"/>
          <w:szCs w:val="19"/>
          <w:color w:val="auto"/>
        </w:rPr>
        <w:t>89</w:t>
      </w:r>
    </w:p>
    <w:p>
      <w:pPr>
        <w:sectPr>
          <w:pgSz w:w="11880" w:h="15480" w:orient="portrait"/>
          <w:cols w:equalWidth="0" w:num="1">
            <w:col w:w="9900"/>
          </w:cols>
          <w:pgMar w:left="700" w:top="68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81</w:t>
      </w:r>
    </w:p>
    <w:p>
      <w:pPr>
        <w:sectPr>
          <w:pgSz w:w="11880" w:h="15480" w:orient="portrait"/>
          <w:cols w:equalWidth="0" w:num="1">
            <w:col w:w="9900"/>
          </w:cols>
          <w:pgMar w:left="700" w:top="684" w:right="1280" w:bottom="0" w:gutter="0" w:footer="0" w:header="0"/>
          <w:type w:val="continuous"/>
        </w:sectPr>
      </w:pPr>
    </w:p>
    <w:bookmarkStart w:id="83" w:name="page84"/>
    <w:bookmarkEnd w:id="83"/>
    <w:p>
      <w:pPr>
        <w:ind w:right="2800" w:firstLine="2811"/>
        <w:spacing w:after="0" w:line="450"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Board of Directors and Stockholders of Nautilus Biotechnology, Inc. </w:t>
      </w:r>
      <w:r>
        <w:rPr>
          <w:rFonts w:ascii="Times New Roman" w:cs="Times New Roman" w:eastAsia="Times New Roman" w:hAnsi="Times New Roman"/>
          <w:sz w:val="19"/>
          <w:szCs w:val="19"/>
          <w:b w:val="1"/>
          <w:bCs w:val="1"/>
          <w:i w:val="1"/>
          <w:iCs w:val="1"/>
          <w:color w:val="auto"/>
        </w:rPr>
        <w:t>Opinion on the Financial Statements</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Nautilus Biotechnology, Inc. and its subsidiary (the “Company”) as of December 31, 2025 and 2024,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19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Emphasis of Matter</w:t>
      </w:r>
    </w:p>
    <w:p>
      <w:pPr>
        <w:spacing w:after="0" w:line="196"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9"/>
          <w:szCs w:val="19"/>
          <w:color w:val="auto"/>
        </w:rPr>
        <w:t>As discussed in Note 1 to the consolidated financial statements, the Company has incurred net operating losses and negative cash flows from operations. Management's evaluation of the events and conditions related to this matter are also described in Note 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19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External Research and Development Costs</w:t>
      </w:r>
    </w:p>
    <w:p>
      <w:pPr>
        <w:spacing w:after="0" w:line="19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As described in Note 2 to the consolidated financial statements, costs for research and development activities are expensed by the Company in the period in which they are incurred. Research and development expenses consist of costs incurred in performing research and development activities, including salaries, related benefits and stock-based compensation expense for product development personnel, laboratory supplies and equipment, depreciation and amortization, external costs of vendors engaged to conduct research and development activities, acquired in-process research and development, and allocated expenses for technology and facilities. The Company's research and development expense for the year ended December 31, 2025 was $41.1 million, a portion of which relates to external research and development costs.</w:t>
      </w:r>
    </w:p>
    <w:p>
      <w:pPr>
        <w:ind w:right="120"/>
        <w:spacing w:after="0" w:line="263" w:lineRule="auto"/>
        <w:rPr>
          <w:sz w:val="20"/>
          <w:szCs w:val="20"/>
          <w:color w:val="auto"/>
        </w:rPr>
      </w:pPr>
      <w:r>
        <w:rPr>
          <w:rFonts w:ascii="Times New Roman" w:cs="Times New Roman" w:eastAsia="Times New Roman" w:hAnsi="Times New Roman"/>
          <w:sz w:val="19"/>
          <w:szCs w:val="19"/>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3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among others, (i) testing external research and development costs</w:t>
      </w:r>
    </w:p>
    <w:p>
      <w:pPr>
        <w:sectPr>
          <w:pgSz w:w="11880" w:h="15480" w:orient="portrait"/>
          <w:cols w:equalWidth="0" w:num="1">
            <w:col w:w="10460"/>
          </w:cols>
          <w:pgMar w:left="700" w:top="684" w:right="720" w:bottom="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ectPr>
          <w:pgSz w:w="11880" w:h="15480" w:orient="portrait"/>
          <w:cols w:equalWidth="0" w:num="1">
            <w:col w:w="10460"/>
          </w:cols>
          <w:pgMar w:left="700" w:top="684" w:right="720" w:bottom="0" w:gutter="0" w:footer="0" w:header="0"/>
          <w:type w:val="continuous"/>
        </w:sectPr>
      </w:pPr>
    </w:p>
    <w:bookmarkStart w:id="84" w:name="page85"/>
    <w:bookmarkEnd w:id="84"/>
    <w:p>
      <w:pPr>
        <w:spacing w:after="0" w:line="274" w:lineRule="auto"/>
        <w:rPr>
          <w:sz w:val="20"/>
          <w:szCs w:val="20"/>
          <w:color w:val="auto"/>
        </w:rPr>
      </w:pPr>
      <w:r>
        <w:rPr>
          <w:rFonts w:ascii="Times New Roman" w:cs="Times New Roman" w:eastAsia="Times New Roman" w:hAnsi="Times New Roman"/>
          <w:sz w:val="19"/>
          <w:szCs w:val="19"/>
          <w:color w:val="auto"/>
        </w:rPr>
        <w:t>on a sample basis by obtaining and inspecting source documents, such as the underlying agreements, purchase orders, invoices received, and information received from certain third party service providers, where applicable, and (ii) testing the allocation and classification of external research and development costs.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Jose, California</w:t>
      </w:r>
    </w:p>
    <w:p>
      <w:pPr>
        <w:spacing w:after="0"/>
        <w:rPr>
          <w:sz w:val="20"/>
          <w:szCs w:val="20"/>
          <w:color w:val="auto"/>
        </w:rPr>
      </w:pPr>
      <w:r>
        <w:rPr>
          <w:rFonts w:ascii="Times New Roman" w:cs="Times New Roman" w:eastAsia="Times New Roman" w:hAnsi="Times New Roman"/>
          <w:sz w:val="19"/>
          <w:szCs w:val="19"/>
          <w:color w:val="auto"/>
        </w:rPr>
        <w:t>February 26,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2020.</w:t>
      </w:r>
    </w:p>
    <w:p>
      <w:pPr>
        <w:sectPr>
          <w:pgSz w:w="11880" w:h="15480" w:orient="portrait"/>
          <w:cols w:equalWidth="0" w:num="1">
            <w:col w:w="10020"/>
          </w:cols>
          <w:pgMar w:left="700" w:top="69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83</w:t>
      </w:r>
    </w:p>
    <w:p>
      <w:pPr>
        <w:sectPr>
          <w:pgSz w:w="11880" w:h="15480" w:orient="portrait"/>
          <w:cols w:equalWidth="0" w:num="1">
            <w:col w:w="10020"/>
          </w:cols>
          <w:pgMar w:left="700" w:top="691" w:right="11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Balance Sheets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81"/>
        </w:trPr>
        <w:tc>
          <w:tcPr>
            <w:tcW w:w="6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27,646</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Short-term investments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102,247</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2,557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2,933</w:t>
            </w:r>
          </w:p>
        </w:tc>
        <w:tc>
          <w:tcPr>
            <w:tcW w:w="0" w:type="dxa"/>
            <w:vAlign w:val="bottom"/>
          </w:tcPr>
          <w:p>
            <w:pPr>
              <w:spacing w:after="0"/>
              <w:rPr>
                <w:sz w:val="1"/>
                <w:szCs w:val="1"/>
                <w:color w:val="auto"/>
              </w:rPr>
            </w:pPr>
          </w:p>
        </w:tc>
      </w:tr>
      <w:tr>
        <w:trPr>
          <w:trHeight w:val="254"/>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current assets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105,963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132,826</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4,076</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28,256</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Long-term investments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52,739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76,405</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long-term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1,180</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191,112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242,743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4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987</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2,548</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Current portion of operating lease liability</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4,097</w:t>
            </w:r>
          </w:p>
        </w:tc>
        <w:tc>
          <w:tcPr>
            <w:tcW w:w="0" w:type="dxa"/>
            <w:vAlign w:val="bottom"/>
          </w:tcPr>
          <w:p>
            <w:pPr>
              <w:spacing w:after="0"/>
              <w:rPr>
                <w:sz w:val="1"/>
                <w:szCs w:val="1"/>
                <w:color w:val="auto"/>
              </w:rPr>
            </w:pPr>
          </w:p>
        </w:tc>
      </w:tr>
      <w:tr>
        <w:trPr>
          <w:trHeight w:val="254"/>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7,952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7,632</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Operating lease liability, net of current portion</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26,187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26,381</w:t>
            </w:r>
          </w:p>
        </w:tc>
        <w:tc>
          <w:tcPr>
            <w:tcW w:w="0" w:type="dxa"/>
            <w:vAlign w:val="bottom"/>
          </w:tcPr>
          <w:p>
            <w:pPr>
              <w:spacing w:after="0"/>
              <w:rPr>
                <w:sz w:val="1"/>
                <w:szCs w:val="1"/>
                <w:color w:val="auto"/>
              </w:rPr>
            </w:pPr>
          </w:p>
        </w:tc>
      </w:tr>
      <w:tr>
        <w:trPr>
          <w:trHeight w:val="25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liabilities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34,139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34,013</w:t>
            </w:r>
          </w:p>
        </w:tc>
        <w:tc>
          <w:tcPr>
            <w:tcW w:w="0" w:type="dxa"/>
            <w:vAlign w:val="bottom"/>
          </w:tcPr>
          <w:p>
            <w:pPr>
              <w:spacing w:after="0"/>
              <w:rPr>
                <w:sz w:val="1"/>
                <w:szCs w:val="1"/>
                <w:color w:val="auto"/>
              </w:rPr>
            </w:pPr>
          </w:p>
        </w:tc>
      </w:tr>
      <w:tr>
        <w:trPr>
          <w:trHeight w:val="530"/>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Commitments and contingencies (Note 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Stockholders’ equity: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Preferred stock, $0.0001 par value, 200,000,000 authorized as of December 31,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80"/>
              <w:spacing w:after="0" w:line="194" w:lineRule="exact"/>
              <w:rPr>
                <w:sz w:val="20"/>
                <w:szCs w:val="20"/>
                <w:color w:val="auto"/>
              </w:rPr>
            </w:pPr>
            <w:r>
              <w:rPr>
                <w:rFonts w:ascii="Times New Roman" w:cs="Times New Roman" w:eastAsia="Times New Roman" w:hAnsi="Times New Roman"/>
                <w:sz w:val="19"/>
                <w:szCs w:val="19"/>
                <w:color w:val="auto"/>
              </w:rPr>
              <w:t>2025 and 2024, respectively; 0 shares issued and outstanding as of December</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31, 2025 and 2024, respectively</w:t>
            </w: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4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Common stock, $0.0001 par value, 1,000,000,000 shares authorized as of</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80"/>
              <w:spacing w:after="0" w:line="194" w:lineRule="exact"/>
              <w:rPr>
                <w:sz w:val="20"/>
                <w:szCs w:val="20"/>
                <w:color w:val="auto"/>
              </w:rPr>
            </w:pPr>
            <w:r>
              <w:rPr>
                <w:rFonts w:ascii="Times New Roman" w:cs="Times New Roman" w:eastAsia="Times New Roman" w:hAnsi="Times New Roman"/>
                <w:sz w:val="19"/>
                <w:szCs w:val="19"/>
                <w:color w:val="auto"/>
              </w:rPr>
              <w:t>December 31, 2025 and 2024, respectively; 126,469,610 and 126,106,176</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253"/>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shares issued and outstanding as of December 31, 2025 and 2024, respectively</w:t>
            </w: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488,737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481,679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Accumulated other comprehensive income</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Accumulated deficit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(332,020)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(273,019)</w:t>
            </w:r>
          </w:p>
        </w:tc>
        <w:tc>
          <w:tcPr>
            <w:tcW w:w="0" w:type="dxa"/>
            <w:vAlign w:val="bottom"/>
          </w:tcPr>
          <w:p>
            <w:pPr>
              <w:spacing w:after="0"/>
              <w:rPr>
                <w:sz w:val="1"/>
                <w:szCs w:val="1"/>
                <w:color w:val="auto"/>
              </w:rPr>
            </w:pPr>
          </w:p>
        </w:tc>
      </w:tr>
      <w:tr>
        <w:trPr>
          <w:trHeight w:val="25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156,973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208,730</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191,112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242,743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-5725795</wp:posOffset>
            </wp:positionV>
            <wp:extent cx="5794375" cy="5732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5794375" cy="573278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84</w:t>
      </w:r>
    </w:p>
    <w:p>
      <w:pPr>
        <w:sectPr>
          <w:pgSz w:w="11880" w:h="15480" w:orient="portrait"/>
          <w:cols w:equalWidth="0" w:num="1">
            <w:col w:w="9040"/>
          </w:cols>
          <w:pgMar w:left="1440" w:top="298" w:right="140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Operations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8890</wp:posOffset>
            </wp:positionV>
            <wp:extent cx="5794375" cy="2592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5794375" cy="259207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3"/>
                <w:szCs w:val="13"/>
                <w:color w:val="auto"/>
              </w:rPr>
            </w:pPr>
          </w:p>
        </w:tc>
        <w:tc>
          <w:tcPr>
            <w:tcW w:w="11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50,477</w:t>
            </w:r>
          </w:p>
        </w:tc>
        <w:tc>
          <w:tcPr>
            <w:tcW w:w="0" w:type="dxa"/>
            <w:vAlign w:val="bottom"/>
          </w:tcPr>
          <w:p>
            <w:pPr>
              <w:spacing w:after="0"/>
              <w:rPr>
                <w:sz w:val="1"/>
                <w:szCs w:val="1"/>
                <w:color w:val="auto"/>
              </w:rPr>
            </w:pPr>
          </w:p>
        </w:tc>
      </w:tr>
      <w:tr>
        <w:trPr>
          <w:trHeight w:val="279"/>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25,727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30,999</w:t>
            </w:r>
          </w:p>
        </w:tc>
        <w:tc>
          <w:tcPr>
            <w:tcW w:w="0" w:type="dxa"/>
            <w:vAlign w:val="bottom"/>
          </w:tcPr>
          <w:p>
            <w:pPr>
              <w:spacing w:after="0"/>
              <w:rPr>
                <w:sz w:val="1"/>
                <w:szCs w:val="1"/>
                <w:color w:val="auto"/>
              </w:rPr>
            </w:pPr>
          </w:p>
        </w:tc>
      </w:tr>
      <w:tr>
        <w:trPr>
          <w:trHeight w:val="254"/>
        </w:trPr>
        <w:tc>
          <w:tcPr>
            <w:tcW w:w="64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Total operating expenses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66,837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81,476</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income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10,780</w:t>
            </w:r>
          </w:p>
        </w:tc>
        <w:tc>
          <w:tcPr>
            <w:tcW w:w="0" w:type="dxa"/>
            <w:vAlign w:val="bottom"/>
          </w:tcPr>
          <w:p>
            <w:pPr>
              <w:spacing w:after="0"/>
              <w:rPr>
                <w:sz w:val="1"/>
                <w:szCs w:val="1"/>
                <w:color w:val="auto"/>
              </w:rPr>
            </w:pPr>
          </w:p>
        </w:tc>
      </w:tr>
      <w:tr>
        <w:trPr>
          <w:trHeight w:val="279"/>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other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7,836</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10,696</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(0.47)</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(0.56)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line="196" w:lineRule="exact"/>
              <w:rPr>
                <w:sz w:val="20"/>
                <w:szCs w:val="20"/>
                <w:color w:val="auto"/>
              </w:rPr>
            </w:pPr>
            <w:r>
              <w:rPr>
                <w:rFonts w:ascii="Times New Roman" w:cs="Times New Roman" w:eastAsia="Times New Roman" w:hAnsi="Times New Roman"/>
                <w:sz w:val="19"/>
                <w:szCs w:val="19"/>
                <w:color w:val="auto"/>
              </w:rPr>
              <w:t>Weighted-average shares used in computing net loss per share attributable to</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126,256,583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125,426,509</w:t>
            </w:r>
          </w:p>
        </w:tc>
        <w:tc>
          <w:tcPr>
            <w:tcW w:w="0" w:type="dxa"/>
            <w:vAlign w:val="bottom"/>
          </w:tcPr>
          <w:p>
            <w:pPr>
              <w:spacing w:after="0"/>
              <w:rPr>
                <w:sz w:val="1"/>
                <w:szCs w:val="1"/>
                <w:color w:val="auto"/>
              </w:rPr>
            </w:pPr>
          </w:p>
        </w:tc>
      </w:tr>
      <w:tr>
        <w:trPr>
          <w:trHeight w:val="236"/>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common stockholders, basic and diluted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85</w:t>
      </w:r>
    </w:p>
    <w:p>
      <w:pPr>
        <w:sectPr>
          <w:pgSz w:w="11880" w:h="15480" w:orient="portrait"/>
          <w:cols w:equalWidth="0" w:num="1">
            <w:col w:w="9040"/>
          </w:cols>
          <w:pgMar w:left="1440" w:top="298" w:right="14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Comprehensive Loss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Unrealized gain on securities available-for-sale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other comprehensive income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(70,468)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-909320</wp:posOffset>
            </wp:positionV>
            <wp:extent cx="5794375" cy="91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794375" cy="91630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86</w:t>
      </w:r>
    </w:p>
    <w:p>
      <w:pPr>
        <w:sectPr>
          <w:pgSz w:w="11880" w:h="15480" w:orient="portrait"/>
          <w:cols w:equalWidth="0" w:num="1">
            <w:col w:w="9040"/>
          </w:cols>
          <w:pgMar w:left="1440" w:top="298" w:right="1400" w:bottom="0" w:gutter="0" w:footer="0" w:header="0"/>
          <w:type w:val="continuous"/>
        </w:sectPr>
      </w:pPr>
    </w:p>
    <w:bookmarkStart w:id="88" w:name="page89"/>
    <w:bookmarkEnd w:id="88"/>
    <w:p>
      <w:pPr>
        <w:ind w:left="1148"/>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3"/>
          <w:szCs w:val="23"/>
          <w:b w:val="1"/>
          <w:bCs w:val="1"/>
          <w:color w:val="auto"/>
        </w:rPr>
        <w:t>Consolidated Statements of Stockholders’ Equity</w:t>
      </w:r>
    </w:p>
    <w:p>
      <w:pPr>
        <w:spacing w:after="0" w:line="15"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3"/>
          <w:szCs w:val="23"/>
          <w:b w:val="1"/>
          <w:bCs w:val="1"/>
          <w:color w:val="auto"/>
        </w:rPr>
        <w:t>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697230</wp:posOffset>
                </wp:positionH>
                <wp:positionV relativeFrom="paragraph">
                  <wp:posOffset>40640</wp:posOffset>
                </wp:positionV>
                <wp:extent cx="798766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7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pt,3.2pt" to="683.85pt,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697230</wp:posOffset>
                </wp:positionH>
                <wp:positionV relativeFrom="paragraph">
                  <wp:posOffset>40640</wp:posOffset>
                </wp:positionV>
                <wp:extent cx="798766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76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pt,3.2pt" to="683.85pt,3.2pt" o:allowincell="f" strokecolor="#000000" strokeweight="1pt"/>
            </w:pict>
          </mc:Fallback>
        </mc:AlternateContent>
      </w:r>
    </w:p>
    <w:p>
      <w:pPr>
        <w:spacing w:after="0" w:line="200" w:lineRule="exact"/>
        <w:rPr>
          <w:sz w:val="20"/>
          <w:szCs w:val="20"/>
          <w:color w:val="auto"/>
        </w:rPr>
      </w:pPr>
    </w:p>
    <w:p>
      <w:pPr>
        <w:spacing w:after="0" w:line="296" w:lineRule="exact"/>
        <w:rPr>
          <w:sz w:val="20"/>
          <w:szCs w:val="20"/>
          <w:color w:val="auto"/>
        </w:rPr>
      </w:pPr>
    </w:p>
    <w:tbl>
      <w:tblPr>
        <w:tblLayout w:type="fixed"/>
        <w:tblInd w:w="1148"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08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center"/>
              <w:ind w:right="165"/>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tc>
        <w:tc>
          <w:tcPr>
            <w:tcW w:w="1160" w:type="dxa"/>
            <w:vAlign w:val="bottom"/>
            <w:vMerge w:val="restart"/>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24"/>
              <w:spacing w:after="0" w:line="15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3"/>
                <w:szCs w:val="13"/>
                <w:color w:val="auto"/>
              </w:rPr>
            </w:pPr>
          </w:p>
        </w:tc>
        <w:tc>
          <w:tcPr>
            <w:tcW w:w="116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160" w:type="dxa"/>
            <w:vAlign w:val="bottom"/>
            <w:gridSpan w:val="2"/>
          </w:tcPr>
          <w:p>
            <w:pPr>
              <w:jc w:val="right"/>
              <w:ind w:right="44"/>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1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Stockholders’</w:t>
            </w:r>
          </w:p>
        </w:tc>
        <w:tc>
          <w:tcPr>
            <w:tcW w:w="0" w:type="dxa"/>
            <w:vAlign w:val="bottom"/>
          </w:tcPr>
          <w:p>
            <w:pPr>
              <w:spacing w:after="0"/>
              <w:rPr>
                <w:sz w:val="1"/>
                <w:szCs w:val="1"/>
                <w:color w:val="auto"/>
              </w:rPr>
            </w:pPr>
          </w:p>
        </w:tc>
      </w:tr>
      <w:tr>
        <w:trPr>
          <w:trHeight w:val="208"/>
        </w:trPr>
        <w:tc>
          <w:tcPr>
            <w:tcW w:w="5260" w:type="dxa"/>
            <w:vAlign w:val="bottom"/>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6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Income (Loss)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Balances at 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125,068,601</w:t>
            </w:r>
          </w:p>
        </w:tc>
        <w:tc>
          <w:tcPr>
            <w:tcW w:w="60" w:type="dxa"/>
            <w:vAlign w:val="bottom"/>
          </w:tcPr>
          <w:p>
            <w:pPr>
              <w:spacing w:after="0"/>
              <w:rPr>
                <w:sz w:val="20"/>
                <w:szCs w:val="20"/>
                <w:color w:val="auto"/>
              </w:rPr>
            </w:pPr>
          </w:p>
        </w:tc>
        <w:tc>
          <w:tcPr>
            <w:tcW w:w="860" w:type="dxa"/>
            <w:vAlign w:val="bottom"/>
          </w:tcPr>
          <w:p>
            <w:pPr>
              <w:jc w:val="right"/>
              <w:ind w:right="628"/>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467,834</w:t>
            </w:r>
          </w:p>
        </w:tc>
        <w:tc>
          <w:tcPr>
            <w:tcW w:w="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w:t>
            </w:r>
          </w:p>
        </w:tc>
        <w:tc>
          <w:tcPr>
            <w:tcW w:w="60" w:type="dxa"/>
            <w:vAlign w:val="bottom"/>
          </w:tcPr>
          <w:p>
            <w:pPr>
              <w:spacing w:after="0"/>
              <w:rPr>
                <w:sz w:val="20"/>
                <w:szCs w:val="20"/>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(202,239)</w:t>
            </w:r>
          </w:p>
        </w:tc>
        <w:tc>
          <w:tcPr>
            <w:tcW w:w="60" w:type="dxa"/>
            <w:vAlign w:val="bottom"/>
          </w:tcPr>
          <w:p>
            <w:pPr>
              <w:spacing w:after="0"/>
              <w:rPr>
                <w:sz w:val="20"/>
                <w:szCs w:val="20"/>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265,353</w:t>
            </w:r>
          </w:p>
        </w:tc>
        <w:tc>
          <w:tcPr>
            <w:tcW w:w="0" w:type="dxa"/>
            <w:vAlign w:val="bottom"/>
          </w:tcPr>
          <w:p>
            <w:pPr>
              <w:spacing w:after="0"/>
              <w:rPr>
                <w:sz w:val="1"/>
                <w:szCs w:val="1"/>
                <w:color w:val="auto"/>
              </w:rPr>
            </w:pPr>
          </w:p>
        </w:tc>
      </w:tr>
      <w:tr>
        <w:trPr>
          <w:trHeight w:val="253"/>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upon exercise of vested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790,111</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under 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247,464</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524</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0" w:type="dxa"/>
            <w:vAlign w:val="bottom"/>
          </w:tcPr>
          <w:p>
            <w:pPr>
              <w:spacing w:after="0"/>
              <w:rPr>
                <w:sz w:val="1"/>
                <w:szCs w:val="1"/>
                <w:color w:val="auto"/>
              </w:rPr>
            </w:pPr>
          </w:p>
        </w:tc>
      </w:tr>
      <w:tr>
        <w:trPr>
          <w:trHeight w:val="79"/>
        </w:trPr>
        <w:tc>
          <w:tcPr>
            <w:tcW w:w="5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Balances at December 31, 2024</w:t>
            </w:r>
          </w:p>
        </w:tc>
        <w:tc>
          <w:tcPr>
            <w:tcW w:w="116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260" w:type="dxa"/>
            <w:vAlign w:val="bottom"/>
            <w:vMerge w:val="continue"/>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126,106,176</w:t>
            </w:r>
          </w:p>
        </w:tc>
        <w:tc>
          <w:tcPr>
            <w:tcW w:w="60" w:type="dxa"/>
            <w:vAlign w:val="bottom"/>
            <w:vMerge w:val="continue"/>
          </w:tcPr>
          <w:p>
            <w:pPr>
              <w:spacing w:after="0"/>
              <w:rPr>
                <w:sz w:val="17"/>
                <w:szCs w:val="17"/>
                <w:color w:val="auto"/>
              </w:rPr>
            </w:pPr>
          </w:p>
        </w:tc>
        <w:tc>
          <w:tcPr>
            <w:tcW w:w="860" w:type="dxa"/>
            <w:vAlign w:val="bottom"/>
          </w:tcPr>
          <w:p>
            <w:pPr>
              <w:jc w:val="right"/>
              <w:ind w:right="628"/>
              <w:spacing w:after="0" w:line="202"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8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481,679</w:t>
            </w:r>
          </w:p>
        </w:tc>
        <w:tc>
          <w:tcPr>
            <w:tcW w:w="60" w:type="dxa"/>
            <w:vAlign w:val="bottom"/>
            <w:vMerge w:val="continue"/>
          </w:tcPr>
          <w:p>
            <w:pPr>
              <w:spacing w:after="0"/>
              <w:rPr>
                <w:sz w:val="17"/>
                <w:szCs w:val="17"/>
                <w:color w:val="auto"/>
              </w:rPr>
            </w:pPr>
          </w:p>
        </w:tc>
        <w:tc>
          <w:tcPr>
            <w:tcW w:w="26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57</w:t>
            </w:r>
          </w:p>
        </w:tc>
        <w:tc>
          <w:tcPr>
            <w:tcW w:w="60" w:type="dxa"/>
            <w:vAlign w:val="bottom"/>
            <w:vMerge w:val="continue"/>
          </w:tcPr>
          <w:p>
            <w:pPr>
              <w:spacing w:after="0"/>
              <w:rPr>
                <w:sz w:val="17"/>
                <w:szCs w:val="17"/>
                <w:color w:val="auto"/>
              </w:rPr>
            </w:pPr>
          </w:p>
        </w:tc>
        <w:tc>
          <w:tcPr>
            <w:tcW w:w="260" w:type="dxa"/>
            <w:vAlign w:val="bottom"/>
          </w:tcPr>
          <w:p>
            <w:pPr>
              <w:jc w:val="right"/>
              <w:ind w:right="28"/>
              <w:spacing w:after="0" w:line="202"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(273,019)</w:t>
            </w:r>
          </w:p>
        </w:tc>
        <w:tc>
          <w:tcPr>
            <w:tcW w:w="60" w:type="dxa"/>
            <w:vAlign w:val="bottom"/>
            <w:vMerge w:val="continue"/>
          </w:tcPr>
          <w:p>
            <w:pPr>
              <w:spacing w:after="0"/>
              <w:rPr>
                <w:sz w:val="17"/>
                <w:szCs w:val="17"/>
                <w:color w:val="auto"/>
              </w:rPr>
            </w:pPr>
          </w:p>
        </w:tc>
        <w:tc>
          <w:tcPr>
            <w:tcW w:w="260" w:type="dxa"/>
            <w:vAlign w:val="bottom"/>
          </w:tcPr>
          <w:p>
            <w:pPr>
              <w:jc w:val="right"/>
              <w:ind w:right="8"/>
              <w:spacing w:after="0" w:line="202"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208,730</w:t>
            </w:r>
          </w:p>
        </w:tc>
        <w:tc>
          <w:tcPr>
            <w:tcW w:w="0" w:type="dxa"/>
            <w:vAlign w:val="bottom"/>
          </w:tcPr>
          <w:p>
            <w:pPr>
              <w:spacing w:after="0"/>
              <w:rPr>
                <w:sz w:val="1"/>
                <w:szCs w:val="1"/>
                <w:color w:val="auto"/>
              </w:rPr>
            </w:pPr>
          </w:p>
        </w:tc>
      </w:tr>
      <w:tr>
        <w:trPr>
          <w:trHeight w:val="253"/>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upon exercise of vested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112,085</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under 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251,349</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6,844</w:t>
            </w:r>
          </w:p>
        </w:tc>
        <w:tc>
          <w:tcPr>
            <w:tcW w:w="0" w:type="dxa"/>
            <w:vAlign w:val="bottom"/>
          </w:tcPr>
          <w:p>
            <w:pPr>
              <w:spacing w:after="0"/>
              <w:rPr>
                <w:sz w:val="1"/>
                <w:szCs w:val="1"/>
                <w:color w:val="auto"/>
              </w:rPr>
            </w:pPr>
          </w:p>
        </w:tc>
      </w:tr>
      <w:tr>
        <w:trPr>
          <w:trHeight w:val="233"/>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0" w:type="dxa"/>
            <w:vAlign w:val="bottom"/>
          </w:tcPr>
          <w:p>
            <w:pPr>
              <w:spacing w:after="0"/>
              <w:rPr>
                <w:sz w:val="1"/>
                <w:szCs w:val="1"/>
                <w:color w:val="auto"/>
              </w:rPr>
            </w:pPr>
          </w:p>
        </w:tc>
      </w:tr>
      <w:tr>
        <w:trPr>
          <w:trHeight w:val="268"/>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0" w:type="dxa"/>
            <w:vAlign w:val="bottom"/>
          </w:tcPr>
          <w:p>
            <w:pPr>
              <w:spacing w:after="0"/>
              <w:rPr>
                <w:sz w:val="1"/>
                <w:szCs w:val="1"/>
                <w:color w:val="auto"/>
              </w:rPr>
            </w:pPr>
          </w:p>
        </w:tc>
      </w:tr>
      <w:tr>
        <w:trPr>
          <w:trHeight w:val="194"/>
        </w:trPr>
        <w:tc>
          <w:tcPr>
            <w:tcW w:w="52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Balances at December 31, 2025</w:t>
            </w:r>
          </w:p>
        </w:tc>
        <w:tc>
          <w:tcPr>
            <w:tcW w:w="11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126,469,610</w:t>
            </w:r>
          </w:p>
        </w:tc>
        <w:tc>
          <w:tcPr>
            <w:tcW w:w="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628"/>
              <w:spacing w:after="0" w:line="193"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40"/>
              <w:spacing w:after="0" w:line="193"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488,737</w:t>
            </w: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40"/>
              <w:spacing w:after="0" w:line="193"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243</w:t>
            </w: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28"/>
              <w:spacing w:after="0" w:line="193"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(332,020)</w:t>
            </w: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
              <w:spacing w:after="0" w:line="193"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156,973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4062095</wp:posOffset>
                </wp:positionH>
                <wp:positionV relativeFrom="paragraph">
                  <wp:posOffset>-2440305</wp:posOffset>
                </wp:positionV>
                <wp:extent cx="151638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63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85pt,-192.1499pt" to="439.25pt,-192.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4062095</wp:posOffset>
                </wp:positionH>
                <wp:positionV relativeFrom="paragraph">
                  <wp:posOffset>-2190750</wp:posOffset>
                </wp:positionV>
                <wp:extent cx="7397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85pt,-172.4999pt" to="378.1pt,-1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4838700</wp:posOffset>
                </wp:positionH>
                <wp:positionV relativeFrom="paragraph">
                  <wp:posOffset>-2190750</wp:posOffset>
                </wp:positionV>
                <wp:extent cx="7397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pt,-172.4999pt" to="439.25pt,-1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5615305</wp:posOffset>
                </wp:positionH>
                <wp:positionV relativeFrom="paragraph">
                  <wp:posOffset>-2190750</wp:posOffset>
                </wp:positionV>
                <wp:extent cx="7397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15pt,-172.4999pt" to="500.4pt,-1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6391910</wp:posOffset>
                </wp:positionH>
                <wp:positionV relativeFrom="paragraph">
                  <wp:posOffset>-2190750</wp:posOffset>
                </wp:positionV>
                <wp:extent cx="7397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3pt,-172.4999pt" to="561.55pt,-1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7168515</wp:posOffset>
                </wp:positionH>
                <wp:positionV relativeFrom="paragraph">
                  <wp:posOffset>-2190750</wp:posOffset>
                </wp:positionV>
                <wp:extent cx="7397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45pt,-172.4999pt" to="622.7pt,-1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7945120</wp:posOffset>
                </wp:positionH>
                <wp:positionV relativeFrom="paragraph">
                  <wp:posOffset>-2190750</wp:posOffset>
                </wp:positionV>
                <wp:extent cx="7397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6pt,-172.4999pt" to="683.85pt,-1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4062095</wp:posOffset>
                </wp:positionH>
                <wp:positionV relativeFrom="paragraph">
                  <wp:posOffset>-1137285</wp:posOffset>
                </wp:positionV>
                <wp:extent cx="7397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85pt,-89.5499pt" to="378.1pt,-8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4838700</wp:posOffset>
                </wp:positionH>
                <wp:positionV relativeFrom="paragraph">
                  <wp:posOffset>-1137285</wp:posOffset>
                </wp:positionV>
                <wp:extent cx="7397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pt,-89.5499pt" to="439.25pt,-8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5615305</wp:posOffset>
                </wp:positionH>
                <wp:positionV relativeFrom="paragraph">
                  <wp:posOffset>-1137285</wp:posOffset>
                </wp:positionV>
                <wp:extent cx="7397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15pt,-89.5499pt" to="500.4pt,-8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6391910</wp:posOffset>
                </wp:positionH>
                <wp:positionV relativeFrom="paragraph">
                  <wp:posOffset>-1137285</wp:posOffset>
                </wp:positionV>
                <wp:extent cx="7397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3pt,-89.5499pt" to="561.55pt,-8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7168515</wp:posOffset>
                </wp:positionH>
                <wp:positionV relativeFrom="paragraph">
                  <wp:posOffset>-1137285</wp:posOffset>
                </wp:positionV>
                <wp:extent cx="7397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45pt,-89.5499pt" to="622.7pt,-8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7945120</wp:posOffset>
                </wp:positionH>
                <wp:positionV relativeFrom="paragraph">
                  <wp:posOffset>-1137285</wp:posOffset>
                </wp:positionV>
                <wp:extent cx="7397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6pt,-89.5499pt" to="683.85pt,-89.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4062095</wp:posOffset>
                </wp:positionH>
                <wp:positionV relativeFrom="paragraph">
                  <wp:posOffset>-166370</wp:posOffset>
                </wp:positionV>
                <wp:extent cx="7397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85pt,-13.0999pt" to="378.1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4838700</wp:posOffset>
                </wp:positionH>
                <wp:positionV relativeFrom="paragraph">
                  <wp:posOffset>-166370</wp:posOffset>
                </wp:positionV>
                <wp:extent cx="7397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pt,-13.0999pt" to="439.2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5615305</wp:posOffset>
                </wp:positionH>
                <wp:positionV relativeFrom="paragraph">
                  <wp:posOffset>-166370</wp:posOffset>
                </wp:positionV>
                <wp:extent cx="7397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15pt,-13.0999pt" to="500.4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6391910</wp:posOffset>
                </wp:positionH>
                <wp:positionV relativeFrom="paragraph">
                  <wp:posOffset>-166370</wp:posOffset>
                </wp:positionV>
                <wp:extent cx="7397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3pt,-13.0999pt" to="561.5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7168515</wp:posOffset>
                </wp:positionH>
                <wp:positionV relativeFrom="paragraph">
                  <wp:posOffset>-166370</wp:posOffset>
                </wp:positionV>
                <wp:extent cx="7397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45pt,-13.0999pt" to="622.7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7945120</wp:posOffset>
                </wp:positionH>
                <wp:positionV relativeFrom="paragraph">
                  <wp:posOffset>-166370</wp:posOffset>
                </wp:positionV>
                <wp:extent cx="7397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6pt,-13.0999pt" to="683.85pt,-13.0999pt" o:allowincell="f" strokecolor="#000000" strokeweight="0pt"/>
            </w:pict>
          </mc:Fallback>
        </mc:AlternateContent>
        <w:drawing>
          <wp:anchor simplePos="0" relativeHeight="251657728" behindDoc="1" locked="0" layoutInCell="0" allowOverlap="1">
            <wp:simplePos x="0" y="0"/>
            <wp:positionH relativeFrom="column">
              <wp:posOffset>684530</wp:posOffset>
            </wp:positionH>
            <wp:positionV relativeFrom="paragraph">
              <wp:posOffset>-2203450</wp:posOffset>
            </wp:positionV>
            <wp:extent cx="8013065" cy="2210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extLst>
                    </a:blip>
                    <a:srcRect/>
                    <a:stretch>
                      <a:fillRect/>
                    </a:stretch>
                  </pic:blipFill>
                  <pic:spPr bwMode="auto">
                    <a:xfrm>
                      <a:off x="0" y="0"/>
                      <a:ext cx="8013065" cy="221043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2" w:type="dxa"/>
            <w:vAlign w:val="bottom"/>
            <w:textDirection w:val="tbRl"/>
          </w:tcPr>
          <w:p>
            <w:pPr>
              <w:spacing w:after="0"/>
              <w:rPr>
                <w:sz w:val="20"/>
                <w:szCs w:val="20"/>
                <w:color w:val="auto"/>
              </w:rPr>
            </w:pPr>
            <w:r>
              <w:rPr>
                <w:rFonts w:ascii="Times New Roman" w:cs="Times New Roman" w:eastAsia="Times New Roman" w:hAnsi="Times New Roman"/>
                <w:sz w:val="15"/>
                <w:szCs w:val="15"/>
                <w:color w:val="auto"/>
              </w:rPr>
              <w:t>87</w:t>
            </w:r>
          </w:p>
        </w:tc>
      </w:tr>
    </w:tbl>
    <w:p>
      <w:pPr>
        <w:spacing w:after="0" w:line="290" w:lineRule="exact"/>
        <w:rPr>
          <w:sz w:val="20"/>
          <w:szCs w:val="20"/>
          <w:color w:val="auto"/>
        </w:rPr>
      </w:pPr>
    </w:p>
    <w:p>
      <w:pPr>
        <w:ind w:left="4008"/>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5480" w:h="11880" w:orient="landscape"/>
          <w:cols w:equalWidth="0" w:num="1">
            <w:col w:w="13688"/>
          </w:cols>
          <w:pgMar w:left="352" w:top="205"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Cash Flows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5"/>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loss to net cash used in operating activities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Stock-based compensation</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 of operating lease right-of-use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4,378</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Depreciation</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In-process research and development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760</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 (accretion) of premiums (discounts) on securities, net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(2,804)</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Prepaid expenses and other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(578)</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(1,397)</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(4,688)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(4,150)</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used in operating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(50,696)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(59,145)</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maturities of securities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108,991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155,410</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securities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(72,490)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(86,278)</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property and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(2,122)</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paid in connection with asset acquisition</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(760)</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provided by investing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35,224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66,250</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exercise of stock options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issuance of common stock under employee stock purchase plan</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524</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provided by financing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1,144</w:t>
            </w:r>
          </w:p>
        </w:tc>
        <w:tc>
          <w:tcPr>
            <w:tcW w:w="0" w:type="dxa"/>
            <w:vAlign w:val="bottom"/>
          </w:tcPr>
          <w:p>
            <w:pPr>
              <w:spacing w:after="0"/>
              <w:rPr>
                <w:sz w:val="1"/>
                <w:szCs w:val="1"/>
                <w:color w:val="auto"/>
              </w:rPr>
            </w:pPr>
          </w:p>
        </w:tc>
      </w:tr>
      <w:tr>
        <w:trPr>
          <w:trHeight w:val="254"/>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(15,258)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8,249</w:t>
            </w:r>
          </w:p>
        </w:tc>
        <w:tc>
          <w:tcPr>
            <w:tcW w:w="0" w:type="dxa"/>
            <w:vAlign w:val="bottom"/>
          </w:tcPr>
          <w:p>
            <w:pPr>
              <w:spacing w:after="0"/>
              <w:rPr>
                <w:sz w:val="1"/>
                <w:szCs w:val="1"/>
                <w:color w:val="auto"/>
              </w:rPr>
            </w:pPr>
          </w:p>
        </w:tc>
      </w:tr>
      <w:tr>
        <w:trPr>
          <w:trHeight w:val="556"/>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at beginning of period</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28,648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20,399</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28,648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Supplementary cash flow information on non-cash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Acquisitions of property and equipment included in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Remeasurement of lease liabilities and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-5448935</wp:posOffset>
            </wp:positionV>
            <wp:extent cx="5794375" cy="5470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a:extLst>
                        <a:ext uri="{28A0092B-C50C-407E-A947-70E740481C1C}"/>
                      </a:extLst>
                    </a:blip>
                    <a:srcRect/>
                    <a:stretch>
                      <a:fillRect/>
                    </a:stretch>
                  </pic:blipFill>
                  <pic:spPr bwMode="auto">
                    <a:xfrm>
                      <a:off x="0" y="0"/>
                      <a:ext cx="5794375" cy="547052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ectPr>
          <w:pgSz w:w="11880" w:h="15480" w:orient="portrait"/>
          <w:cols w:equalWidth="0" w:num="1">
            <w:col w:w="9040"/>
          </w:cols>
          <w:pgMar w:left="1440" w:top="298" w:right="1400" w:bottom="0" w:gutter="0" w:footer="0" w:header="0"/>
          <w:type w:val="continuous"/>
        </w:sectPr>
      </w:pPr>
    </w:p>
    <w:bookmarkStart w:id="90" w:name="page91"/>
    <w:bookmarkEnd w:id="90"/>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19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57683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454.2pt,2.6pt" o:allowincell="f" strokecolor="#000000" strokeweight="1pt"/>
            </w:pict>
          </mc:Fallback>
        </mc:AlternateContent>
      </w:r>
    </w:p>
    <w:p>
      <w:pPr>
        <w:spacing w:after="0" w:line="200" w:lineRule="exact"/>
        <w:rPr>
          <w:sz w:val="20"/>
          <w:szCs w:val="20"/>
          <w:color w:val="auto"/>
        </w:rPr>
      </w:pPr>
    </w:p>
    <w:p>
      <w:pPr>
        <w:spacing w:after="0" w:line="274" w:lineRule="exact"/>
        <w:rPr>
          <w:sz w:val="20"/>
          <w:szCs w:val="20"/>
          <w:color w:val="auto"/>
        </w:rPr>
      </w:pPr>
    </w:p>
    <w:p>
      <w:pPr>
        <w:ind w:left="702" w:hanging="702"/>
        <w:spacing w:after="0"/>
        <w:tabs>
          <w:tab w:leader="none" w:pos="702"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Business and Basis of Presentation</w:t>
      </w:r>
    </w:p>
    <w:p>
      <w:pPr>
        <w:spacing w:after="0" w:line="196" w:lineRule="exact"/>
        <w:rPr>
          <w:sz w:val="20"/>
          <w:szCs w:val="20"/>
          <w:color w:val="auto"/>
        </w:rPr>
      </w:pPr>
    </w:p>
    <w:p>
      <w:pPr>
        <w:ind w:left="2" w:right="20" w:firstLine="349"/>
        <w:spacing w:after="0" w:line="263" w:lineRule="auto"/>
        <w:rPr>
          <w:sz w:val="20"/>
          <w:szCs w:val="20"/>
          <w:color w:val="auto"/>
        </w:rPr>
      </w:pPr>
      <w:r>
        <w:rPr>
          <w:rFonts w:ascii="Times New Roman" w:cs="Times New Roman" w:eastAsia="Times New Roman" w:hAnsi="Times New Roman"/>
          <w:sz w:val="19"/>
          <w:szCs w:val="19"/>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36" w:lineRule="exact"/>
        <w:rPr>
          <w:sz w:val="20"/>
          <w:szCs w:val="20"/>
          <w:color w:val="auto"/>
        </w:rPr>
      </w:pPr>
    </w:p>
    <w:p>
      <w:pPr>
        <w:ind w:left="2" w:firstLine="349"/>
        <w:spacing w:after="0" w:line="260" w:lineRule="auto"/>
        <w:rPr>
          <w:sz w:val="20"/>
          <w:szCs w:val="20"/>
          <w:color w:val="auto"/>
        </w:rPr>
      </w:pPr>
      <w:r>
        <w:rPr>
          <w:rFonts w:ascii="Times New Roman" w:cs="Times New Roman" w:eastAsia="Times New Roman" w:hAnsi="Times New Roman"/>
          <w:sz w:val="19"/>
          <w:szCs w:val="19"/>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374" w:lineRule="exact"/>
        <w:rPr>
          <w:sz w:val="20"/>
          <w:szCs w:val="20"/>
          <w:color w:val="auto"/>
        </w:rPr>
      </w:pPr>
    </w:p>
    <w:p>
      <w:pPr>
        <w:ind w:left="2" w:right="420" w:firstLine="349"/>
        <w:spacing w:after="0" w:line="268" w:lineRule="auto"/>
        <w:rPr>
          <w:sz w:val="20"/>
          <w:szCs w:val="20"/>
          <w:color w:val="auto"/>
        </w:rPr>
      </w:pPr>
      <w:r>
        <w:rPr>
          <w:rFonts w:ascii="Times New Roman" w:cs="Times New Roman" w:eastAsia="Times New Roman" w:hAnsi="Times New Roman"/>
          <w:sz w:val="19"/>
          <w:szCs w:val="19"/>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96" w:lineRule="exact"/>
        <w:rPr>
          <w:sz w:val="20"/>
          <w:szCs w:val="20"/>
          <w:color w:val="auto"/>
        </w:rPr>
      </w:pPr>
    </w:p>
    <w:p>
      <w:pPr>
        <w:ind w:left="2" w:right="80" w:firstLine="349"/>
        <w:spacing w:after="0" w:line="262" w:lineRule="auto"/>
        <w:rPr>
          <w:sz w:val="20"/>
          <w:szCs w:val="20"/>
          <w:color w:val="auto"/>
        </w:rPr>
      </w:pPr>
      <w:r>
        <w:rPr>
          <w:rFonts w:ascii="Times New Roman" w:cs="Times New Roman" w:eastAsia="Times New Roman" w:hAnsi="Times New Roman"/>
          <w:sz w:val="19"/>
          <w:szCs w:val="19"/>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2025 and 2024 and include the accounts of Nautilus Biotechnology, Inc. and its wholly-owned subsidiary, Nautilus Subsidiary, Inc. All intercompany transactions and balances have been eliminated upon consolidation. The Company’s reporting currency is the U.S. dollar. Certain prior year amounts have been reclassified to conform to the current year presentation on the statements of cash flows and had no material impact.</w:t>
      </w:r>
    </w:p>
    <w:p>
      <w:pPr>
        <w:spacing w:after="0" w:line="12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Liquidity and Capital Resources</w:t>
      </w:r>
    </w:p>
    <w:p>
      <w:pPr>
        <w:spacing w:after="0" w:line="196" w:lineRule="exact"/>
        <w:rPr>
          <w:sz w:val="20"/>
          <w:szCs w:val="20"/>
          <w:color w:val="auto"/>
        </w:rPr>
      </w:pPr>
    </w:p>
    <w:p>
      <w:pPr>
        <w:ind w:left="2" w:right="80" w:firstLine="349"/>
        <w:spacing w:after="0" w:line="259" w:lineRule="auto"/>
        <w:rPr>
          <w:sz w:val="20"/>
          <w:szCs w:val="20"/>
          <w:color w:val="auto"/>
        </w:rPr>
      </w:pPr>
      <w:r>
        <w:rPr>
          <w:rFonts w:ascii="Times New Roman" w:cs="Times New Roman" w:eastAsia="Times New Roman" w:hAnsi="Times New Roman"/>
          <w:sz w:val="19"/>
          <w:szCs w:val="19"/>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2025, the Company had an accumulated deficit of $332.0 million.</w:t>
      </w:r>
    </w:p>
    <w:p>
      <w:pPr>
        <w:spacing w:after="0" w:line="144" w:lineRule="exact"/>
        <w:rPr>
          <w:sz w:val="20"/>
          <w:szCs w:val="20"/>
          <w:color w:val="auto"/>
        </w:rPr>
      </w:pPr>
    </w:p>
    <w:p>
      <w:pPr>
        <w:ind w:left="2" w:right="140" w:firstLine="349"/>
        <w:spacing w:after="0" w:line="263" w:lineRule="auto"/>
        <w:rPr>
          <w:sz w:val="20"/>
          <w:szCs w:val="20"/>
          <w:color w:val="auto"/>
        </w:rPr>
      </w:pPr>
      <w:r>
        <w:rPr>
          <w:rFonts w:ascii="Times New Roman" w:cs="Times New Roman" w:eastAsia="Times New Roman" w:hAnsi="Times New Roman"/>
          <w:sz w:val="19"/>
          <w:szCs w:val="19"/>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$103.4 million as of December 31, 2025. As of the date on which these consolidated financial statements were issued, the Company believes that its cash, cash equivalents, and short-term</w:t>
      </w:r>
    </w:p>
    <w:p>
      <w:pPr>
        <w:sectPr>
          <w:pgSz w:w="11880" w:h="15480" w:orient="portrait"/>
          <w:cols w:equalWidth="0" w:num="1">
            <w:col w:w="9062"/>
          </w:cols>
          <w:pgMar w:left="1398" w:top="402"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89</w:t>
      </w:r>
    </w:p>
    <w:p>
      <w:pPr>
        <w:sectPr>
          <w:pgSz w:w="11880" w:h="15480" w:orient="portrait"/>
          <w:cols w:equalWidth="0" w:num="1">
            <w:col w:w="9062"/>
          </w:cols>
          <w:pgMar w:left="1398" w:top="402" w:right="1420" w:bottom="0" w:gutter="0" w:footer="0" w:header="0"/>
          <w:type w:val="continuous"/>
        </w:sectPr>
      </w:pPr>
    </w:p>
    <w:bookmarkStart w:id="91" w:name="page92"/>
    <w:bookmarkEnd w:id="91"/>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9"/>
          <w:szCs w:val="19"/>
          <w:color w:val="auto"/>
        </w:rPr>
        <w:t>investments will be sufficient to fund its operations for at least the next twelve months following the issuance of the consolidated financial statements. The Company’s actual results and its near and long-term future capital requirements will depend on many factors, including its growth rate and the timing and extent of spending to support its research and development efforts. The Company will be required to seek additional equity or debt financing to fund future operations.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57" w:lineRule="exact"/>
        <w:rPr>
          <w:sz w:val="20"/>
          <w:szCs w:val="20"/>
          <w:color w:val="auto"/>
        </w:rPr>
      </w:pPr>
    </w:p>
    <w:p>
      <w:pPr>
        <w:ind w:left="702" w:hanging="702"/>
        <w:spacing w:after="0"/>
        <w:tabs>
          <w:tab w:leader="none" w:pos="702"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Significant Accounting Policies</w:t>
      </w:r>
    </w:p>
    <w:p>
      <w:pPr>
        <w:spacing w:after="0" w:line="18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96" w:lineRule="exact"/>
        <w:rPr>
          <w:sz w:val="20"/>
          <w:szCs w:val="20"/>
          <w:color w:val="auto"/>
        </w:rPr>
      </w:pPr>
    </w:p>
    <w:p>
      <w:pPr>
        <w:ind w:left="2" w:right="120" w:firstLine="349"/>
        <w:spacing w:after="0" w:line="259" w:lineRule="auto"/>
        <w:rPr>
          <w:sz w:val="20"/>
          <w:szCs w:val="20"/>
          <w:color w:val="auto"/>
        </w:rPr>
      </w:pPr>
      <w:r>
        <w:rPr>
          <w:rFonts w:ascii="Times New Roman" w:cs="Times New Roman" w:eastAsia="Times New Roman" w:hAnsi="Times New Roman"/>
          <w:sz w:val="19"/>
          <w:szCs w:val="19"/>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loss contingency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Credit Risk and Other Risks and Uncertainties</w:t>
      </w:r>
    </w:p>
    <w:p>
      <w:pPr>
        <w:spacing w:after="0" w:line="196" w:lineRule="exact"/>
        <w:rPr>
          <w:sz w:val="20"/>
          <w:szCs w:val="20"/>
          <w:color w:val="auto"/>
        </w:rPr>
      </w:pPr>
    </w:p>
    <w:p>
      <w:pPr>
        <w:ind w:left="2" w:right="380" w:firstLine="349"/>
        <w:spacing w:after="0" w:line="293" w:lineRule="auto"/>
        <w:rPr>
          <w:sz w:val="20"/>
          <w:szCs w:val="20"/>
          <w:color w:val="auto"/>
        </w:rPr>
      </w:pPr>
      <w:r>
        <w:rPr>
          <w:rFonts w:ascii="Times New Roman" w:cs="Times New Roman" w:eastAsia="Times New Roman" w:hAnsi="Times New Roman"/>
          <w:sz w:val="19"/>
          <w:szCs w:val="19"/>
          <w:color w:val="auto"/>
        </w:rPr>
        <w:t>Credit risk represents the accounting loss that would be recognized as of the reporting date if counterparties failed to perform as contracted.</w:t>
      </w:r>
    </w:p>
    <w:p>
      <w:pPr>
        <w:spacing w:after="0" w:line="107" w:lineRule="exact"/>
        <w:rPr>
          <w:sz w:val="20"/>
          <w:szCs w:val="20"/>
          <w:color w:val="auto"/>
        </w:rPr>
      </w:pPr>
    </w:p>
    <w:p>
      <w:pPr>
        <w:ind w:left="2" w:right="20" w:firstLine="349"/>
        <w:spacing w:after="0" w:line="251" w:lineRule="auto"/>
        <w:rPr>
          <w:sz w:val="20"/>
          <w:szCs w:val="20"/>
          <w:color w:val="auto"/>
        </w:rPr>
      </w:pPr>
      <w:r>
        <w:rPr>
          <w:rFonts w:ascii="Times New Roman" w:cs="Times New Roman" w:eastAsia="Times New Roman" w:hAnsi="Times New Roman"/>
          <w:sz w:val="19"/>
          <w:szCs w:val="19"/>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Voyager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52" w:lineRule="exact"/>
        <w:rPr>
          <w:sz w:val="20"/>
          <w:szCs w:val="20"/>
          <w:color w:val="auto"/>
        </w:rPr>
      </w:pPr>
    </w:p>
    <w:p>
      <w:pPr>
        <w:ind w:left="2" w:right="20" w:firstLine="349"/>
        <w:spacing w:after="0" w:line="263" w:lineRule="auto"/>
        <w:rPr>
          <w:sz w:val="20"/>
          <w:szCs w:val="20"/>
          <w:color w:val="auto"/>
        </w:rPr>
      </w:pPr>
      <w:r>
        <w:rPr>
          <w:rFonts w:ascii="Times New Roman" w:cs="Times New Roman" w:eastAsia="Times New Roman" w:hAnsi="Times New Roman"/>
          <w:sz w:val="19"/>
          <w:szCs w:val="19"/>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 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90</w:t>
      </w:r>
    </w:p>
    <w:p>
      <w:pPr>
        <w:sectPr>
          <w:pgSz w:w="11880" w:h="15480" w:orient="portrait"/>
          <w:cols w:equalWidth="0" w:num="1">
            <w:col w:w="9082"/>
          </w:cols>
          <w:pgMar w:left="1398" w:top="577" w:right="1400" w:bottom="0" w:gutter="0" w:footer="0" w:header="0"/>
          <w:type w:val="continuous"/>
        </w:sectPr>
      </w:pPr>
    </w:p>
    <w:bookmarkStart w:id="92" w:name="page93"/>
    <w:bookmarkEnd w:id="92"/>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approval or that any approved products will be commercially viable. Even if the Company’s development efforts are successful, it is uncertain when, if ever, the Company will generate significant revenue from the sale of its products.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Segment Reporting</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96"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The Company considers all highly-liquid investments with an original maturity of three months or less as of the date of acquisition to be cash equivalents.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Investments</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5" w:lineRule="exact"/>
        <w:rPr>
          <w:sz w:val="20"/>
          <w:szCs w:val="20"/>
          <w:color w:val="auto"/>
        </w:rPr>
      </w:pPr>
    </w:p>
    <w:p>
      <w:pPr>
        <w:jc w:val="both"/>
        <w:ind w:right="60" w:firstLine="398"/>
        <w:spacing w:after="0" w:line="268" w:lineRule="auto"/>
        <w:rPr>
          <w:sz w:val="20"/>
          <w:szCs w:val="20"/>
          <w:color w:val="auto"/>
        </w:rPr>
      </w:pPr>
      <w:r>
        <w:rPr>
          <w:rFonts w:ascii="Times New Roman" w:cs="Times New Roman" w:eastAsia="Times New Roman" w:hAnsi="Times New Roman"/>
          <w:sz w:val="19"/>
          <w:szCs w:val="19"/>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131" w:lineRule="exact"/>
        <w:rPr>
          <w:sz w:val="20"/>
          <w:szCs w:val="20"/>
          <w:color w:val="auto"/>
        </w:rPr>
      </w:pPr>
    </w:p>
    <w:p>
      <w:pPr>
        <w:ind w:right="200" w:firstLine="349"/>
        <w:spacing w:after="0" w:line="263" w:lineRule="auto"/>
        <w:rPr>
          <w:sz w:val="20"/>
          <w:szCs w:val="20"/>
          <w:color w:val="auto"/>
        </w:rPr>
      </w:pPr>
      <w:r>
        <w:rPr>
          <w:rFonts w:ascii="Times New Roman" w:cs="Times New Roman" w:eastAsia="Times New Roman" w:hAnsi="Times New Roman"/>
          <w:sz w:val="19"/>
          <w:szCs w:val="19"/>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196"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25" w:lineRule="exact"/>
        <w:rPr>
          <w:sz w:val="20"/>
          <w:szCs w:val="20"/>
          <w:color w:val="auto"/>
        </w:rPr>
      </w:pPr>
    </w:p>
    <w:p>
      <w:pPr>
        <w:jc w:val="both"/>
        <w:ind w:right="320" w:firstLine="349"/>
        <w:spacing w:after="0" w:line="274" w:lineRule="auto"/>
        <w:rPr>
          <w:sz w:val="20"/>
          <w:szCs w:val="20"/>
          <w:color w:val="auto"/>
        </w:rPr>
      </w:pPr>
      <w:r>
        <w:rPr>
          <w:rFonts w:ascii="Times New Roman" w:cs="Times New Roman" w:eastAsia="Times New Roman" w:hAnsi="Times New Roman"/>
          <w:sz w:val="19"/>
          <w:szCs w:val="19"/>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Level 1, defined as observable inputs such as quoted prices for identical instruments in active markets;</w:t>
      </w:r>
    </w:p>
    <w:p>
      <w:pPr>
        <w:spacing w:after="0" w:line="189"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5" w:lineRule="exact"/>
        <w:rPr>
          <w:sz w:val="20"/>
          <w:szCs w:val="20"/>
          <w:color w:val="auto"/>
        </w:rPr>
      </w:pPr>
    </w:p>
    <w:p>
      <w:pPr>
        <w:jc w:val="both"/>
        <w:ind w:right="20" w:firstLine="349"/>
        <w:spacing w:after="0" w:line="274" w:lineRule="auto"/>
        <w:rPr>
          <w:sz w:val="20"/>
          <w:szCs w:val="20"/>
          <w:color w:val="auto"/>
        </w:rPr>
      </w:pPr>
      <w:r>
        <w:rPr>
          <w:rFonts w:ascii="Times New Roman" w:cs="Times New Roman" w:eastAsia="Times New Roman" w:hAnsi="Times New Roman"/>
          <w:sz w:val="19"/>
          <w:szCs w:val="19"/>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ectPr>
          <w:pgSz w:w="11880" w:h="15480" w:orient="portrait"/>
          <w:cols w:equalWidth="0" w:num="1">
            <w:col w:w="9040"/>
          </w:cols>
          <w:pgMar w:left="140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91</w:t>
      </w:r>
    </w:p>
    <w:p>
      <w:pPr>
        <w:sectPr>
          <w:pgSz w:w="11880" w:h="15480" w:orient="portrait"/>
          <w:cols w:equalWidth="0" w:num="1">
            <w:col w:w="9040"/>
          </w:cols>
          <w:pgMar w:left="1400" w:top="577" w:right="1440" w:bottom="0" w:gutter="0" w:footer="0" w:header="0"/>
          <w:type w:val="continuous"/>
        </w:sectPr>
      </w:pPr>
    </w:p>
    <w:bookmarkStart w:id="93" w:name="page94"/>
    <w:bookmarkEnd w:id="93"/>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5"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Inventory, net</w:t>
      </w:r>
    </w:p>
    <w:p>
      <w:pPr>
        <w:spacing w:after="0" w:line="196" w:lineRule="exact"/>
        <w:rPr>
          <w:sz w:val="20"/>
          <w:szCs w:val="20"/>
          <w:color w:val="auto"/>
        </w:rPr>
      </w:pPr>
    </w:p>
    <w:p>
      <w:pPr>
        <w:jc w:val="both"/>
        <w:ind w:right="320" w:firstLine="349"/>
        <w:spacing w:after="0" w:line="293" w:lineRule="auto"/>
        <w:rPr>
          <w:sz w:val="20"/>
          <w:szCs w:val="20"/>
          <w:color w:val="auto"/>
        </w:rPr>
      </w:pPr>
      <w:r>
        <w:rPr>
          <w:rFonts w:ascii="Times New Roman" w:cs="Times New Roman" w:eastAsia="Times New Roman" w:hAnsi="Times New Roman"/>
          <w:sz w:val="19"/>
          <w:szCs w:val="19"/>
          <w:color w:val="auto"/>
        </w:rPr>
        <w:t>Inventory is stated at the lower of cost or net realizable value. As of December 31, 2025, inventory balances were immaterial and primarily related to early manufacturing activities in advance of our Early Access Program.</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p>
      <w:pPr>
        <w:spacing w:after="0" w:line="196" w:lineRule="exact"/>
        <w:rPr>
          <w:sz w:val="20"/>
          <w:szCs w:val="20"/>
          <w:color w:val="auto"/>
        </w:rPr>
      </w:pPr>
    </w:p>
    <w:p>
      <w:pPr>
        <w:jc w:val="both"/>
        <w:ind w:right="240" w:firstLine="349"/>
        <w:spacing w:after="0" w:line="274" w:lineRule="auto"/>
        <w:rPr>
          <w:sz w:val="20"/>
          <w:szCs w:val="20"/>
          <w:color w:val="auto"/>
        </w:rPr>
      </w:pPr>
      <w:r>
        <w:rPr>
          <w:rFonts w:ascii="Times New Roman" w:cs="Times New Roman" w:eastAsia="Times New Roman" w:hAnsi="Times New Roman"/>
          <w:sz w:val="19"/>
          <w:szCs w:val="19"/>
          <w:color w:val="auto"/>
        </w:rPr>
        <w:t>Property and equipment, net, consisting primarily of laboratory equipment, computers, furniture and fixtures, and office equipment are recorded at cost. The Company utilizes the straight-line method of depreciation over the estimated useful lives of the assets:</w:t>
      </w:r>
    </w:p>
    <w:p>
      <w:pPr>
        <w:spacing w:after="0" w:line="196"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Laboratory equipment</w:t>
      </w:r>
      <w:r>
        <w:rPr>
          <w:sz w:val="20"/>
          <w:szCs w:val="20"/>
          <w:color w:val="auto"/>
        </w:rPr>
        <w:tab/>
      </w:r>
      <w:r>
        <w:rPr>
          <w:rFonts w:ascii="Times New Roman" w:cs="Times New Roman" w:eastAsia="Times New Roman" w:hAnsi="Times New Roman"/>
          <w:sz w:val="19"/>
          <w:szCs w:val="19"/>
          <w:color w:val="auto"/>
        </w:rPr>
        <w:t>3 years to 7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Prototype equipment</w:t>
      </w:r>
      <w:r>
        <w:rPr>
          <w:sz w:val="20"/>
          <w:szCs w:val="20"/>
          <w:color w:val="auto"/>
        </w:rPr>
        <w:tab/>
      </w:r>
      <w:r>
        <w:rPr>
          <w:rFonts w:ascii="Times New Roman" w:cs="Times New Roman" w:eastAsia="Times New Roman" w:hAnsi="Times New Roman"/>
          <w:sz w:val="19"/>
          <w:szCs w:val="19"/>
          <w:color w:val="auto"/>
        </w:rPr>
        <w:t>3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Computer hardware</w:t>
      </w:r>
      <w:r>
        <w:rPr>
          <w:sz w:val="20"/>
          <w:szCs w:val="20"/>
          <w:color w:val="auto"/>
        </w:rPr>
        <w:tab/>
      </w:r>
      <w:r>
        <w:rPr>
          <w:rFonts w:ascii="Times New Roman" w:cs="Times New Roman" w:eastAsia="Times New Roman" w:hAnsi="Times New Roman"/>
          <w:sz w:val="19"/>
          <w:szCs w:val="19"/>
          <w:color w:val="auto"/>
        </w:rPr>
        <w:t>3 years to 5 years</w:t>
      </w:r>
    </w:p>
    <w:p>
      <w:pPr>
        <w:spacing w:after="0" w:line="87"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Furniture and fixtures</w:t>
      </w:r>
      <w:r>
        <w:rPr>
          <w:sz w:val="20"/>
          <w:szCs w:val="20"/>
          <w:color w:val="auto"/>
        </w:rPr>
        <w:tab/>
      </w:r>
      <w:r>
        <w:rPr>
          <w:rFonts w:ascii="Times New Roman" w:cs="Times New Roman" w:eastAsia="Times New Roman" w:hAnsi="Times New Roman"/>
          <w:sz w:val="19"/>
          <w:szCs w:val="19"/>
          <w:color w:val="auto"/>
        </w:rPr>
        <w:t>3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121212"/>
        </w:rPr>
        <w:t>Office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121212"/>
        </w:rPr>
        <w:t>Leasehold improvements</w:t>
      </w:r>
      <w:r>
        <w:rPr>
          <w:sz w:val="20"/>
          <w:szCs w:val="20"/>
          <w:color w:val="auto"/>
        </w:rPr>
        <w:tab/>
      </w:r>
      <w:r>
        <w:rPr>
          <w:rFonts w:ascii="Times New Roman" w:cs="Times New Roman" w:eastAsia="Times New Roman" w:hAnsi="Times New Roman"/>
          <w:sz w:val="19"/>
          <w:szCs w:val="19"/>
          <w:color w:val="121212"/>
        </w:rPr>
        <w:t>Shorter of estimated useful life or remaining lease term</w:t>
      </w:r>
    </w:p>
    <w:p>
      <w:pPr>
        <w:spacing w:after="0" w:line="259"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When assets are retired or otherwise disposed of, the cost and related accumulated depreciation are removed from the accounts, and any resulting gain or loss is recognized as income or loss for the period.</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Maintenance and repairs are charged to operating expense in the period incurred.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196" w:lineRule="exact"/>
        <w:rPr>
          <w:sz w:val="20"/>
          <w:szCs w:val="20"/>
          <w:color w:val="auto"/>
        </w:rPr>
      </w:pPr>
    </w:p>
    <w:p>
      <w:pPr>
        <w:jc w:val="center"/>
        <w:ind w:right="100"/>
        <w:spacing w:after="0" w:line="293" w:lineRule="auto"/>
        <w:rPr>
          <w:sz w:val="20"/>
          <w:szCs w:val="20"/>
          <w:color w:val="auto"/>
        </w:rPr>
      </w:pPr>
      <w:r>
        <w:rPr>
          <w:rFonts w:ascii="Times New Roman" w:cs="Times New Roman" w:eastAsia="Times New Roman" w:hAnsi="Times New Roman"/>
          <w:sz w:val="19"/>
          <w:szCs w:val="19"/>
          <w:color w:val="auto"/>
        </w:rPr>
        <w:t>The Company periodically reviews its long-lived assets, including property and equipment, for impairment whenever events or changes in circumstances indicate that the carrying amount of the asset may not be recoverable.</w:t>
      </w:r>
    </w:p>
    <w:p>
      <w:pPr>
        <w:spacing w:after="0" w:line="107"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With respect to property and equipment,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ectPr>
          <w:pgSz w:w="11880" w:h="15480" w:orient="portrait"/>
          <w:cols w:equalWidth="0" w:num="1">
            <w:col w:w="9060"/>
          </w:cols>
          <w:pgMar w:left="1400" w:top="577" w:right="1420" w:bottom="0" w:gutter="0" w:footer="0" w:header="0"/>
          <w:type w:val="continuous"/>
        </w:sectPr>
      </w:pPr>
    </w:p>
    <w:bookmarkStart w:id="94" w:name="page95"/>
    <w:bookmarkEnd w:id="94"/>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96"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44"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96" w:lineRule="exact"/>
        <w:rPr>
          <w:sz w:val="20"/>
          <w:szCs w:val="20"/>
          <w:color w:val="auto"/>
        </w:rPr>
      </w:pPr>
    </w:p>
    <w:p>
      <w:pPr>
        <w:ind w:right="200" w:firstLine="349"/>
        <w:spacing w:after="0" w:line="263" w:lineRule="auto"/>
        <w:rPr>
          <w:sz w:val="20"/>
          <w:szCs w:val="20"/>
          <w:color w:val="auto"/>
        </w:rPr>
      </w:pPr>
      <w:r>
        <w:rPr>
          <w:rFonts w:ascii="Times New Roman" w:cs="Times New Roman" w:eastAsia="Times New Roman" w:hAnsi="Times New Roman"/>
          <w:sz w:val="19"/>
          <w:szCs w:val="19"/>
          <w:color w:val="auto"/>
        </w:rPr>
        <w:t>Costs for research and development activities are expensed in the period in which they are incurred. Research and development expenses consist of costs incurred in performing research and development activities, including salaries, related benefits and stock-based compensation expense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spacing w:after="0" w:line="132"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As part of the process of preparing its financial statements, the Company estimates its accrued expenses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9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NASDAQ closing price of the Company’s common stock at the measurement date, the expected or contractual term of the option, the expected stock price volatility, risk-free interest rates, and expected dividend yield of the common stock. Stock-based compensation expense is recognized</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ectPr>
          <w:pgSz w:w="11880" w:h="15480" w:orient="portrait"/>
          <w:cols w:equalWidth="0" w:num="1">
            <w:col w:w="9060"/>
          </w:cols>
          <w:pgMar w:left="1400" w:top="577" w:right="1420" w:bottom="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33" w:lineRule="exact"/>
        <w:rPr>
          <w:sz w:val="20"/>
          <w:szCs w:val="20"/>
          <w:color w:val="auto"/>
        </w:rPr>
      </w:pPr>
    </w:p>
    <w:p>
      <w:pPr>
        <w:ind w:right="600" w:firstLine="349"/>
        <w:spacing w:after="0" w:line="293" w:lineRule="auto"/>
        <w:rPr>
          <w:sz w:val="20"/>
          <w:szCs w:val="20"/>
          <w:color w:val="auto"/>
        </w:rPr>
      </w:pPr>
      <w:r>
        <w:rPr>
          <w:rFonts w:ascii="Times New Roman" w:cs="Times New Roman" w:eastAsia="Times New Roman" w:hAnsi="Times New Roman"/>
          <w:sz w:val="19"/>
          <w:szCs w:val="19"/>
          <w:color w:val="auto"/>
        </w:rPr>
        <w:t>The Company calculates the expected term as the mid-point between the requisite service period and the contractual term of the award.</w:t>
      </w:r>
    </w:p>
    <w:p>
      <w:pPr>
        <w:spacing w:after="0" w:line="107"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The Company bases its estimate of expected volatility on the historical volatility of comparable public companies from a representative peer group selected based on industry, financial, and market capitalization data.</w:t>
      </w:r>
    </w:p>
    <w:p>
      <w:pPr>
        <w:spacing w:after="0" w:line="107"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196"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auto"/>
        </w:rPr>
        <w:t>Comprehensive loss consists of net loss and other gains or losses affecting stockholders’ equity that, under U.S. GAAP are excluded from net loss. For the years ended December 31, 2025 and 2024, unrealized gains and losses on marketable debt securities were included as a component of comprehensive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 Attributable to Common Stockholders</w:t>
      </w:r>
    </w:p>
    <w:p>
      <w:pPr>
        <w:spacing w:after="0" w:line="196"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stock options and shares to be purchased from the Employee Stock Purchase Plan are considered to be potentially dilutive securities. The net loss is attributed entirely to the Company’s common stockholders. Since the Company has reported a net loss for all periods presented, diluted net loss per common share is the same as basic net loss per common share for those periods.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Accounting Pronouncements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Standards</w:t>
      </w:r>
    </w:p>
    <w:p>
      <w:pPr>
        <w:spacing w:after="0" w:line="191"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adopted the ASU prospectively during the fiscal year ended December 31, 2025 and the related disclosure requirements are noted in Note 6, “Income Taxes.”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w:t>
      </w:r>
    </w:p>
    <w:p>
      <w:pPr>
        <w:spacing w:after="0" w:line="191"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In November 2024, the FASB issued ASU 2024-03, Income Statement—Reporting Comprehensive Income— 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does not anticipate adoption to have a material impact on its consolidated financial statements and related disclosures.</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ectPr>
          <w:pgSz w:w="11880" w:h="15480" w:orient="portrait"/>
          <w:cols w:equalWidth="0" w:num="1">
            <w:col w:w="9060"/>
          </w:cols>
          <w:pgMar w:left="1400" w:top="577" w:right="1420" w:bottom="0" w:gutter="0" w:footer="0" w:header="0"/>
          <w:type w:val="continuous"/>
        </w:sectPr>
      </w:pPr>
    </w:p>
    <w:bookmarkStart w:id="96" w:name="page97"/>
    <w:bookmarkEnd w:id="96"/>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13" w:lineRule="exact"/>
        <w:rPr>
          <w:sz w:val="20"/>
          <w:szCs w:val="20"/>
          <w:color w:val="auto"/>
        </w:rPr>
      </w:pPr>
    </w:p>
    <w:p>
      <w:pPr>
        <w:ind w:left="702" w:hanging="702"/>
        <w:spacing w:after="0"/>
        <w:tabs>
          <w:tab w:leader="none" w:pos="70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196" w:lineRule="exact"/>
        <w:rPr>
          <w:sz w:val="20"/>
          <w:szCs w:val="20"/>
          <w:color w:val="auto"/>
        </w:rPr>
      </w:pPr>
    </w:p>
    <w:p>
      <w:pPr>
        <w:ind w:left="2" w:right="64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 details the assets carried at fair value and measured on a recurring basis within the three levels of fair value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988050" cy="259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a:extLst>
                        <a:ext uri="{28A0092B-C50C-407E-A947-70E740481C1C}"/>
                      </a:extLst>
                    </a:blip>
                    <a:srcRect/>
                    <a:stretch>
                      <a:fillRect/>
                    </a:stretch>
                  </pic:blipFill>
                  <pic:spPr bwMode="auto">
                    <a:xfrm>
                      <a:off x="0" y="0"/>
                      <a:ext cx="5988050" cy="2598420"/>
                    </a:xfrm>
                    <a:prstGeom prst="rect">
                      <a:avLst/>
                    </a:prstGeom>
                    <a:noFill/>
                  </pic:spPr>
                </pic:pic>
              </a:graphicData>
            </a:graphic>
          </wp:anchor>
        </w:drawing>
      </w:r>
    </w:p>
    <w:p>
      <w:pPr>
        <w:spacing w:after="0" w:line="160" w:lineRule="exact"/>
        <w:rPr>
          <w:sz w:val="20"/>
          <w:szCs w:val="20"/>
          <w:color w:val="auto"/>
        </w:rPr>
      </w:pPr>
    </w:p>
    <w:tbl>
      <w:tblPr>
        <w:tblLayout w:type="fixed"/>
        <w:tblInd w:w="42" w:type="dxa"/>
        <w:tblCellMar>
          <w:top w:w="0" w:type="dxa"/>
          <w:left w:w="0" w:type="dxa"/>
          <w:bottom w:w="0" w:type="dxa"/>
          <w:right w:w="0" w:type="dxa"/>
        </w:tblCellMar>
      </w:tblPr>
      <w:tr>
        <w:trPr>
          <w:trHeight w:val="211"/>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Reported as: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24"/>
                <w:szCs w:val="24"/>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7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4"/>
              </w:rPr>
              <w:t>Long-term</w:t>
            </w:r>
          </w:p>
        </w:tc>
        <w:tc>
          <w:tcPr>
            <w:tcW w:w="0" w:type="dxa"/>
            <w:vAlign w:val="bottom"/>
          </w:tcPr>
          <w:p>
            <w:pPr>
              <w:spacing w:after="0"/>
              <w:rPr>
                <w:sz w:val="1"/>
                <w:szCs w:val="1"/>
                <w:color w:val="auto"/>
              </w:rPr>
            </w:pPr>
          </w:p>
        </w:tc>
      </w:tr>
      <w:tr>
        <w:trPr>
          <w:trHeight w:val="208"/>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equivalents</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1,528</w:t>
            </w:r>
          </w:p>
        </w:tc>
        <w:tc>
          <w:tcPr>
            <w:tcW w:w="60" w:type="dxa"/>
            <w:vAlign w:val="bottom"/>
          </w:tcPr>
          <w:p>
            <w:pPr>
              <w:spacing w:after="0"/>
              <w:rPr>
                <w:sz w:val="21"/>
                <w:szCs w:val="21"/>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1,528</w:t>
            </w:r>
          </w:p>
        </w:tc>
        <w:tc>
          <w:tcPr>
            <w:tcW w:w="60" w:type="dxa"/>
            <w:vAlign w:val="bottom"/>
          </w:tcPr>
          <w:p>
            <w:pPr>
              <w:spacing w:after="0"/>
              <w:rPr>
                <w:sz w:val="21"/>
                <w:szCs w:val="21"/>
                <w:color w:val="auto"/>
              </w:rPr>
            </w:pP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5"/>
        </w:trPr>
        <w:tc>
          <w:tcPr>
            <w:tcW w:w="17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U.S. treasury</w:t>
            </w: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90,066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90,274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49,489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40,785</w:t>
            </w: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91,594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91,802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49,489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40,785</w:t>
            </w: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4,942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9"/>
        </w:trPr>
        <w:tc>
          <w:tcPr>
            <w:tcW w:w="17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Corporate debt</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1,668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1,669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46,838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46,872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34,918</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11,954</w:t>
            </w:r>
          </w:p>
        </w:tc>
        <w:tc>
          <w:tcPr>
            <w:tcW w:w="0" w:type="dxa"/>
            <w:vAlign w:val="bottom"/>
          </w:tcPr>
          <w:p>
            <w:pPr>
              <w:spacing w:after="0"/>
              <w:rPr>
                <w:sz w:val="1"/>
                <w:szCs w:val="1"/>
                <w:color w:val="auto"/>
              </w:rPr>
            </w:pPr>
          </w:p>
        </w:tc>
      </w:tr>
      <w:tr>
        <w:trPr>
          <w:trHeight w:val="237"/>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2</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63,827</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63,862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10,379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41,529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11,954</w:t>
            </w:r>
          </w:p>
        </w:tc>
        <w:tc>
          <w:tcPr>
            <w:tcW w:w="0" w:type="dxa"/>
            <w:vAlign w:val="bottom"/>
          </w:tcPr>
          <w:p>
            <w:pPr>
              <w:spacing w:after="0"/>
              <w:rPr>
                <w:sz w:val="1"/>
                <w:szCs w:val="1"/>
                <w:color w:val="auto"/>
              </w:rPr>
            </w:pPr>
          </w:p>
        </w:tc>
      </w:tr>
      <w:tr>
        <w:trPr>
          <w:trHeight w:val="176"/>
        </w:trPr>
        <w:tc>
          <w:tcPr>
            <w:tcW w:w="1760" w:type="dxa"/>
            <w:vAlign w:val="bottom"/>
          </w:tcPr>
          <w:p>
            <w:pPr>
              <w:ind w:left="240"/>
              <w:spacing w:after="0" w:line="176" w:lineRule="exact"/>
              <w:rPr>
                <w:sz w:val="20"/>
                <w:szCs w:val="20"/>
                <w:color w:val="auto"/>
              </w:rPr>
            </w:pPr>
            <w:r>
              <w:rPr>
                <w:rFonts w:ascii="Times New Roman" w:cs="Times New Roman" w:eastAsia="Times New Roman" w:hAnsi="Times New Roman"/>
                <w:sz w:val="19"/>
                <w:szCs w:val="19"/>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155,421</w:t>
            </w:r>
          </w:p>
        </w:tc>
        <w:tc>
          <w:tcPr>
            <w:tcW w:w="60" w:type="dxa"/>
            <w:vAlign w:val="bottom"/>
          </w:tcPr>
          <w:p>
            <w:pPr>
              <w:spacing w:after="0"/>
              <w:rPr>
                <w:sz w:val="15"/>
                <w:szCs w:val="15"/>
                <w:color w:val="auto"/>
              </w:rPr>
            </w:pP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256</w:t>
            </w:r>
          </w:p>
        </w:tc>
        <w:tc>
          <w:tcPr>
            <w:tcW w:w="60" w:type="dxa"/>
            <w:vAlign w:val="bottom"/>
            <w:vMerge w:val="restart"/>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155,664</w:t>
            </w:r>
          </w:p>
        </w:tc>
        <w:tc>
          <w:tcPr>
            <w:tcW w:w="60" w:type="dxa"/>
            <w:vAlign w:val="bottom"/>
          </w:tcPr>
          <w:p>
            <w:pPr>
              <w:spacing w:after="0"/>
              <w:rPr>
                <w:sz w:val="15"/>
                <w:szCs w:val="15"/>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11,907</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91,018</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52,739</w:t>
            </w:r>
          </w:p>
        </w:tc>
        <w:tc>
          <w:tcPr>
            <w:tcW w:w="0" w:type="dxa"/>
            <w:vAlign w:val="bottom"/>
          </w:tcPr>
          <w:p>
            <w:pPr>
              <w:spacing w:after="0"/>
              <w:rPr>
                <w:sz w:val="1"/>
                <w:szCs w:val="1"/>
                <w:color w:val="auto"/>
              </w:rPr>
            </w:pPr>
          </w:p>
        </w:tc>
      </w:tr>
      <w:tr>
        <w:trPr>
          <w:trHeight w:val="241"/>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Level 2</w:t>
            </w: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Reported as: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24"/>
                <w:szCs w:val="24"/>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7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4"/>
              </w:rPr>
              <w:t>Long-term</w:t>
            </w:r>
          </w:p>
        </w:tc>
        <w:tc>
          <w:tcPr>
            <w:tcW w:w="0" w:type="dxa"/>
            <w:vAlign w:val="bottom"/>
          </w:tcPr>
          <w:p>
            <w:pPr>
              <w:spacing w:after="0"/>
              <w:rPr>
                <w:sz w:val="1"/>
                <w:szCs w:val="1"/>
                <w:color w:val="auto"/>
              </w:rPr>
            </w:pPr>
          </w:p>
        </w:tc>
      </w:tr>
      <w:tr>
        <w:trPr>
          <w:trHeight w:val="208"/>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equivalents</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60" w:type="dxa"/>
            <w:vAlign w:val="bottom"/>
          </w:tcPr>
          <w:p>
            <w:pPr>
              <w:spacing w:after="0"/>
              <w:rPr>
                <w:sz w:val="24"/>
                <w:szCs w:val="24"/>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60" w:type="dxa"/>
            <w:vAlign w:val="bottom"/>
          </w:tcPr>
          <w:p>
            <w:pPr>
              <w:spacing w:after="0"/>
              <w:rPr>
                <w:sz w:val="24"/>
                <w:szCs w:val="24"/>
                <w:color w:val="auto"/>
              </w:rPr>
            </w:pP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9"/>
        </w:trPr>
        <w:tc>
          <w:tcPr>
            <w:tcW w:w="17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U.S. treasury</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68,529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68,556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25,836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42,720</w:t>
            </w: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69,050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69,077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42,720</w:t>
            </w: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106,109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106,142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72,457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33,685</w:t>
            </w:r>
          </w:p>
        </w:tc>
        <w:tc>
          <w:tcPr>
            <w:tcW w:w="0" w:type="dxa"/>
            <w:vAlign w:val="bottom"/>
          </w:tcPr>
          <w:p>
            <w:pPr>
              <w:spacing w:after="0"/>
              <w:rPr>
                <w:sz w:val="1"/>
                <w:szCs w:val="1"/>
                <w:color w:val="auto"/>
              </w:rPr>
            </w:pPr>
          </w:p>
        </w:tc>
      </w:tr>
      <w:tr>
        <w:trPr>
          <w:trHeight w:val="257"/>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2</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136,990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137,020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26,924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76,411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33,685</w:t>
            </w:r>
          </w:p>
        </w:tc>
        <w:tc>
          <w:tcPr>
            <w:tcW w:w="0" w:type="dxa"/>
            <w:vAlign w:val="bottom"/>
          </w:tcPr>
          <w:p>
            <w:pPr>
              <w:spacing w:after="0"/>
              <w:rPr>
                <w:sz w:val="1"/>
                <w:szCs w:val="1"/>
                <w:color w:val="auto"/>
              </w:rPr>
            </w:pPr>
          </w:p>
        </w:tc>
      </w:tr>
      <w:tr>
        <w:trPr>
          <w:trHeight w:val="176"/>
        </w:trPr>
        <w:tc>
          <w:tcPr>
            <w:tcW w:w="1760" w:type="dxa"/>
            <w:vAlign w:val="bottom"/>
          </w:tcPr>
          <w:p>
            <w:pPr>
              <w:ind w:left="240"/>
              <w:spacing w:after="0" w:line="176" w:lineRule="exact"/>
              <w:rPr>
                <w:sz w:val="20"/>
                <w:szCs w:val="20"/>
                <w:color w:val="auto"/>
              </w:rPr>
            </w:pPr>
            <w:r>
              <w:rPr>
                <w:rFonts w:ascii="Times New Roman" w:cs="Times New Roman" w:eastAsia="Times New Roman" w:hAnsi="Times New Roman"/>
                <w:sz w:val="19"/>
                <w:szCs w:val="19"/>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206,040</w:t>
            </w:r>
          </w:p>
        </w:tc>
        <w:tc>
          <w:tcPr>
            <w:tcW w:w="60" w:type="dxa"/>
            <w:vAlign w:val="bottom"/>
          </w:tcPr>
          <w:p>
            <w:pPr>
              <w:spacing w:after="0"/>
              <w:rPr>
                <w:sz w:val="15"/>
                <w:szCs w:val="15"/>
                <w:color w:val="auto"/>
              </w:rPr>
            </w:pP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351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(294)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206,097</w:t>
            </w:r>
          </w:p>
        </w:tc>
        <w:tc>
          <w:tcPr>
            <w:tcW w:w="60" w:type="dxa"/>
            <w:vAlign w:val="bottom"/>
          </w:tcPr>
          <w:p>
            <w:pPr>
              <w:spacing w:after="0"/>
              <w:rPr>
                <w:sz w:val="15"/>
                <w:szCs w:val="15"/>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27,445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102,247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76,405</w:t>
            </w:r>
          </w:p>
        </w:tc>
        <w:tc>
          <w:tcPr>
            <w:tcW w:w="0" w:type="dxa"/>
            <w:vAlign w:val="bottom"/>
          </w:tcPr>
          <w:p>
            <w:pPr>
              <w:spacing w:after="0"/>
              <w:rPr>
                <w:sz w:val="1"/>
                <w:szCs w:val="1"/>
                <w:color w:val="auto"/>
              </w:rPr>
            </w:pPr>
          </w:p>
        </w:tc>
      </w:tr>
      <w:tr>
        <w:trPr>
          <w:trHeight w:val="236"/>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Level 2</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-2323465</wp:posOffset>
            </wp:positionV>
            <wp:extent cx="5988050" cy="233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a:extLst>
                        <a:ext uri="{28A0092B-C50C-407E-A947-70E740481C1C}"/>
                      </a:extLst>
                    </a:blip>
                    <a:srcRect/>
                    <a:stretch>
                      <a:fillRect/>
                    </a:stretch>
                  </pic:blipFill>
                  <pic:spPr bwMode="auto">
                    <a:xfrm>
                      <a:off x="0" y="0"/>
                      <a:ext cx="5988050" cy="2330450"/>
                    </a:xfrm>
                    <a:prstGeom prst="rect">
                      <a:avLst/>
                    </a:prstGeom>
                    <a:noFill/>
                  </pic:spPr>
                </pic:pic>
              </a:graphicData>
            </a:graphic>
          </wp:anchor>
        </w:drawing>
      </w:r>
    </w:p>
    <w:p>
      <w:pPr>
        <w:spacing w:after="0" w:line="395" w:lineRule="exact"/>
        <w:rPr>
          <w:sz w:val="20"/>
          <w:szCs w:val="20"/>
          <w:color w:val="auto"/>
        </w:rPr>
      </w:pPr>
    </w:p>
    <w:p>
      <w:pPr>
        <w:jc w:val="both"/>
        <w:ind w:left="2" w:right="720" w:firstLine="349"/>
        <w:spacing w:after="0" w:line="274" w:lineRule="auto"/>
        <w:rPr>
          <w:sz w:val="20"/>
          <w:szCs w:val="20"/>
          <w:color w:val="auto"/>
        </w:rPr>
      </w:pPr>
      <w:r>
        <w:rPr>
          <w:rFonts w:ascii="Times New Roman" w:cs="Times New Roman" w:eastAsia="Times New Roman" w:hAnsi="Times New Roman"/>
          <w:sz w:val="19"/>
          <w:szCs w:val="19"/>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ectPr>
          <w:pgSz w:w="11880" w:h="15480" w:orient="portrait"/>
          <w:cols w:equalWidth="0" w:num="1">
            <w:col w:w="9382"/>
          </w:cols>
          <w:pgMar w:left="1398" w:top="57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6"/>
          <w:szCs w:val="16"/>
          <w:color w:val="auto"/>
        </w:rPr>
        <w:t>95</w:t>
      </w:r>
    </w:p>
    <w:p>
      <w:pPr>
        <w:sectPr>
          <w:pgSz w:w="11880" w:h="15480" w:orient="portrait"/>
          <w:cols w:equalWidth="0" w:num="1">
            <w:col w:w="9382"/>
          </w:cols>
          <w:pgMar w:left="1398" w:top="577" w:right="1100" w:bottom="0" w:gutter="0" w:footer="0" w:header="0"/>
          <w:type w:val="continuous"/>
        </w:sectPr>
      </w:pPr>
    </w:p>
    <w:bookmarkStart w:id="97" w:name="page98"/>
    <w:bookmarkEnd w:id="97"/>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firstLine="349"/>
        <w:spacing w:after="0" w:line="293" w:lineRule="auto"/>
        <w:rPr>
          <w:sz w:val="20"/>
          <w:szCs w:val="20"/>
          <w:color w:val="auto"/>
        </w:rPr>
      </w:pPr>
      <w:r>
        <w:rPr>
          <w:rFonts w:ascii="Times New Roman" w:cs="Times New Roman" w:eastAsia="Times New Roman" w:hAnsi="Times New Roman"/>
          <w:sz w:val="19"/>
          <w:szCs w:val="19"/>
          <w:color w:val="auto"/>
        </w:rPr>
        <w:t>The unrealized losses and fair values of available-for-sale securities that have been in an unrealized loss position for a period of less than and greater than 12 months as of December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241935</wp:posOffset>
            </wp:positionV>
            <wp:extent cx="5794375" cy="13874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8">
                      <a:extLst>
                        <a:ext uri="{28A0092B-C50C-407E-A947-70E740481C1C}"/>
                      </a:extLst>
                    </a:blip>
                    <a:srcRect/>
                    <a:stretch>
                      <a:fillRect/>
                    </a:stretch>
                  </pic:blipFill>
                  <pic:spPr bwMode="auto">
                    <a:xfrm>
                      <a:off x="0" y="0"/>
                      <a:ext cx="5794375" cy="13874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120" w:type="dxa"/>
            <w:vAlign w:val="bottom"/>
            <w:gridSpan w:val="5"/>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6"/>
              </w:rPr>
              <w:t>Securities in Unrealized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Position Less than 12 months</w:t>
            </w: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Position Greater than 12 months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02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0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1"/>
              <w:spacing w:after="0" w:line="155"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55"/>
        </w:trPr>
        <w:tc>
          <w:tcPr>
            <w:tcW w:w="27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3"/>
                <w:szCs w:val="13"/>
                <w:color w:val="auto"/>
              </w:rPr>
            </w:pPr>
          </w:p>
        </w:tc>
        <w:tc>
          <w:tcPr>
            <w:tcW w:w="88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54"/>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3,997</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8,389</w:t>
            </w:r>
          </w:p>
        </w:tc>
        <w:tc>
          <w:tcPr>
            <w:tcW w:w="0" w:type="dxa"/>
            <w:vAlign w:val="bottom"/>
          </w:tcPr>
          <w:p>
            <w:pPr>
              <w:spacing w:after="0"/>
              <w:rPr>
                <w:sz w:val="1"/>
                <w:szCs w:val="1"/>
                <w:color w:val="auto"/>
              </w:rPr>
            </w:pPr>
          </w:p>
        </w:tc>
      </w:tr>
      <w:tr>
        <w:trPr>
          <w:trHeight w:val="279"/>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9,186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19,643</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19,844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32,029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 w:right="120" w:firstLine="398"/>
        <w:spacing w:after="0" w:line="265" w:lineRule="auto"/>
        <w:rPr>
          <w:sz w:val="20"/>
          <w:szCs w:val="20"/>
          <w:color w:val="auto"/>
        </w:rPr>
      </w:pPr>
      <w:r>
        <w:rPr>
          <w:rFonts w:ascii="Times New Roman" w:cs="Times New Roman" w:eastAsia="Times New Roman" w:hAnsi="Times New Roman"/>
          <w:sz w:val="19"/>
          <w:szCs w:val="19"/>
          <w:color w:val="auto"/>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years ended December 31, 2025 and 2024, and had no allowance for credit losses as of December 31, 2025 and 2024.</w:t>
      </w:r>
    </w:p>
    <w:p>
      <w:pPr>
        <w:spacing w:after="0" w:line="126" w:lineRule="exact"/>
        <w:rPr>
          <w:sz w:val="20"/>
          <w:szCs w:val="20"/>
          <w:color w:val="auto"/>
        </w:rPr>
      </w:pPr>
    </w:p>
    <w:p>
      <w:pPr>
        <w:ind w:left="2" w:right="2640" w:hanging="2"/>
        <w:spacing w:after="0" w:line="451" w:lineRule="auto"/>
        <w:tabs>
          <w:tab w:leader="none" w:pos="701"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Composition of Certain Consolidated Financial Statement Line Items Property and Equipment, Net</w:t>
      </w:r>
    </w:p>
    <w:p>
      <w:pPr>
        <w:spacing w:after="0" w:line="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868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9">
                      <a:extLst>
                        <a:ext uri="{28A0092B-C50C-407E-A947-70E740481C1C}"/>
                      </a:extLst>
                    </a:blip>
                    <a:srcRect/>
                    <a:stretch>
                      <a:fillRect/>
                    </a:stretch>
                  </pic:blipFill>
                  <pic:spPr bwMode="auto">
                    <a:xfrm>
                      <a:off x="0" y="0"/>
                      <a:ext cx="5794375" cy="186817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Laboratory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6,469</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Computer hardware</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Furniture, fixtures and office equipment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Prototype equipment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2,029</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Construction in progress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1,186</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11,578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10,610</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Less: Accumulated depreciation</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(6,534)</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Company recorded $1.7 million and $2.0 million of depreciation expense for the years ended December 31, 2025 and 2024, respectively, which was primarily allocated to research and development expense.</w:t>
      </w:r>
    </w:p>
    <w:p>
      <w:pPr>
        <w:spacing w:after="0" w:line="1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Accrued Expenses and Other Liabilities</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Accrued expenses and other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165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a:extLst>
                        <a:ext uri="{28A0092B-C50C-407E-A947-70E740481C1C}"/>
                      </a:extLst>
                    </a:blip>
                    <a:srcRect/>
                    <a:stretch>
                      <a:fillRect/>
                    </a:stretch>
                  </pic:blipFill>
                  <pic:spPr bwMode="auto">
                    <a:xfrm>
                      <a:off x="0" y="0"/>
                      <a:ext cx="5794375" cy="116586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Employee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1,343</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Accrued professional and consulting fees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Accrued research and development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468</w:t>
            </w:r>
          </w:p>
        </w:tc>
        <w:tc>
          <w:tcPr>
            <w:tcW w:w="0" w:type="dxa"/>
            <w:vAlign w:val="bottom"/>
          </w:tcPr>
          <w:p>
            <w:pPr>
              <w:spacing w:after="0"/>
              <w:rPr>
                <w:sz w:val="1"/>
                <w:szCs w:val="1"/>
                <w:color w:val="auto"/>
              </w:rPr>
            </w:pPr>
          </w:p>
        </w:tc>
      </w:tr>
      <w:tr>
        <w:trPr>
          <w:trHeight w:val="29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518</w:t>
            </w:r>
          </w:p>
        </w:tc>
        <w:tc>
          <w:tcPr>
            <w:tcW w:w="0" w:type="dxa"/>
            <w:vAlign w:val="bottom"/>
          </w:tcPr>
          <w:p>
            <w:pPr>
              <w:spacing w:after="0"/>
              <w:rPr>
                <w:sz w:val="1"/>
                <w:szCs w:val="1"/>
                <w:color w:val="auto"/>
              </w:rPr>
            </w:pPr>
          </w:p>
        </w:tc>
      </w:tr>
      <w:tr>
        <w:trPr>
          <w:trHeight w:val="217"/>
        </w:trPr>
        <w:tc>
          <w:tcPr>
            <w:tcW w:w="6460" w:type="dxa"/>
            <w:vAlign w:val="bottom"/>
          </w:tcPr>
          <w:p>
            <w:pPr>
              <w:ind w:left="240"/>
              <w:spacing w:after="0" w:line="217" w:lineRule="exact"/>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3,177</w:t>
            </w:r>
          </w:p>
        </w:tc>
        <w:tc>
          <w:tcPr>
            <w:tcW w:w="220" w:type="dxa"/>
            <w:vAlign w:val="bottom"/>
            <w:gridSpan w:val="2"/>
          </w:tcPr>
          <w:p>
            <w:pPr>
              <w:jc w:val="right"/>
              <w:ind w:right="2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2,548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96</w:t>
      </w:r>
    </w:p>
    <w:p>
      <w:pPr>
        <w:sectPr>
          <w:pgSz w:w="11880" w:h="15480" w:orient="portrait"/>
          <w:cols w:equalWidth="0" w:num="1">
            <w:col w:w="9082"/>
          </w:cols>
          <w:pgMar w:left="1398" w:top="577" w:right="1400" w:bottom="0" w:gutter="0" w:footer="0" w:header="0"/>
          <w:type w:val="continuous"/>
        </w:sectPr>
      </w:pPr>
    </w:p>
    <w:bookmarkStart w:id="98" w:name="page99"/>
    <w:bookmarkEnd w:id="98"/>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814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1">
                      <a:extLst>
                        <a:ext uri="{28A0092B-C50C-407E-A947-70E740481C1C}"/>
                      </a:extLst>
                    </a:blip>
                    <a:srcRect/>
                    <a:stretch>
                      <a:fillRect/>
                    </a:stretch>
                  </pic:blipFill>
                  <pic:spPr bwMode="auto">
                    <a:xfrm>
                      <a:off x="0" y="0"/>
                      <a:ext cx="5794375" cy="81407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27,646</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Restricted cash included in other long-term assets (Note 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1,002</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28,648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 w:right="980" w:firstLine="349"/>
        <w:spacing w:after="0" w:line="293" w:lineRule="auto"/>
        <w:rPr>
          <w:sz w:val="20"/>
          <w:szCs w:val="20"/>
          <w:color w:val="auto"/>
        </w:rPr>
      </w:pPr>
      <w:r>
        <w:rPr>
          <w:rFonts w:ascii="Times New Roman" w:cs="Times New Roman" w:eastAsia="Times New Roman" w:hAnsi="Times New Roman"/>
          <w:sz w:val="19"/>
          <w:szCs w:val="19"/>
          <w:color w:val="auto"/>
        </w:rPr>
        <w:t>Other long-term assets consisted of $1.0 million of restricted cash and $0.2 million of deposits as of December 31, 2025 and 2024.</w:t>
      </w:r>
    </w:p>
    <w:p>
      <w:pPr>
        <w:spacing w:after="0" w:line="123" w:lineRule="exact"/>
        <w:rPr>
          <w:sz w:val="20"/>
          <w:szCs w:val="20"/>
          <w:color w:val="auto"/>
        </w:rPr>
      </w:pPr>
    </w:p>
    <w:p>
      <w:pPr>
        <w:ind w:left="702" w:hanging="702"/>
        <w:spacing w:after="0"/>
        <w:tabs>
          <w:tab w:leader="none" w:pos="702"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Common Stock</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There were 126,469,610 shares issued and outstanding as of December 31, 2025.</w:t>
      </w:r>
    </w:p>
    <w:p>
      <w:pPr>
        <w:spacing w:after="0" w:line="182"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Common Stock Reserved for Future Issuance</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Shares of common stock reserved for future issuance on an as-if converted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9899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2">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8"/>
        </w:trPr>
        <w:tc>
          <w:tcPr>
            <w:tcW w:w="29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Shares available for grant under 2021</w:t>
            </w:r>
          </w:p>
        </w:tc>
        <w:tc>
          <w:tcPr>
            <w:tcW w:w="35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Equity Incentive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29,341,567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23,784,439</w:t>
            </w: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Stock options issued and outstanding</w:t>
            </w:r>
          </w:p>
        </w:tc>
        <w:tc>
          <w:tcPr>
            <w:tcW w:w="3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17,270,870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16,634,775</w:t>
            </w:r>
          </w:p>
        </w:tc>
      </w:tr>
      <w:tr>
        <w:trPr>
          <w:trHeight w:val="279"/>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Shares available for grant under 2021</w:t>
            </w:r>
          </w:p>
        </w:tc>
        <w:tc>
          <w:tcPr>
            <w:tcW w:w="35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Employee Stock Purchase Plan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5,518,072</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4,508,360</w:t>
            </w:r>
          </w:p>
        </w:tc>
      </w:tr>
      <w:tr>
        <w:trPr>
          <w:trHeight w:val="237"/>
        </w:trPr>
        <w:tc>
          <w:tcPr>
            <w:tcW w:w="64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shares of common stock 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52,130,509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44,927,574</w:t>
            </w:r>
          </w:p>
        </w:tc>
      </w:tr>
      <w:tr>
        <w:trPr>
          <w:trHeight w:val="20"/>
        </w:trPr>
        <w:tc>
          <w:tcPr>
            <w:tcW w:w="2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702" w:hanging="654"/>
        <w:spacing w:after="0"/>
        <w:tabs>
          <w:tab w:leader="none" w:pos="702"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96" w:lineRule="exact"/>
        <w:rPr>
          <w:sz w:val="20"/>
          <w:szCs w:val="20"/>
          <w:color w:val="auto"/>
        </w:rPr>
      </w:pPr>
    </w:p>
    <w:p>
      <w:pPr>
        <w:ind w:left="2" w:right="40" w:firstLine="349"/>
        <w:spacing w:after="0" w:line="265" w:lineRule="auto"/>
        <w:rPr>
          <w:sz w:val="20"/>
          <w:szCs w:val="20"/>
          <w:color w:val="auto"/>
        </w:rPr>
      </w:pPr>
      <w:r>
        <w:rPr>
          <w:rFonts w:ascii="Times New Roman" w:cs="Times New Roman" w:eastAsia="Times New Roman" w:hAnsi="Times New Roman"/>
          <w:sz w:val="19"/>
          <w:szCs w:val="19"/>
          <w:color w:val="auto"/>
        </w:rPr>
        <w:t>The Company is liable for income taxes in the United States. For the years ended December 31, 2025 and 2024,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The following table presents the required disclosures prior to our adoption of ASU 2023-09 and reconciles the</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U.S. federal statutory income tax amount to the effective income tax amount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133350</wp:posOffset>
            </wp:positionV>
            <wp:extent cx="5784850" cy="160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extLst>
                    </a:blip>
                    <a:srcRect/>
                    <a:stretch>
                      <a:fillRect/>
                    </a:stretch>
                  </pic:blipFill>
                  <pic:spPr bwMode="auto">
                    <a:xfrm>
                      <a:off x="0" y="0"/>
                      <a:ext cx="5784850" cy="1609090"/>
                    </a:xfrm>
                    <a:prstGeom prst="rect">
                      <a:avLst/>
                    </a:prstGeom>
                    <a:noFill/>
                  </pic:spPr>
                </pic:pic>
              </a:graphicData>
            </a:graphic>
          </wp:anchor>
        </w:drawing>
      </w:r>
    </w:p>
    <w:p>
      <w:pPr>
        <w:spacing w:after="0" w:line="191" w:lineRule="exact"/>
        <w:rPr>
          <w:sz w:val="20"/>
          <w:szCs w:val="20"/>
          <w:color w:val="auto"/>
        </w:rPr>
      </w:pPr>
    </w:p>
    <w:tbl>
      <w:tblPr>
        <w:tblLayout w:type="fixed"/>
        <w:tblInd w:w="62" w:type="dxa"/>
        <w:tblCellMar>
          <w:top w:w="0" w:type="dxa"/>
          <w:left w:w="0" w:type="dxa"/>
          <w:bottom w:w="0" w:type="dxa"/>
          <w:right w:w="0" w:type="dxa"/>
        </w:tblCellMar>
      </w:tblPr>
      <w:tr>
        <w:trPr>
          <w:trHeight w:val="184"/>
        </w:trPr>
        <w:tc>
          <w:tcPr>
            <w:tcW w:w="7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0" w:type="dxa"/>
            <w:vAlign w:val="bottom"/>
          </w:tcPr>
          <w:p>
            <w:pPr>
              <w:spacing w:after="0"/>
              <w:rPr>
                <w:sz w:val="1"/>
                <w:szCs w:val="1"/>
                <w:color w:val="auto"/>
              </w:rPr>
            </w:pPr>
          </w:p>
        </w:tc>
      </w:tr>
      <w:tr>
        <w:trPr>
          <w:trHeight w:val="155"/>
        </w:trPr>
        <w:tc>
          <w:tcPr>
            <w:tcW w:w="7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00" w:type="dxa"/>
            <w:vAlign w:val="bottom"/>
          </w:tcPr>
          <w:p>
            <w:pPr>
              <w:jc w:val="center"/>
              <w:ind w:right="69"/>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77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54"/>
        </w:trPr>
        <w:tc>
          <w:tcPr>
            <w:tcW w:w="7760" w:type="dxa"/>
            <w:vAlign w:val="bottom"/>
          </w:tcPr>
          <w:p>
            <w:pPr>
              <w:spacing w:after="0"/>
              <w:rPr>
                <w:sz w:val="20"/>
                <w:szCs w:val="20"/>
                <w:color w:val="auto"/>
              </w:rPr>
            </w:pPr>
            <w:r>
              <w:rPr>
                <w:rFonts w:ascii="Times New Roman" w:cs="Times New Roman" w:eastAsia="Times New Roman" w:hAnsi="Times New Roman"/>
                <w:sz w:val="19"/>
                <w:szCs w:val="19"/>
                <w:color w:val="auto"/>
              </w:rPr>
              <w:t>Federal income tax at statutory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(14,864)</w:t>
            </w:r>
          </w:p>
        </w:tc>
        <w:tc>
          <w:tcPr>
            <w:tcW w:w="0" w:type="dxa"/>
            <w:vAlign w:val="bottom"/>
          </w:tcPr>
          <w:p>
            <w:pPr>
              <w:spacing w:after="0"/>
              <w:rPr>
                <w:sz w:val="1"/>
                <w:szCs w:val="1"/>
                <w:color w:val="auto"/>
              </w:rPr>
            </w:pP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19"/>
                <w:szCs w:val="19"/>
                <w:color w:val="auto"/>
              </w:rPr>
              <w:t>State income tax, net of federal benefit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(4,816)</w:t>
            </w:r>
          </w:p>
        </w:tc>
        <w:tc>
          <w:tcPr>
            <w:tcW w:w="0" w:type="dxa"/>
            <w:vAlign w:val="bottom"/>
          </w:tcPr>
          <w:p>
            <w:pPr>
              <w:spacing w:after="0"/>
              <w:rPr>
                <w:sz w:val="1"/>
                <w:szCs w:val="1"/>
                <w:color w:val="auto"/>
              </w:rPr>
            </w:pP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19"/>
                <w:szCs w:val="19"/>
                <w:color w:val="auto"/>
              </w:rPr>
              <w:t>Equity-based Compensation</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1,566</w:t>
            </w:r>
          </w:p>
        </w:tc>
        <w:tc>
          <w:tcPr>
            <w:tcW w:w="0" w:type="dxa"/>
            <w:vAlign w:val="bottom"/>
          </w:tcPr>
          <w:p>
            <w:pPr>
              <w:spacing w:after="0"/>
              <w:rPr>
                <w:sz w:val="1"/>
                <w:szCs w:val="1"/>
                <w:color w:val="auto"/>
              </w:rPr>
            </w:pP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19"/>
                <w:szCs w:val="19"/>
                <w:color w:val="auto"/>
              </w:rPr>
              <w:t>Tax credits generated in current year</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(2,091)</w:t>
            </w:r>
          </w:p>
        </w:tc>
        <w:tc>
          <w:tcPr>
            <w:tcW w:w="0" w:type="dxa"/>
            <w:vAlign w:val="bottom"/>
          </w:tcPr>
          <w:p>
            <w:pPr>
              <w:spacing w:after="0"/>
              <w:rPr>
                <w:sz w:val="1"/>
                <w:szCs w:val="1"/>
                <w:color w:val="auto"/>
              </w:rPr>
            </w:pP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 change</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20,167</w:t>
            </w:r>
          </w:p>
        </w:tc>
        <w:tc>
          <w:tcPr>
            <w:tcW w:w="0" w:type="dxa"/>
            <w:vAlign w:val="bottom"/>
          </w:tcPr>
          <w:p>
            <w:pPr>
              <w:spacing w:after="0"/>
              <w:rPr>
                <w:sz w:val="1"/>
                <w:szCs w:val="1"/>
                <w:color w:val="auto"/>
              </w:rPr>
            </w:pPr>
          </w:p>
        </w:tc>
      </w:tr>
      <w:tr>
        <w:trPr>
          <w:trHeight w:val="279"/>
        </w:trPr>
        <w:tc>
          <w:tcPr>
            <w:tcW w:w="7760" w:type="dxa"/>
            <w:vAlign w:val="bottom"/>
          </w:tcPr>
          <w:p>
            <w:pPr>
              <w:spacing w:after="0"/>
              <w:rPr>
                <w:sz w:val="20"/>
                <w:szCs w:val="20"/>
                <w:color w:val="auto"/>
              </w:rPr>
            </w:pPr>
            <w:r>
              <w:rPr>
                <w:rFonts w:ascii="Times New Roman" w:cs="Times New Roman" w:eastAsia="Times New Roman" w:hAnsi="Times New Roman"/>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37"/>
        </w:trPr>
        <w:tc>
          <w:tcPr>
            <w:tcW w:w="77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97</w:t>
      </w:r>
    </w:p>
    <w:p>
      <w:pPr>
        <w:sectPr>
          <w:pgSz w:w="11880" w:h="15480" w:orient="portrait"/>
          <w:cols w:equalWidth="0" w:num="1">
            <w:col w:w="9082"/>
          </w:cols>
          <w:pgMar w:left="1398" w:top="577" w:right="1400" w:bottom="0" w:gutter="0" w:footer="0" w:header="0"/>
          <w:type w:val="continuous"/>
        </w:sectPr>
      </w:pPr>
    </w:p>
    <w:bookmarkStart w:id="99" w:name="page100"/>
    <w:bookmarkEnd w:id="99"/>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The Company adopted ASU 2023-09 "Income Taxes (Topic 740): Improvements To Income Tax Disclosures" on a prospective basis beginning with the year ended December 31, 2025. The following table presents required disclosure pursuant to ASU 2023-09 and reconciles the U.S. federal statutory tax amount and rate to our effective amount and rate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5794375" cy="2154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a:extLst>
                        <a:ext uri="{28A0092B-C50C-407E-A947-70E740481C1C}"/>
                      </a:extLst>
                    </a:blip>
                    <a:srcRect/>
                    <a:stretch>
                      <a:fillRect/>
                    </a:stretch>
                  </pic:blipFill>
                  <pic:spPr bwMode="auto">
                    <a:xfrm>
                      <a:off x="0" y="0"/>
                      <a:ext cx="5794375" cy="2154555"/>
                    </a:xfrm>
                    <a:prstGeom prst="rect">
                      <a:avLst/>
                    </a:prstGeom>
                    <a:noFill/>
                  </pic:spPr>
                </pic:pic>
              </a:graphicData>
            </a:graphic>
          </wp:anchor>
        </w:drawing>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3"/>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2025</w:t>
            </w: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At US Federal Statutory Tax Rate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21.0 %</w:t>
            </w: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State Income Taxes, net of Federal Effect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(20.0)%</w:t>
            </w: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Nontaxable or Nondeductible Items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Equity Compensation</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Other Nondeductible Items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Tax Credits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R&amp;D Credits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0.2 %</w:t>
            </w:r>
          </w:p>
        </w:tc>
      </w:tr>
      <w:tr>
        <w:trPr>
          <w:trHeight w:val="30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Changes in Unrecognized Tax Benefits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266"/>
        </w:trPr>
        <w:tc>
          <w:tcPr>
            <w:tcW w:w="646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80" w:firstLine="349"/>
        <w:spacing w:after="0" w:line="262" w:lineRule="auto"/>
        <w:rPr>
          <w:sz w:val="20"/>
          <w:szCs w:val="20"/>
          <w:color w:val="auto"/>
        </w:rPr>
      </w:pPr>
      <w:r>
        <w:rPr>
          <w:rFonts w:ascii="Times New Roman" w:cs="Times New Roman" w:eastAsia="Times New Roman" w:hAnsi="Times New Roman"/>
          <w:sz w:val="19"/>
          <w:szCs w:val="19"/>
          <w:color w:val="auto"/>
        </w:rPr>
        <w:t>The "One Big Beautiful Bill Act" (OBBBA) enacted on July 4, 2025, introduced notable changes to the U.S. Internal Revenue Code, including immediate expensing of domestic Section 174 costs. Section 174 costs are expenditures which represent research and development costs that are incident to the development or improvement of a product, process, formula, invention, computer software, or technique. As previously required under the Tax Cuts and Jobs Act, the Company capitalized research and development expenditures in the years ended December 31, 2022 through December 31, 2024. With the enactment of OBBBA, the Company began deducting domestic Section 174 costs in 2025.</w:t>
      </w:r>
    </w:p>
    <w:p>
      <w:pPr>
        <w:spacing w:after="0" w:line="13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As of December 31, 2025, the Company had federal net operating loss carryforwards of $0.5 million that begin to expire in 2037 and federal net operating loss carryforwards of $203.2 million that arose after the 2017 tax year that will carryforward indefinitely and will be subject to the 80% of taxable income limitation. The Company has state net operating loss carryforwards of $197.9 million that will begin to expire in 2037.</w:t>
      </w:r>
    </w:p>
    <w:p>
      <w:pPr>
        <w:spacing w:after="0" w:line="131"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2025, the Company had research and development tax credit carryover of $9.6 million and $6.5 million for federal and state tax purposes, respectively. If not utilized, the federal carryforward will expire in various amounts beginning in 2039. The California credits can be carried forward indefinitely.</w:t>
      </w:r>
    </w:p>
    <w:p>
      <w:pPr>
        <w:spacing w:after="0" w:line="125"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$15.0 million during the year ended December 31, 2025. Management reevaluates the positive and negative evidence at each reporting period.</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ectPr>
          <w:pgSz w:w="11880" w:h="15480" w:orient="portrait"/>
          <w:cols w:equalWidth="0" w:num="1">
            <w:col w:w="9080"/>
          </w:cols>
          <w:pgMar w:left="1400" w:top="577" w:right="1400" w:bottom="0" w:gutter="0" w:footer="0" w:header="0"/>
          <w:type w:val="continuous"/>
        </w:sectPr>
      </w:pPr>
    </w:p>
    <w:bookmarkStart w:id="100" w:name="page101"/>
    <w:bookmarkEnd w:id="100"/>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jc w:val="both"/>
        <w:ind w:right="420" w:firstLine="349"/>
        <w:spacing w:after="0" w:line="274" w:lineRule="auto"/>
        <w:rPr>
          <w:sz w:val="20"/>
          <w:szCs w:val="20"/>
          <w:color w:val="auto"/>
        </w:rPr>
      </w:pPr>
      <w:r>
        <w:rPr>
          <w:rFonts w:ascii="Times New Roman" w:cs="Times New Roman" w:eastAsia="Times New Roman" w:hAnsi="Times New Roman"/>
          <w:sz w:val="19"/>
          <w:szCs w:val="19"/>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5794375" cy="3116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extLst>
                    </a:blip>
                    <a:srcRect/>
                    <a:stretch>
                      <a:fillRect/>
                    </a:stretch>
                  </pic:blipFill>
                  <pic:spPr bwMode="auto">
                    <a:xfrm>
                      <a:off x="0" y="0"/>
                      <a:ext cx="5794375" cy="3116580"/>
                    </a:xfrm>
                    <a:prstGeom prst="rect">
                      <a:avLst/>
                    </a:prstGeom>
                    <a:noFill/>
                  </pic:spPr>
                </pic:pic>
              </a:graphicData>
            </a:graphic>
          </wp:anchor>
        </w:drawing>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5,927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4,287</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Capitalized research and development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23,844</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Loss carryforwards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56,649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32,740</w:t>
            </w:r>
          </w:p>
        </w:tc>
        <w:tc>
          <w:tcPr>
            <w:tcW w:w="0" w:type="dxa"/>
            <w:vAlign w:val="bottom"/>
          </w:tcPr>
          <w:p>
            <w:pPr>
              <w:spacing w:after="0"/>
              <w:rPr>
                <w:sz w:val="1"/>
                <w:szCs w:val="1"/>
                <w:color w:val="auto"/>
              </w:rPr>
            </w:pPr>
          </w:p>
        </w:tc>
      </w:tr>
      <w:tr>
        <w:trPr>
          <w:trHeight w:val="306"/>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Lease liabilities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8,158</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Tax credit carryforwards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11,526</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Equity-based compensation</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5,330</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Other accruals and reserves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tax assets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100,884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85,944</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Valuation allowance for deferred tax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(93,398)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(78,381)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tax assets, net of valuation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7,563</w:t>
            </w:r>
          </w:p>
        </w:tc>
        <w:tc>
          <w:tcPr>
            <w:tcW w:w="0" w:type="dxa"/>
            <w:vAlign w:val="bottom"/>
          </w:tcPr>
          <w:p>
            <w:pPr>
              <w:spacing w:after="0"/>
              <w:rPr>
                <w:sz w:val="1"/>
                <w:szCs w:val="1"/>
                <w:color w:val="auto"/>
              </w:rPr>
            </w:pPr>
          </w:p>
        </w:tc>
      </w:tr>
      <w:tr>
        <w:trPr>
          <w:trHeight w:val="55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liability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Right-of-use assets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(7,563)</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Unrealized loss on investment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deferred tax assets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920" w:firstLine="349"/>
        <w:spacing w:after="0" w:line="293" w:lineRule="auto"/>
        <w:rPr>
          <w:sz w:val="20"/>
          <w:szCs w:val="20"/>
          <w:color w:val="auto"/>
        </w:rPr>
      </w:pPr>
      <w:r>
        <w:rPr>
          <w:rFonts w:ascii="Times New Roman" w:cs="Times New Roman" w:eastAsia="Times New Roman" w:hAnsi="Times New Roman"/>
          <w:sz w:val="19"/>
          <w:szCs w:val="19"/>
          <w:color w:val="auto"/>
        </w:rPr>
        <w:t>The Company began to file income tax returns in the United States in 2017. All tax years are open to examination.</w:t>
      </w:r>
    </w:p>
    <w:p>
      <w:pPr>
        <w:spacing w:after="0" w:line="107"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A valuation allowance of $93.4 million and $78.4 million at December 31, 2025 and 2024, respectively, has been recognized to offset net deferred tax assets where realization of such net deferred tax assets is determined to be more likely than not to not be realized. The valuation allowance increased by $15.0 million in 2025 and increased by $20.2 million in 2024, which was primarily due to changes in our deferred tax asset balances. The increases in the valuation allowance in 2025 and 2024 was primarily due to the net operating loss and tax credit generation, capitalized research and development expense and stock-based compensation expense.</w:t>
      </w:r>
    </w:p>
    <w:p>
      <w:pPr>
        <w:spacing w:after="0" w:line="136"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20"/>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Beginning balance</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(78,381)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(58,215)</w:t>
            </w: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Change charged to income tax expense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(20,166)</w:t>
            </w: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Change charge to OCI</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Ending balance</w:t>
            </w: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(93,398)</w:t>
            </w:r>
          </w:p>
        </w:tc>
        <w:tc>
          <w:tcPr>
            <w:tcW w:w="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(78,381)</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-982980</wp:posOffset>
            </wp:positionV>
            <wp:extent cx="5794375" cy="989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162"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The Company had an unrecognized tax benefit balance of $3.2 million and $3.1 million related to research and development credits and California net operating loss carryforward as of December 31, 2025 and 2024, respectively. No amount of unrecognized tax benefits as of December 31, 2025, if recognized, would reduce the Company’s effective tax rate because the benefits would be in the form of tax credit carryforwards, which would be reduced to $0 by a full valuation allowance. Because the statute of limitations does not expire until after the net operating loss</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ectPr>
          <w:pgSz w:w="11880" w:h="15480" w:orient="portrait"/>
          <w:cols w:equalWidth="0" w:num="1">
            <w:col w:w="9080"/>
          </w:cols>
          <w:pgMar w:left="1400" w:top="577" w:right="1400" w:bottom="0" w:gutter="0" w:footer="0" w:header="0"/>
          <w:type w:val="continuous"/>
        </w:sectPr>
      </w:pPr>
    </w:p>
    <w:bookmarkStart w:id="101" w:name="page102"/>
    <w:bookmarkEnd w:id="101"/>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380"/>
        <w:spacing w:after="0" w:line="293" w:lineRule="auto"/>
        <w:rPr>
          <w:sz w:val="20"/>
          <w:szCs w:val="20"/>
          <w:color w:val="auto"/>
        </w:rPr>
      </w:pPr>
      <w:r>
        <w:rPr>
          <w:rFonts w:ascii="Times New Roman" w:cs="Times New Roman" w:eastAsia="Times New Roman" w:hAnsi="Times New Roman"/>
          <w:sz w:val="19"/>
          <w:szCs w:val="19"/>
          <w:color w:val="auto"/>
        </w:rPr>
        <w:t>and credit carryforwards are actually used, the statutes are still open on calendars years ending 2017 forward for federal and state purposes.</w:t>
      </w:r>
    </w:p>
    <w:p>
      <w:pPr>
        <w:spacing w:after="0" w:line="107" w:lineRule="exact"/>
        <w:rPr>
          <w:sz w:val="20"/>
          <w:szCs w:val="20"/>
          <w:color w:val="auto"/>
        </w:rPr>
      </w:pPr>
    </w:p>
    <w:p>
      <w:pPr>
        <w:ind w:left="2" w:right="540" w:firstLine="349"/>
        <w:spacing w:after="0" w:line="293" w:lineRule="auto"/>
        <w:rPr>
          <w:sz w:val="20"/>
          <w:szCs w:val="20"/>
          <w:color w:val="auto"/>
        </w:rPr>
      </w:pPr>
      <w:r>
        <w:rPr>
          <w:rFonts w:ascii="Times New Roman" w:cs="Times New Roman" w:eastAsia="Times New Roman" w:hAnsi="Times New Roman"/>
          <w:sz w:val="19"/>
          <w:szCs w:val="19"/>
          <w:color w:val="auto"/>
        </w:rPr>
        <w:t>A reconciliation of the beginning and ending amount of the liability for uncertain tax positions, excluding potential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989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7">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13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28"/>
        </w:trPr>
        <w:tc>
          <w:tcPr>
            <w:tcW w:w="646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2,365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Increase based on current year tax positions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Decrease for prior year tax positions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3,209</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3,146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 w:right="80" w:firstLine="349"/>
        <w:spacing w:after="0" w:line="261" w:lineRule="auto"/>
        <w:rPr>
          <w:sz w:val="20"/>
          <w:szCs w:val="20"/>
          <w:color w:val="auto"/>
        </w:rPr>
      </w:pPr>
      <w:r>
        <w:rPr>
          <w:rFonts w:ascii="Times New Roman" w:cs="Times New Roman" w:eastAsia="Times New Roman" w:hAnsi="Times New Roman"/>
          <w:sz w:val="19"/>
          <w:szCs w:val="19"/>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54" w:lineRule="exact"/>
        <w:rPr>
          <w:sz w:val="20"/>
          <w:szCs w:val="20"/>
          <w:color w:val="auto"/>
        </w:rPr>
      </w:pPr>
    </w:p>
    <w:p>
      <w:pPr>
        <w:ind w:left="702" w:hanging="702"/>
        <w:spacing w:after="0"/>
        <w:tabs>
          <w:tab w:leader="none" w:pos="702"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 Incentive Plans and Stock-based Compensation</w:t>
      </w:r>
    </w:p>
    <w:p>
      <w:pPr>
        <w:spacing w:after="0" w:line="196" w:lineRule="exact"/>
        <w:rPr>
          <w:sz w:val="20"/>
          <w:szCs w:val="20"/>
          <w:color w:val="auto"/>
        </w:rPr>
      </w:pPr>
    </w:p>
    <w:p>
      <w:pPr>
        <w:ind w:left="2" w:right="120" w:firstLine="349"/>
        <w:spacing w:after="0" w:line="274" w:lineRule="auto"/>
        <w:rPr>
          <w:sz w:val="20"/>
          <w:szCs w:val="20"/>
          <w:color w:val="auto"/>
        </w:rPr>
      </w:pPr>
      <w:r>
        <w:rPr>
          <w:rFonts w:ascii="Times New Roman" w:cs="Times New Roman" w:eastAsia="Times New Roman" w:hAnsi="Times New Roman"/>
          <w:sz w:val="19"/>
          <w:szCs w:val="19"/>
          <w:color w:val="auto"/>
        </w:rPr>
        <w:t>On June 8, 2021, the stockholders of the Company approved the 2021 Equity Incentive Plan (“2021 Plan”) and the 2021 Employee Stock Purchase Plan (“2021 ESPP”). As of December 31, 2025, 29,341,567 and 5,518,072 shares were available for grant under the 2021 Plan and 2021 ESPP, respectively.</w:t>
      </w:r>
    </w:p>
    <w:p>
      <w:pPr>
        <w:spacing w:after="0" w:line="118"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2021 Employee Stock Purchase Plan</w:t>
      </w:r>
    </w:p>
    <w:p>
      <w:pPr>
        <w:spacing w:after="0" w:line="196" w:lineRule="exact"/>
        <w:rPr>
          <w:sz w:val="20"/>
          <w:szCs w:val="20"/>
          <w:color w:val="auto"/>
        </w:rPr>
      </w:pPr>
    </w:p>
    <w:p>
      <w:pPr>
        <w:ind w:left="2" w:right="40" w:firstLine="349"/>
        <w:spacing w:after="0" w:line="259" w:lineRule="auto"/>
        <w:rPr>
          <w:sz w:val="20"/>
          <w:szCs w:val="20"/>
          <w:color w:val="auto"/>
        </w:rPr>
      </w:pPr>
      <w:r>
        <w:rPr>
          <w:rFonts w:ascii="Times New Roman" w:cs="Times New Roman" w:eastAsia="Times New Roman" w:hAnsi="Times New Roman"/>
          <w:sz w:val="19"/>
          <w:szCs w:val="19"/>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3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2021 Equity Incentive Plan</w:t>
      </w:r>
    </w:p>
    <w:p>
      <w:pPr>
        <w:spacing w:after="0" w:line="196" w:lineRule="exact"/>
        <w:rPr>
          <w:sz w:val="20"/>
          <w:szCs w:val="20"/>
          <w:color w:val="auto"/>
        </w:rPr>
      </w:pPr>
    </w:p>
    <w:p>
      <w:pPr>
        <w:ind w:left="2" w:right="40" w:firstLine="349"/>
        <w:spacing w:after="0" w:line="259" w:lineRule="auto"/>
        <w:rPr>
          <w:sz w:val="20"/>
          <w:szCs w:val="20"/>
          <w:color w:val="auto"/>
        </w:rPr>
      </w:pPr>
      <w:r>
        <w:rPr>
          <w:rFonts w:ascii="Times New Roman" w:cs="Times New Roman" w:eastAsia="Times New Roman" w:hAnsi="Times New Roman"/>
          <w:sz w:val="19"/>
          <w:szCs w:val="19"/>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 18,672,200 shares, (ii) a number of shares equal to five percent (5%) of the total number of shares of all classes of common stock of the Company outstanding on the last day of the immediately preceding fiscal year, or</w:t>
      </w:r>
    </w:p>
    <w:p>
      <w:pPr>
        <w:spacing w:after="0" w:line="3" w:lineRule="exact"/>
        <w:rPr>
          <w:sz w:val="20"/>
          <w:szCs w:val="20"/>
          <w:color w:val="auto"/>
        </w:rPr>
      </w:pPr>
    </w:p>
    <w:p>
      <w:pPr>
        <w:ind w:left="2" w:right="140" w:hanging="2"/>
        <w:spacing w:after="0" w:line="271" w:lineRule="auto"/>
        <w:tabs>
          <w:tab w:leader="none" w:pos="34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number of shares determined by the Administrator no later than the last day of the immediately preceding fiscal year.</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9082"/>
          </w:cols>
          <w:pgMar w:left="1398" w:top="577" w:right="1400" w:bottom="0" w:gutter="0" w:footer="0" w:header="0"/>
          <w:type w:val="continuous"/>
        </w:sectPr>
      </w:pPr>
    </w:p>
    <w:bookmarkStart w:id="102" w:name="page103"/>
    <w:bookmarkEnd w:id="102"/>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2017 Equity Incentive Plan</w:t>
      </w:r>
    </w:p>
    <w:p>
      <w:pPr>
        <w:spacing w:after="0" w:line="196" w:lineRule="exact"/>
        <w:rPr>
          <w:sz w:val="20"/>
          <w:szCs w:val="20"/>
          <w:color w:val="auto"/>
        </w:rPr>
      </w:pPr>
    </w:p>
    <w:p>
      <w:pPr>
        <w:jc w:val="both"/>
        <w:ind w:right="160" w:firstLine="349"/>
        <w:spacing w:after="0" w:line="274" w:lineRule="auto"/>
        <w:rPr>
          <w:sz w:val="20"/>
          <w:szCs w:val="20"/>
          <w:color w:val="auto"/>
        </w:rPr>
      </w:pPr>
      <w:r>
        <w:rPr>
          <w:rFonts w:ascii="Times New Roman" w:cs="Times New Roman" w:eastAsia="Times New Roman" w:hAnsi="Times New Roman"/>
          <w:sz w:val="19"/>
          <w:szCs w:val="19"/>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Grant Date Fair Value of Stock Options</w:t>
      </w:r>
    </w:p>
    <w:p>
      <w:pPr>
        <w:spacing w:after="0" w:line="196"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5794375" cy="977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8">
                      <a:extLst>
                        <a:ext uri="{28A0092B-C50C-407E-A947-70E740481C1C}"/>
                      </a:extLst>
                    </a:blip>
                    <a:srcRect/>
                    <a:stretch>
                      <a:fillRect/>
                    </a:stretch>
                  </pic:blipFill>
                  <pic:spPr bwMode="auto">
                    <a:xfrm>
                      <a:off x="0" y="0"/>
                      <a:ext cx="5794375" cy="977900"/>
                    </a:xfrm>
                    <a:prstGeom prst="rect">
                      <a:avLst/>
                    </a:prstGeom>
                    <a:noFill/>
                  </pic:spPr>
                </pic:pic>
              </a:graphicData>
            </a:graphic>
          </wp:anchor>
        </w:drawing>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560" w:type="dxa"/>
            <w:vAlign w:val="bottom"/>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6"/>
                <w:szCs w:val="16"/>
                <w:color w:val="auto"/>
              </w:rPr>
            </w:pPr>
          </w:p>
        </w:tc>
        <w:tc>
          <w:tcPr>
            <w:tcW w:w="15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8"/>
        </w:trPr>
        <w:tc>
          <w:tcPr>
            <w:tcW w:w="5860" w:type="dxa"/>
            <w:vAlign w:val="bottom"/>
          </w:tcPr>
          <w:p>
            <w:pPr>
              <w:spacing w:after="0"/>
              <w:rPr>
                <w:sz w:val="18"/>
                <w:szCs w:val="18"/>
                <w:color w:val="auto"/>
              </w:rPr>
            </w:pPr>
          </w:p>
        </w:tc>
        <w:tc>
          <w:tcPr>
            <w:tcW w:w="1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15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4"/>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(in years)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5.3 - 6.0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5.3 - 6.1</w:t>
            </w:r>
          </w:p>
        </w:tc>
      </w:tr>
      <w:tr>
        <w:trPr>
          <w:trHeight w:val="27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97.5% - 103.9%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99.7% - 101.6%</w:t>
            </w:r>
          </w:p>
        </w:tc>
      </w:tr>
      <w:tr>
        <w:trPr>
          <w:trHeight w:val="27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Expected dividend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0.0%</w:t>
            </w:r>
          </w:p>
        </w:tc>
      </w:tr>
      <w:tr>
        <w:trPr>
          <w:trHeight w:val="27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Risk 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 - 4.0%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3.4% - 4.6%</w:t>
            </w:r>
          </w:p>
        </w:tc>
      </w:tr>
    </w:tbl>
    <w:p>
      <w:pPr>
        <w:spacing w:after="0" w:line="185"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21" w:lineRule="exact"/>
        <w:rPr>
          <w:sz w:val="20"/>
          <w:szCs w:val="20"/>
          <w:color w:val="auto"/>
        </w:rPr>
      </w:pPr>
    </w:p>
    <w:p>
      <w:pPr>
        <w:ind w:right="260" w:firstLine="349"/>
        <w:spacing w:after="0" w:line="266" w:lineRule="auto"/>
        <w:rPr>
          <w:sz w:val="20"/>
          <w:szCs w:val="20"/>
          <w:color w:val="auto"/>
        </w:rPr>
      </w:pPr>
      <w:r>
        <w:rPr>
          <w:rFonts w:ascii="Times New Roman" w:cs="Times New Roman" w:eastAsia="Times New Roman" w:hAnsi="Times New Roman"/>
          <w:sz w:val="19"/>
          <w:szCs w:val="19"/>
          <w:color w:val="auto"/>
        </w:rPr>
        <w:t>Expected volatility: Historically, the Company has been a private company and lacked company</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31" w:lineRule="exact"/>
        <w:rPr>
          <w:sz w:val="20"/>
          <w:szCs w:val="20"/>
          <w:color w:val="auto"/>
        </w:rPr>
      </w:pPr>
    </w:p>
    <w:p>
      <w:pPr>
        <w:ind w:right="280" w:firstLine="349"/>
        <w:spacing w:after="0" w:line="293" w:lineRule="auto"/>
        <w:rPr>
          <w:sz w:val="20"/>
          <w:szCs w:val="20"/>
          <w:color w:val="auto"/>
        </w:rPr>
      </w:pPr>
      <w:r>
        <w:rPr>
          <w:rFonts w:ascii="Times New Roman" w:cs="Times New Roman" w:eastAsia="Times New Roman" w:hAnsi="Times New Roman"/>
          <w:sz w:val="19"/>
          <w:szCs w:val="19"/>
          <w:color w:val="auto"/>
        </w:rPr>
        <w:t>Expected dividend yield: The expected dividend rate is zero as the Company has no history or expectation of declaring dividends on its common stock.</w:t>
      </w:r>
    </w:p>
    <w:p>
      <w:pPr>
        <w:spacing w:after="0" w:line="107"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option award activity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5794375" cy="1932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9">
                      <a:extLst>
                        <a:ext uri="{28A0092B-C50C-407E-A947-70E740481C1C}"/>
                      </a:extLst>
                    </a:blip>
                    <a:srcRect/>
                    <a:stretch>
                      <a:fillRect/>
                    </a:stretch>
                  </pic:blipFill>
                  <pic:spPr bwMode="auto">
                    <a:xfrm>
                      <a:off x="0" y="0"/>
                      <a:ext cx="5794375" cy="1932940"/>
                    </a:xfrm>
                    <a:prstGeom prst="rect">
                      <a:avLst/>
                    </a:prstGeom>
                    <a:noFill/>
                  </pic:spPr>
                </pic:pic>
              </a:graphicData>
            </a:graphic>
          </wp:anchor>
        </w:drawing>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Stock</w:t>
            </w:r>
          </w:p>
        </w:tc>
        <w:tc>
          <w:tcPr>
            <w:tcW w:w="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Contractual Life</w:t>
            </w:r>
          </w:p>
        </w:tc>
        <w:tc>
          <w:tcPr>
            <w:tcW w:w="6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Intrinsic Value</w:t>
            </w:r>
          </w:p>
        </w:tc>
        <w:tc>
          <w:tcPr>
            <w:tcW w:w="0" w:type="dxa"/>
            <w:vAlign w:val="bottom"/>
          </w:tcPr>
          <w:p>
            <w:pPr>
              <w:spacing w:after="0"/>
              <w:rPr>
                <w:sz w:val="1"/>
                <w:szCs w:val="1"/>
                <w:color w:val="auto"/>
              </w:rPr>
            </w:pPr>
          </w:p>
        </w:tc>
      </w:tr>
      <w:tr>
        <w:trPr>
          <w:trHeight w:val="208"/>
        </w:trPr>
        <w:tc>
          <w:tcPr>
            <w:tcW w:w="3800" w:type="dxa"/>
            <w:vAlign w:val="bottom"/>
          </w:tcPr>
          <w:p>
            <w:pPr>
              <w:spacing w:after="0"/>
              <w:rPr>
                <w:sz w:val="18"/>
                <w:szCs w:val="18"/>
                <w:color w:val="auto"/>
              </w:rPr>
            </w:pP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0" w:type="dxa"/>
            <w:vAlign w:val="bottom"/>
          </w:tcPr>
          <w:p>
            <w:pPr>
              <w:spacing w:after="0"/>
              <w:rPr>
                <w:sz w:val="1"/>
                <w:szCs w:val="1"/>
                <w:color w:val="auto"/>
              </w:rPr>
            </w:pPr>
          </w:p>
        </w:tc>
      </w:tr>
      <w:tr>
        <w:trPr>
          <w:trHeight w:val="254"/>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as of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16,634,775</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3.57</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3,659,200</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(112,085)</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0.52</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(2,911,020)</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as of December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17,270,870</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5,696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line="211" w:lineRule="exact"/>
              <w:rPr>
                <w:sz w:val="20"/>
                <w:szCs w:val="20"/>
                <w:color w:val="auto"/>
              </w:rPr>
            </w:pPr>
            <w:r>
              <w:rPr>
                <w:rFonts w:ascii="Times New Roman" w:cs="Times New Roman" w:eastAsia="Times New Roman" w:hAnsi="Times New Roman"/>
                <w:sz w:val="19"/>
                <w:szCs w:val="19"/>
                <w:color w:val="auto"/>
              </w:rPr>
              <w:t>Options vested and expected to vest as of</w:t>
            </w: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0" w:type="dxa"/>
            <w:vAlign w:val="bottom"/>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17,270,870</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3.22</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3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December 31, 2025</w:t>
            </w:r>
          </w:p>
        </w:tc>
        <w:tc>
          <w:tcPr>
            <w:tcW w:w="126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Vested and exercisable at December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11,281,386</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As of December 31, 2025, there was $7.7 million of total unrecognized compensation expense expected to be recognized over a weighted average-period of 2.2 years. The total intrinsic value of options exercised during the</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9080"/>
          </w:cols>
          <w:pgMar w:left="1400" w:top="577" w:right="1400" w:bottom="0" w:gutter="0" w:footer="0" w:header="0"/>
          <w:type w:val="continuous"/>
        </w:sectPr>
      </w:pPr>
    </w:p>
    <w:bookmarkStart w:id="103" w:name="page104"/>
    <w:bookmarkEnd w:id="103"/>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60"/>
        <w:spacing w:after="0" w:line="274" w:lineRule="auto"/>
        <w:rPr>
          <w:sz w:val="20"/>
          <w:szCs w:val="20"/>
          <w:color w:val="auto"/>
        </w:rPr>
      </w:pPr>
      <w:r>
        <w:rPr>
          <w:rFonts w:ascii="Times New Roman" w:cs="Times New Roman" w:eastAsia="Times New Roman" w:hAnsi="Times New Roman"/>
          <w:sz w:val="19"/>
          <w:szCs w:val="19"/>
          <w:color w:val="auto"/>
        </w:rPr>
        <w:t>years ended December 31, 2025 and 2024 was $0.1 million and $1.3 million, respectively. Aggregate intrinsic value represents the difference between the fair market value of the common stock and the exercise price of outstanding, in-the-money options.</w:t>
      </w:r>
    </w:p>
    <w:p>
      <w:pPr>
        <w:spacing w:after="0" w:line="125" w:lineRule="exact"/>
        <w:rPr>
          <w:sz w:val="20"/>
          <w:szCs w:val="20"/>
          <w:color w:val="auto"/>
        </w:rPr>
      </w:pPr>
    </w:p>
    <w:p>
      <w:pPr>
        <w:ind w:left="2" w:right="220" w:firstLine="349"/>
        <w:spacing w:after="0" w:line="293" w:lineRule="auto"/>
        <w:rPr>
          <w:sz w:val="20"/>
          <w:szCs w:val="20"/>
          <w:color w:val="auto"/>
        </w:rPr>
      </w:pPr>
      <w:r>
        <w:rPr>
          <w:rFonts w:ascii="Times New Roman" w:cs="Times New Roman" w:eastAsia="Times New Roman" w:hAnsi="Times New Roman"/>
          <w:sz w:val="19"/>
          <w:szCs w:val="19"/>
          <w:color w:val="auto"/>
        </w:rPr>
        <w:t>The weighted-average grant-date fair value of options granted during the years ended December 31, 2025 and 2024 was $0.82 and $2.16 per share, respectively.</w:t>
      </w:r>
    </w:p>
    <w:p>
      <w:pPr>
        <w:spacing w:after="0" w:line="10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196"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following sets forth the total stock-based compensation expense for the Company’s stock options and ESPP included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906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0">
                      <a:extLst>
                        <a:ext uri="{28A0092B-C50C-407E-A947-70E740481C1C}"/>
                      </a:extLst>
                    </a:blip>
                    <a:srcRect/>
                    <a:stretch>
                      <a:fillRect/>
                    </a:stretch>
                  </pic:blipFill>
                  <pic:spPr bwMode="auto">
                    <a:xfrm>
                      <a:off x="0" y="0"/>
                      <a:ext cx="5794375" cy="906780"/>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4,626</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4,154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8,075</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stock-based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702" w:hanging="702"/>
        <w:spacing w:after="0"/>
        <w:tabs>
          <w:tab w:leader="none" w:pos="702"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8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Purchase Commitments</w:t>
      </w:r>
    </w:p>
    <w:p>
      <w:pPr>
        <w:spacing w:after="0" w:line="196" w:lineRule="exact"/>
        <w:rPr>
          <w:sz w:val="20"/>
          <w:szCs w:val="20"/>
          <w:color w:val="auto"/>
        </w:rPr>
      </w:pPr>
    </w:p>
    <w:p>
      <w:pPr>
        <w:ind w:left="2" w:right="200" w:firstLine="349"/>
        <w:spacing w:after="0" w:line="265" w:lineRule="auto"/>
        <w:rPr>
          <w:sz w:val="20"/>
          <w:szCs w:val="20"/>
          <w:color w:val="auto"/>
        </w:rPr>
      </w:pPr>
      <w:r>
        <w:rPr>
          <w:rFonts w:ascii="Times New Roman" w:cs="Times New Roman" w:eastAsia="Times New Roman" w:hAnsi="Times New Roman"/>
          <w:sz w:val="19"/>
          <w:szCs w:val="19"/>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2025 as the Company had not yet received the related goods or services. As of December 31, 2025, the Company had open purchase commitments for goods and services of $1.5 million, of which $1.4 million are expected to be received through the next 12 months.</w:t>
      </w:r>
    </w:p>
    <w:p>
      <w:pPr>
        <w:spacing w:after="0" w:line="12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196" w:lineRule="exact"/>
        <w:rPr>
          <w:sz w:val="20"/>
          <w:szCs w:val="20"/>
          <w:color w:val="auto"/>
        </w:rPr>
      </w:pPr>
    </w:p>
    <w:p>
      <w:pPr>
        <w:ind w:left="2" w:right="20" w:firstLine="349"/>
        <w:spacing w:after="0" w:line="260" w:lineRule="auto"/>
        <w:rPr>
          <w:sz w:val="20"/>
          <w:szCs w:val="20"/>
          <w:color w:val="auto"/>
        </w:rPr>
      </w:pPr>
      <w:r>
        <w:rPr>
          <w:rFonts w:ascii="Times New Roman" w:cs="Times New Roman" w:eastAsia="Times New Roman" w:hAnsi="Times New Roman"/>
          <w:sz w:val="19"/>
          <w:szCs w:val="19"/>
          <w:color w:val="auto"/>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spacing w:after="0" w:line="13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U.S. District Court Proceedings</w:t>
      </w:r>
    </w:p>
    <w:p>
      <w:pPr>
        <w:spacing w:after="0" w:line="191" w:lineRule="exact"/>
        <w:rPr>
          <w:sz w:val="20"/>
          <w:szCs w:val="20"/>
          <w:color w:val="auto"/>
        </w:rPr>
      </w:pPr>
    </w:p>
    <w:p>
      <w:pPr>
        <w:ind w:left="2" w:right="100" w:firstLine="349"/>
        <w:spacing w:after="0" w:line="262" w:lineRule="auto"/>
        <w:rPr>
          <w:sz w:val="20"/>
          <w:szCs w:val="20"/>
          <w:color w:val="auto"/>
        </w:rPr>
      </w:pPr>
      <w:r>
        <w:rPr>
          <w:rFonts w:ascii="Times New Roman" w:cs="Times New Roman" w:eastAsia="Times New Roman" w:hAnsi="Times New Roman"/>
          <w:sz w:val="19"/>
          <w:szCs w:val="19"/>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spacing w:after="0" w:line="12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The Company is obligated under certain non-cancellable operating leases for office space and laboratory space.</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This space includes operating leases in Seattle, Washington, San Carlos, California, and San Diego, California.</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9082"/>
          </w:cols>
          <w:pgMar w:left="1398" w:top="577" w:right="1400" w:bottom="0" w:gutter="0" w:footer="0" w:header="0"/>
          <w:type w:val="continuous"/>
        </w:sectPr>
      </w:pPr>
    </w:p>
    <w:bookmarkStart w:id="104" w:name="page105"/>
    <w:bookmarkEnd w:id="104"/>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Seattle Lease</w:t>
      </w:r>
    </w:p>
    <w:p>
      <w:pPr>
        <w:spacing w:after="0" w:line="191"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In July 2021, the Company entered into a 7-year non-cancellable operating lease, which commenced in August 2021, for office space in Seattle, Washington. Total non-cancellable payments under this lease aggregate $4.5 million through June 2028.</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San Carlos Leases</w:t>
      </w:r>
    </w:p>
    <w:p>
      <w:pPr>
        <w:spacing w:after="0" w:line="191"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auto"/>
        </w:rPr>
        <w:t>In December 2020, the Company entered into a new lease in San Carlos, California for ten years which commenced in October 2021 and expiring in October 2031 with total minimum lease payments of $40.7 million.</w:t>
      </w:r>
    </w:p>
    <w:p>
      <w:pPr>
        <w:spacing w:after="0" w:line="107"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In December 2021, the Company entered into another lease in San Carlos, California for nine years commencing in March 2023. The lease provided the Company the option to terminate the agreement without significant penalty after five years from the commencement date. At lease commencement, the Company concluded it was reasonably certain to exercise the early termination option and determined that the lease term was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spacing w:after="0" w:line="13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In December 2025, the Company revised expectations regarding future space requirements and concluded it was no longer reasonably certain the Company will exercise the early termination option. Based on this determination, the Company remeasured the lease to reflect an updated remaining lease term through October 2031, resulting in an increase to the lease liability and corresponding operating lease right-of-use (“ROU”) asset of approximately $4.2 million as of the remeasurement date. The revised measurement reflects the present value of the remaining fixed lease payments discounted using the Company’s updated incremental borrowing rate. No other significant assumptions were modified as part of the remeasurement.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San Diego Lease</w:t>
      </w:r>
    </w:p>
    <w:p>
      <w:pPr>
        <w:spacing w:after="0" w:line="191"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In November 2022, the Company entered into a lease in San Diego, California for 39 months commencing in December 2022. Total non-cancellable payments under this lease aggregate $2.1 million through March 2026.</w:t>
      </w:r>
    </w:p>
    <w:p>
      <w:pPr>
        <w:spacing w:after="0" w:line="107"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The components of lease costs which were included in operating expenses in the consolidated statements of operations were as follows: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0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Fixed operating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7,233</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Variable operating lease costs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3,411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2,904</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10,137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-575945</wp:posOffset>
            </wp:positionV>
            <wp:extent cx="5794375" cy="582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
                      <a:extLst>
                        <a:ext uri="{28A0092B-C50C-407E-A947-70E740481C1C}"/>
                      </a:extLst>
                    </a:blip>
                    <a:srcRect/>
                    <a:stretch>
                      <a:fillRect/>
                    </a:stretch>
                  </pic:blipFill>
                  <pic:spPr bwMode="auto">
                    <a:xfrm>
                      <a:off x="0" y="0"/>
                      <a:ext cx="5794375" cy="582930"/>
                    </a:xfrm>
                    <a:prstGeom prst="rect">
                      <a:avLst/>
                    </a:prstGeom>
                    <a:noFill/>
                  </pic:spPr>
                </pic:pic>
              </a:graphicData>
            </a:graphic>
          </wp:anchor>
        </w:drawing>
      </w:r>
    </w:p>
    <w:p>
      <w:pPr>
        <w:spacing w:after="0" w:line="162" w:lineRule="exact"/>
        <w:rPr>
          <w:sz w:val="20"/>
          <w:szCs w:val="20"/>
          <w:color w:val="auto"/>
        </w:rPr>
      </w:pPr>
    </w:p>
    <w:p>
      <w:pPr>
        <w:jc w:val="both"/>
        <w:ind w:right="500" w:firstLine="349"/>
        <w:spacing w:after="0" w:line="274" w:lineRule="auto"/>
        <w:rPr>
          <w:sz w:val="20"/>
          <w:szCs w:val="20"/>
          <w:color w:val="auto"/>
        </w:rPr>
      </w:pPr>
      <w:r>
        <w:rPr>
          <w:rFonts w:ascii="Times New Roman" w:cs="Times New Roman" w:eastAsia="Times New Roman" w:hAnsi="Times New Roman"/>
          <w:sz w:val="19"/>
          <w:szCs w:val="19"/>
          <w:color w:val="auto"/>
        </w:rPr>
        <w:t>For the years ended December 31, 2025 and 2024, cash paid for amounts included in the measurement of operating lease liabilities included in cash flows used in operating activities was $7.2 million and $7.0 million, respectively.</w:t>
      </w:r>
    </w:p>
    <w:p>
      <w:pPr>
        <w:spacing w:after="0" w:line="125" w:lineRule="exact"/>
        <w:rPr>
          <w:sz w:val="20"/>
          <w:szCs w:val="20"/>
          <w:color w:val="auto"/>
        </w:rPr>
      </w:pPr>
    </w:p>
    <w:p>
      <w:pPr>
        <w:ind w:right="220" w:firstLine="349"/>
        <w:spacing w:after="0" w:line="293" w:lineRule="auto"/>
        <w:rPr>
          <w:sz w:val="20"/>
          <w:szCs w:val="20"/>
          <w:color w:val="auto"/>
        </w:rPr>
      </w:pPr>
      <w:r>
        <w:rPr>
          <w:rFonts w:ascii="Times New Roman" w:cs="Times New Roman" w:eastAsia="Times New Roman" w:hAnsi="Times New Roman"/>
          <w:sz w:val="19"/>
          <w:szCs w:val="19"/>
          <w:color w:val="auto"/>
        </w:rPr>
        <w:t>As of December 31, 2025, the weighted-average remaining lease term and weighted-average discount rate for operating leases was 5.6 years and 9.0%, respectively.</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9080"/>
          </w:cols>
          <w:pgMar w:left="1400" w:top="577" w:right="1400" w:bottom="0" w:gutter="0" w:footer="0" w:header="0"/>
          <w:type w:val="continuous"/>
        </w:sectPr>
      </w:pPr>
    </w:p>
    <w:bookmarkStart w:id="105" w:name="page106"/>
    <w:bookmarkEnd w:id="105"/>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46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Company's future principal contractual obligations for operating lease commitments as of December 31, 2025:</w:t>
      </w:r>
    </w:p>
    <w:p>
      <w:pPr>
        <w:spacing w:after="0" w:line="180" w:lineRule="exact"/>
        <w:rPr>
          <w:sz w:val="20"/>
          <w:szCs w:val="20"/>
          <w:color w:val="auto"/>
        </w:rPr>
      </w:pPr>
    </w:p>
    <w:tbl>
      <w:tblPr>
        <w:tblLayout w:type="fixed"/>
        <w:tblInd w:w="42" w:type="dxa"/>
        <w:tblCellMar>
          <w:top w:w="0" w:type="dxa"/>
          <w:left w:w="0" w:type="dxa"/>
          <w:bottom w:w="0" w:type="dxa"/>
          <w:right w:w="0" w:type="dxa"/>
        </w:tblCellMar>
      </w:tblP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106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2026</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6,264</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6,889</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6,540</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6,310</w:t>
            </w:r>
          </w:p>
        </w:tc>
        <w:tc>
          <w:tcPr>
            <w:tcW w:w="0" w:type="dxa"/>
            <w:vAlign w:val="bottom"/>
          </w:tcPr>
          <w:p>
            <w:pPr>
              <w:spacing w:after="0"/>
              <w:rPr>
                <w:sz w:val="1"/>
                <w:szCs w:val="1"/>
                <w:color w:val="auto"/>
              </w:rPr>
            </w:pPr>
          </w:p>
        </w:tc>
      </w:tr>
      <w:tr>
        <w:trPr>
          <w:trHeight w:val="279"/>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2030 and thereafter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12,230</w:t>
            </w: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Total future minimum lease payments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38,233</w:t>
            </w:r>
          </w:p>
        </w:tc>
        <w:tc>
          <w:tcPr>
            <w:tcW w:w="0" w:type="dxa"/>
            <w:vAlign w:val="bottom"/>
          </w:tcPr>
          <w:p>
            <w:pPr>
              <w:spacing w:after="0"/>
              <w:rPr>
                <w:sz w:val="1"/>
                <w:szCs w:val="1"/>
                <w:color w:val="auto"/>
              </w:rPr>
            </w:pPr>
          </w:p>
        </w:tc>
      </w:tr>
      <w:tr>
        <w:trPr>
          <w:trHeight w:val="279"/>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Less: Imputed interest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(8,214)</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30,019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-1685290</wp:posOffset>
            </wp:positionV>
            <wp:extent cx="5794375" cy="1692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2">
                      <a:extLst>
                        <a:ext uri="{28A0092B-C50C-407E-A947-70E740481C1C}"/>
                      </a:extLst>
                    </a:blip>
                    <a:srcRect/>
                    <a:stretch>
                      <a:fillRect/>
                    </a:stretch>
                  </pic:blipFill>
                  <pic:spPr bwMode="auto">
                    <a:xfrm>
                      <a:off x="0" y="0"/>
                      <a:ext cx="5794375" cy="1692275"/>
                    </a:xfrm>
                    <a:prstGeom prst="rect">
                      <a:avLst/>
                    </a:prstGeom>
                    <a:noFill/>
                  </pic:spPr>
                </pic:pic>
              </a:graphicData>
            </a:graphic>
          </wp:anchor>
        </w:drawing>
      </w:r>
    </w:p>
    <w:p>
      <w:pPr>
        <w:spacing w:after="0" w:line="123" w:lineRule="exact"/>
        <w:rPr>
          <w:sz w:val="20"/>
          <w:szCs w:val="20"/>
          <w:color w:val="auto"/>
        </w:rPr>
      </w:pPr>
    </w:p>
    <w:p>
      <w:pPr>
        <w:ind w:left="2" w:right="60"/>
        <w:spacing w:after="0" w:line="293" w:lineRule="auto"/>
        <w:rPr>
          <w:sz w:val="20"/>
          <w:szCs w:val="20"/>
          <w:color w:val="auto"/>
        </w:rPr>
      </w:pPr>
      <w:r>
        <w:rPr>
          <w:rFonts w:ascii="Times New Roman" w:cs="Times New Roman" w:eastAsia="Times New Roman" w:hAnsi="Times New Roman"/>
          <w:sz w:val="19"/>
          <w:szCs w:val="19"/>
          <w:color w:val="auto"/>
        </w:rPr>
        <w:t>The Company has $1.0 million in cash-collateralized letters of credit with one financial institution in lieu of security deposits in connection with the San Carlos and San Diego lease agreement.</w:t>
      </w:r>
    </w:p>
    <w:p>
      <w:pPr>
        <w:spacing w:after="0" w:line="10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196" w:lineRule="exact"/>
        <w:rPr>
          <w:sz w:val="20"/>
          <w:szCs w:val="20"/>
          <w:color w:val="auto"/>
        </w:rPr>
      </w:pPr>
    </w:p>
    <w:p>
      <w:pPr>
        <w:ind w:left="2" w:right="80" w:firstLine="349"/>
        <w:spacing w:after="0" w:line="262" w:lineRule="auto"/>
        <w:rPr>
          <w:sz w:val="20"/>
          <w:szCs w:val="20"/>
          <w:color w:val="auto"/>
        </w:rPr>
      </w:pPr>
      <w:r>
        <w:rPr>
          <w:rFonts w:ascii="Times New Roman" w:cs="Times New Roman" w:eastAsia="Times New Roman" w:hAnsi="Times New Roman"/>
          <w:sz w:val="19"/>
          <w:szCs w:val="19"/>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36" w:lineRule="exact"/>
        <w:rPr>
          <w:sz w:val="20"/>
          <w:szCs w:val="20"/>
          <w:color w:val="auto"/>
        </w:rPr>
      </w:pPr>
    </w:p>
    <w:p>
      <w:pPr>
        <w:ind w:left="2" w:right="120" w:firstLine="349"/>
        <w:spacing w:after="0" w:line="263" w:lineRule="auto"/>
        <w:rPr>
          <w:sz w:val="20"/>
          <w:szCs w:val="20"/>
          <w:color w:val="auto"/>
        </w:rPr>
      </w:pPr>
      <w:r>
        <w:rPr>
          <w:rFonts w:ascii="Times New Roman" w:cs="Times New Roman" w:eastAsia="Times New Roman" w:hAnsi="Times New Roman"/>
          <w:sz w:val="19"/>
          <w:szCs w:val="19"/>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52" w:lineRule="exact"/>
        <w:rPr>
          <w:sz w:val="20"/>
          <w:szCs w:val="20"/>
          <w:color w:val="auto"/>
        </w:rPr>
      </w:pPr>
    </w:p>
    <w:p>
      <w:pPr>
        <w:ind w:left="702" w:hanging="702"/>
        <w:spacing w:after="0"/>
        <w:tabs>
          <w:tab w:leader="none" w:pos="702"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Basic and Diluted Net Loss per Share</w:t>
      </w:r>
    </w:p>
    <w:p>
      <w:pPr>
        <w:spacing w:after="0" w:line="196"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tables set forth the computation of the Company’s basic and diluted net loss per share attributable to common stockholders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13690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3">
                      <a:extLst>
                        <a:ext uri="{28A0092B-C50C-407E-A947-70E740481C1C}"/>
                      </a:extLst>
                    </a:blip>
                    <a:srcRect/>
                    <a:stretch>
                      <a:fillRect/>
                    </a:stretch>
                  </pic:blipFill>
                  <pic:spPr bwMode="auto">
                    <a:xfrm>
                      <a:off x="0" y="0"/>
                      <a:ext cx="5794375" cy="1369060"/>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60" w:type="dxa"/>
            <w:vAlign w:val="bottom"/>
          </w:tcPr>
          <w:p>
            <w:pPr>
              <w:spacing w:after="0"/>
              <w:rPr>
                <w:sz w:val="13"/>
                <w:szCs w:val="13"/>
                <w:color w:val="auto"/>
              </w:rPr>
            </w:pPr>
          </w:p>
        </w:tc>
        <w:tc>
          <w:tcPr>
            <w:tcW w:w="112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Numerator:</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Denominator:</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4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Weighted average shares used in computing net loss per share attributable to</w:t>
            </w: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126,256,583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125,426,509</w:t>
            </w:r>
          </w:p>
        </w:tc>
        <w:tc>
          <w:tcPr>
            <w:tcW w:w="0" w:type="dxa"/>
            <w:vAlign w:val="bottom"/>
          </w:tcPr>
          <w:p>
            <w:pPr>
              <w:spacing w:after="0"/>
              <w:rPr>
                <w:sz w:val="1"/>
                <w:szCs w:val="1"/>
                <w:color w:val="auto"/>
              </w:rPr>
            </w:pPr>
          </w:p>
        </w:tc>
      </w:tr>
      <w:tr>
        <w:trPr>
          <w:trHeight w:val="255"/>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common stockholders, basic and diluted</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9082"/>
          </w:cols>
          <w:pgMar w:left="1398" w:top="577" w:right="1400" w:bottom="0" w:gutter="0" w:footer="0" w:header="0"/>
          <w:type w:val="continuous"/>
        </w:sectPr>
      </w:pPr>
    </w:p>
    <w:bookmarkStart w:id="106" w:name="page107"/>
    <w:bookmarkEnd w:id="106"/>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700" w:firstLine="349"/>
        <w:spacing w:after="0" w:line="274" w:lineRule="auto"/>
        <w:rPr>
          <w:sz w:val="20"/>
          <w:szCs w:val="20"/>
          <w:color w:val="auto"/>
        </w:rPr>
      </w:pPr>
      <w:r>
        <w:rPr>
          <w:rFonts w:ascii="Times New Roman" w:cs="Times New Roman" w:eastAsia="Times New Roman" w:hAnsi="Times New Roman"/>
          <w:sz w:val="19"/>
          <w:szCs w:val="19"/>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5794375" cy="9067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4">
                      <a:extLst>
                        <a:ext uri="{28A0092B-C50C-407E-A947-70E740481C1C}"/>
                      </a:extLst>
                    </a:blip>
                    <a:srcRect/>
                    <a:stretch>
                      <a:fillRect/>
                    </a:stretch>
                  </pic:blipFill>
                  <pic:spPr bwMode="auto">
                    <a:xfrm>
                      <a:off x="0" y="0"/>
                      <a:ext cx="5794375" cy="906780"/>
                    </a:xfrm>
                    <a:prstGeom prst="rect">
                      <a:avLst/>
                    </a:prstGeom>
                    <a:noFill/>
                  </pic:spPr>
                </pic:pic>
              </a:graphicData>
            </a:graphic>
          </wp:anchor>
        </w:drawing>
      </w:r>
    </w:p>
    <w:p>
      <w:pPr>
        <w:spacing w:after="0" w:line="147"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55"/>
        </w:trPr>
        <w:tc>
          <w:tcPr>
            <w:tcW w:w="646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8"/>
        </w:trPr>
        <w:tc>
          <w:tcPr>
            <w:tcW w:w="64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Options to purchase common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17,270,870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16,634,775</w:t>
            </w: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Employee stock purchase plan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92,350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144,928</w:t>
            </w: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potentially dilutive common share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17,363,220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16,779,703</w:t>
            </w:r>
          </w:p>
        </w:tc>
      </w:tr>
      <w:tr>
        <w:trPr>
          <w:trHeight w:val="20"/>
        </w:trPr>
        <w:tc>
          <w:tcPr>
            <w:tcW w:w="64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702" w:hanging="702"/>
        <w:spacing w:after="0"/>
        <w:tabs>
          <w:tab w:leader="none" w:pos="702"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Segment Information</w:t>
      </w:r>
    </w:p>
    <w:p>
      <w:pPr>
        <w:spacing w:after="0" w:line="196" w:lineRule="exact"/>
        <w:rPr>
          <w:sz w:val="20"/>
          <w:szCs w:val="20"/>
          <w:color w:val="auto"/>
        </w:rPr>
      </w:pPr>
    </w:p>
    <w:p>
      <w:pPr>
        <w:ind w:left="2" w:right="380" w:firstLine="349"/>
        <w:spacing w:after="0" w:line="268" w:lineRule="auto"/>
        <w:rPr>
          <w:sz w:val="20"/>
          <w:szCs w:val="20"/>
          <w:color w:val="auto"/>
        </w:rPr>
      </w:pPr>
      <w:r>
        <w:rPr>
          <w:rFonts w:ascii="Times New Roman" w:cs="Times New Roman" w:eastAsia="Times New Roman" w:hAnsi="Times New Roman"/>
          <w:sz w:val="19"/>
          <w:szCs w:val="19"/>
          <w:color w:val="auto"/>
        </w:rPr>
        <w:t>The Company’s Chief Executive Officer is its CODM. The Company’s CODM uses consolidated net loss in assessing operating decisions, allocating resources and evaluating financial performance. Consolidated net loss is used to monitor budget versus actual results. The Company identified the following significant segment expenses for its single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5794375" cy="25063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5">
                      <a:extLst>
                        <a:ext uri="{28A0092B-C50C-407E-A947-70E740481C1C}"/>
                      </a:extLst>
                    </a:blip>
                    <a:srcRect/>
                    <a:stretch>
                      <a:fillRect/>
                    </a:stretch>
                  </pic:blipFill>
                  <pic:spPr bwMode="auto">
                    <a:xfrm>
                      <a:off x="0" y="0"/>
                      <a:ext cx="5794375" cy="2506345"/>
                    </a:xfrm>
                    <a:prstGeom prst="rect">
                      <a:avLst/>
                    </a:prstGeom>
                    <a:noFill/>
                  </pic:spPr>
                </pic:pic>
              </a:graphicData>
            </a:graphic>
          </wp:anchor>
        </w:drawing>
      </w:r>
    </w:p>
    <w:tbl>
      <w:tblPr>
        <w:tblLayout w:type="fixed"/>
        <w:tblInd w:w="42" w:type="dxa"/>
        <w:tblCellMar>
          <w:top w:w="0" w:type="dxa"/>
          <w:left w:w="0" w:type="dxa"/>
          <w:bottom w:w="0" w:type="dxa"/>
          <w:right w:w="0" w:type="dxa"/>
        </w:tblCellMar>
      </w:tblPr>
      <w:tr>
        <w:trPr>
          <w:trHeight w:val="182"/>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68"/>
              <w:spacing w:after="0" w:line="182"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8"/>
              <w:spacing w:after="0" w:line="182"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Significant segment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Payroll-related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33,502</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Professional services and laboratory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17,716</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Facilities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10,902</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line="280" w:lineRule="exact"/>
              <w:rPr>
                <w:sz w:val="20"/>
                <w:szCs w:val="20"/>
                <w:color w:val="auto"/>
              </w:rPr>
            </w:pPr>
            <w:r>
              <w:rPr>
                <w:rFonts w:ascii="Times New Roman" w:cs="Times New Roman" w:eastAsia="Times New Roman" w:hAnsi="Times New Roman"/>
                <w:sz w:val="19"/>
                <w:szCs w:val="19"/>
                <w:color w:val="auto"/>
              </w:rPr>
              <w:t xml:space="preserve">Other segment items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5,568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6,655</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operating expenses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66,837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81,476</w:t>
            </w:r>
          </w:p>
        </w:tc>
        <w:tc>
          <w:tcPr>
            <w:tcW w:w="0" w:type="dxa"/>
            <w:vAlign w:val="bottom"/>
          </w:tcPr>
          <w:p>
            <w:pPr>
              <w:spacing w:after="0"/>
              <w:rPr>
                <w:sz w:val="1"/>
                <w:szCs w:val="1"/>
                <w:color w:val="auto"/>
              </w:rPr>
            </w:pPr>
          </w:p>
        </w:tc>
      </w:tr>
      <w:tr>
        <w:trPr>
          <w:trHeight w:val="582"/>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Reconciliation to net loss: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Interest income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(10,780)</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Other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6"/>
          <w:szCs w:val="16"/>
          <w:color w:val="auto"/>
        </w:rPr>
        <w:t>Footnotes:</w:t>
      </w:r>
    </w:p>
    <w:p>
      <w:pPr>
        <w:spacing w:after="0" w:line="66" w:lineRule="exact"/>
        <w:rPr>
          <w:sz w:val="20"/>
          <w:szCs w:val="20"/>
          <w:color w:val="auto"/>
        </w:rPr>
      </w:pPr>
    </w:p>
    <w:p>
      <w:pPr>
        <w:ind w:left="442" w:hanging="318"/>
        <w:spacing w:after="0" w:line="233" w:lineRule="auto"/>
        <w:tabs>
          <w:tab w:leader="none" w:pos="44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the Company’s single reportable segment include travel and entertainment, insurance, tax, expensed computer hardware and software, depreciation, and other miscellaneous expenses.</w:t>
      </w:r>
    </w:p>
    <w:p>
      <w:pPr>
        <w:sectPr>
          <w:pgSz w:w="11880" w:h="15480" w:orient="portrait"/>
          <w:cols w:equalWidth="0" w:num="1">
            <w:col w:w="9442"/>
          </w:cols>
          <w:pgMar w:left="1398" w:top="5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8"/>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9442"/>
          </w:cols>
          <w:pgMar w:left="1398" w:top="577" w:right="104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Evaluation of Disclosure Controls and Procedures</w:t>
      </w:r>
    </w:p>
    <w:p>
      <w:pPr>
        <w:spacing w:after="0" w:line="196"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Management’s Report on Internal Control Over Financial Reporting</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136"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This Annual Report on Form 10-K does not include an attestation report of our independent registered public accounting firm on our internal control over financial reporting as required by Section 404(b) of the Sarbanes-Oxley Act of 2002. Because we are a non-accelerated filer under the SEC rules, the Company’s independent registered public accounting firm is not required to issue such an attestation report.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Changes in Internal Control over Financial Reporting</w:t>
      </w:r>
    </w:p>
    <w:p>
      <w:pPr>
        <w:spacing w:after="0" w:line="193"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There was no change in our internal control over financial reporting identified in connection with the evaluation required by Rule 13a-15(d) and 15d-15(d) of the Securities Exchange Act of 1934 that occurred during the quarter ended December 31, 2025, that has materially affected, or is reasonably likely to materially affect, our internal control over financial reporting.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Inherent Limitations on Effectiveness of Controls</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96" w:lineRule="exact"/>
        <w:rPr>
          <w:sz w:val="20"/>
          <w:szCs w:val="20"/>
          <w:color w:val="auto"/>
        </w:rPr>
      </w:pPr>
    </w:p>
    <w:p>
      <w:pPr>
        <w:ind w:right="480" w:firstLine="243"/>
        <w:spacing w:after="0" w:line="293" w:lineRule="auto"/>
        <w:rPr>
          <w:sz w:val="20"/>
          <w:szCs w:val="20"/>
          <w:color w:val="auto"/>
        </w:rPr>
      </w:pPr>
      <w:r>
        <w:rPr>
          <w:rFonts w:ascii="Times New Roman" w:cs="Times New Roman" w:eastAsia="Times New Roman" w:hAnsi="Times New Roman"/>
          <w:sz w:val="19"/>
          <w:szCs w:val="19"/>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10480"/>
          </w:cols>
          <w:pgMar w:left="700" w:top="68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10480"/>
          </w:cols>
          <w:pgMar w:left="700" w:top="687" w:right="700" w:bottom="0" w:gutter="0" w:footer="0" w:header="0"/>
          <w:type w:val="continuous"/>
        </w:sectPr>
      </w:pPr>
    </w:p>
    <w:bookmarkStart w:id="108" w:name="page109"/>
    <w:bookmarkEnd w:id="108"/>
    <w:p>
      <w:pPr>
        <w:ind w:left="4860"/>
        <w:spacing w:after="0"/>
        <w:rPr>
          <w:sz w:val="20"/>
          <w:szCs w:val="20"/>
          <w:color w:val="auto"/>
        </w:rPr>
      </w:pPr>
      <w:r>
        <w:rPr>
          <w:rFonts w:ascii="Times New Roman" w:cs="Times New Roman" w:eastAsia="Times New Roman" w:hAnsi="Times New Roman"/>
          <w:sz w:val="23"/>
          <w:szCs w:val="23"/>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96"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The information called for by this item will be set forth in our Proxy Statement for the Annual Meeting of Stockholders to be filed with the SEC within 120 days of the fiscal year ended December 31, 2025 (the “Proxy Statement”) and is incorporated herein by reference.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Code of Business Conduct and Ethics</w:t>
      </w:r>
    </w:p>
    <w:p>
      <w:pPr>
        <w:spacing w:after="0" w:line="191"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Our board of directors has adopted a Code of Business Conduct and Ethics applicable to all employees, officers and directors of the Company. The full text of our Code of Business Conduct and Ethics is posted on our investors relations website at https:// investors.nautilus.bio/. We will post any amendments to our Code of Business Conduct and Ethics, or waivers of its requirements, on our website.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 and Management and Related Stockholder Matters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ectPr>
          <w:pgSz w:w="11880" w:h="15480" w:orient="portrait"/>
          <w:cols w:equalWidth="0" w:num="1">
            <w:col w:w="10460"/>
          </w:cols>
          <w:pgMar w:left="700" w:top="67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ectPr>
          <w:pgSz w:w="11880" w:h="15480" w:orient="portrait"/>
          <w:cols w:equalWidth="0" w:num="1">
            <w:col w:w="10460"/>
          </w:cols>
          <w:pgMar w:left="700" w:top="671" w:right="72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3"/>
          <w:szCs w:val="23"/>
          <w:b w:val="1"/>
          <w:bCs w:val="1"/>
          <w:color w:val="auto"/>
        </w:rPr>
        <w:t>Part IV</w:t>
      </w:r>
    </w:p>
    <w:p>
      <w:pPr>
        <w:spacing w:after="0" w:line="21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(a) 1. Financial Statements</w:t>
      </w:r>
    </w:p>
    <w:p>
      <w:pPr>
        <w:spacing w:after="0" w:line="191" w:lineRule="exact"/>
        <w:rPr>
          <w:sz w:val="20"/>
          <w:szCs w:val="20"/>
          <w:color w:val="auto"/>
        </w:rPr>
      </w:pPr>
    </w:p>
    <w:p>
      <w:pPr>
        <w:ind w:left="1" w:firstLine="349"/>
        <w:spacing w:after="0" w:line="293" w:lineRule="auto"/>
        <w:rPr>
          <w:sz w:val="20"/>
          <w:szCs w:val="20"/>
          <w:color w:val="auto"/>
        </w:rPr>
      </w:pPr>
      <w:r>
        <w:rPr>
          <w:rFonts w:ascii="Times New Roman" w:cs="Times New Roman" w:eastAsia="Times New Roman" w:hAnsi="Times New Roman"/>
          <w:sz w:val="19"/>
          <w:szCs w:val="19"/>
          <w:color w:val="auto"/>
        </w:rPr>
        <w:t>See Index to consolidated financial statements in Part II, Item 8 of this Annual Report on Form 10-K, which is incorporated herein by reference.</w:t>
      </w:r>
    </w:p>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2. Financial Statement Schedules</w:t>
      </w:r>
    </w:p>
    <w:p>
      <w:pPr>
        <w:spacing w:after="0" w:line="191" w:lineRule="exact"/>
        <w:rPr>
          <w:sz w:val="20"/>
          <w:szCs w:val="20"/>
          <w:color w:val="auto"/>
        </w:rPr>
      </w:pPr>
    </w:p>
    <w:p>
      <w:pPr>
        <w:ind w:left="1" w:right="40" w:firstLine="349"/>
        <w:spacing w:after="0" w:line="293" w:lineRule="auto"/>
        <w:rPr>
          <w:sz w:val="20"/>
          <w:szCs w:val="20"/>
          <w:color w:val="auto"/>
        </w:rPr>
      </w:pPr>
      <w:r>
        <w:rPr>
          <w:rFonts w:ascii="Times New Roman" w:cs="Times New Roman" w:eastAsia="Times New Roman" w:hAnsi="Times New Roman"/>
          <w:sz w:val="19"/>
          <w:szCs w:val="19"/>
          <w:color w:val="auto"/>
        </w:rPr>
        <w:t>All financial statement schedules have been omitted because they are either not applicable or the required information is shown in the consolidated financial statements or notes thereto.</w:t>
      </w:r>
    </w:p>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3. Exhibits</w:t>
      </w:r>
    </w:p>
    <w:p>
      <w:pPr>
        <w:spacing w:after="0" w:line="191" w:lineRule="exact"/>
        <w:rPr>
          <w:sz w:val="20"/>
          <w:szCs w:val="20"/>
          <w:color w:val="auto"/>
        </w:rPr>
      </w:pPr>
    </w:p>
    <w:p>
      <w:pPr>
        <w:ind w:left="341"/>
        <w:spacing w:after="0"/>
        <w:rPr>
          <w:sz w:val="20"/>
          <w:szCs w:val="20"/>
          <w:color w:val="auto"/>
        </w:rPr>
      </w:pPr>
      <w:r>
        <w:rPr>
          <w:rFonts w:ascii="Times New Roman" w:cs="Times New Roman" w:eastAsia="Times New Roman" w:hAnsi="Times New Roman"/>
          <w:sz w:val="19"/>
          <w:szCs w:val="19"/>
          <w:color w:val="auto"/>
        </w:rPr>
        <w:t>See the Exhibit Index which precedes the signature page of this Annual Report, which is incorporated herein by reference.</w:t>
      </w:r>
    </w:p>
    <w:p>
      <w:pPr>
        <w:spacing w:after="0" w:line="1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(b) Exhibits</w:t>
      </w:r>
    </w:p>
    <w:p>
      <w:pPr>
        <w:spacing w:after="0" w:line="191" w:lineRule="exact"/>
        <w:rPr>
          <w:sz w:val="20"/>
          <w:szCs w:val="20"/>
          <w:color w:val="auto"/>
        </w:rPr>
      </w:pPr>
    </w:p>
    <w:p>
      <w:pPr>
        <w:ind w:left="341"/>
        <w:spacing w:after="0"/>
        <w:rPr>
          <w:sz w:val="20"/>
          <w:szCs w:val="20"/>
          <w:color w:val="auto"/>
        </w:rPr>
      </w:pPr>
      <w:r>
        <w:rPr>
          <w:rFonts w:ascii="Times New Roman" w:cs="Times New Roman" w:eastAsia="Times New Roman" w:hAnsi="Times New Roman"/>
          <w:sz w:val="19"/>
          <w:szCs w:val="19"/>
          <w:color w:val="auto"/>
        </w:rPr>
        <w:t>See Item 15(a)(3) above.</w:t>
      </w:r>
    </w:p>
    <w:p>
      <w:pPr>
        <w:spacing w:after="0" w:line="187" w:lineRule="exact"/>
        <w:rPr>
          <w:sz w:val="20"/>
          <w:szCs w:val="20"/>
          <w:color w:val="auto"/>
        </w:rPr>
      </w:pPr>
    </w:p>
    <w:p>
      <w:pPr>
        <w:ind w:left="341" w:right="7820" w:hanging="341"/>
        <w:spacing w:after="0" w:line="528" w:lineRule="auto"/>
        <w:tabs>
          <w:tab w:leader="none" w:pos="256"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See Item 15(a)(2) above.</w:t>
      </w:r>
    </w:p>
    <w:p>
      <w:pPr>
        <w:sectPr>
          <w:pgSz w:w="11880" w:h="15480" w:orient="portrait"/>
          <w:cols w:equalWidth="0" w:num="1">
            <w:col w:w="10481"/>
          </w:cols>
          <w:pgMar w:left="699" w:top="67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10481"/>
          </w:cols>
          <w:pgMar w:left="699" w:top="671" w:right="70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6"/>
                <w:szCs w:val="16"/>
                <w:color w:val="auto"/>
              </w:rPr>
            </w:pPr>
          </w:p>
        </w:tc>
        <w:tc>
          <w:tcPr>
            <w:tcW w:w="9480" w:type="dxa"/>
            <w:vAlign w:val="bottom"/>
          </w:tcPr>
          <w:p>
            <w:pPr>
              <w:spacing w:after="0"/>
              <w:rPr>
                <w:sz w:val="16"/>
                <w:szCs w:val="16"/>
                <w:color w:val="auto"/>
              </w:rPr>
            </w:pPr>
          </w:p>
        </w:tc>
      </w:tr>
      <w:tr>
        <w:trPr>
          <w:trHeight w:val="227"/>
        </w:trPr>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9"/>
                <w:szCs w:val="19"/>
                <w:color w:val="auto"/>
              </w:rPr>
            </w:pPr>
          </w:p>
        </w:tc>
        <w:tc>
          <w:tcPr>
            <w:tcW w:w="9480" w:type="dxa"/>
            <w:vAlign w:val="bottom"/>
            <w:tcBorders>
              <w:bottom w:val="single" w:sz="8" w:color="auto"/>
            </w:tcBorders>
          </w:tcPr>
          <w:p>
            <w:pPr>
              <w:ind w:left="4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780" w:type="dxa"/>
            <w:vAlign w:val="bottom"/>
          </w:tcPr>
          <w:p>
            <w:pPr>
              <w:ind w:left="40"/>
              <w:spacing w:after="0" w:line="186" w:lineRule="exact"/>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16"/>
                <w:szCs w:val="16"/>
                <w:color w:val="auto"/>
              </w:rPr>
            </w:pPr>
          </w:p>
        </w:tc>
        <w:tc>
          <w:tcPr>
            <w:tcW w:w="9480" w:type="dxa"/>
            <w:vAlign w:val="bottom"/>
          </w:tcPr>
          <w:p>
            <w:pPr>
              <w:ind w:left="60"/>
              <w:spacing w:after="0" w:line="186" w:lineRule="exact"/>
              <w:rPr>
                <w:sz w:val="20"/>
                <w:szCs w:val="20"/>
                <w:color w:val="auto"/>
              </w:rPr>
            </w:pPr>
            <w:r>
              <w:rPr>
                <w:rFonts w:ascii="Times New Roman" w:cs="Times New Roman" w:eastAsia="Times New Roman" w:hAnsi="Times New Roman"/>
                <w:sz w:val="19"/>
                <w:szCs w:val="19"/>
                <w:color w:val="auto"/>
              </w:rPr>
              <w:t>Business Combination Agreement, dated as of February 7, 2021, by and among ARYA Sciences Acquisition Corp III,</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Mako Merger Sub, Inc., and Nautilus Biotechnology, Inc. (incorporated by reference to Exhibit 2.1 to the Company’s</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Report on Form 8-K filed with the SEC on February 8,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Certificate of Incorporation of Nautilus Biotechnology, Inc. (incorporated by reference to Exhibit 3.1 to the Company’s</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Report on Form 8-K filed with the SEC on June 10,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Amended and Restated Bylaws of Nautilus Biotechnology, Inc. (incorporated by reference to Exhibit 3.2 to the</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Company’s Quarterly Report on Form 10-Q filed with the SEC on August 2, 2023).</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Specimen Common Stock Certificate (incorporated by reference to Exhibit 4.1 to the Company’s Current Report on</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Form 8-K filed with the SEC on June 10, 2021).</w:t>
            </w:r>
          </w:p>
        </w:tc>
      </w:tr>
      <w:tr>
        <w:trPr>
          <w:trHeight w:val="227"/>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9"/>
                <w:szCs w:val="19"/>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Description of Securities (incorporated by reference to Exhibit 4.2 to the Company’s Annual Report on Form 10-K filed</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with the SEC on February 23, 2023).</w:t>
            </w:r>
          </w:p>
        </w:tc>
      </w:tr>
      <w:tr>
        <w:trPr>
          <w:trHeight w:val="199"/>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17"/>
                <w:szCs w:val="17"/>
                <w:color w:val="auto"/>
              </w:rPr>
            </w:pPr>
          </w:p>
        </w:tc>
        <w:tc>
          <w:tcPr>
            <w:tcW w:w="9480" w:type="dxa"/>
            <w:vAlign w:val="bottom"/>
          </w:tcPr>
          <w:p>
            <w:pPr>
              <w:ind w:left="60"/>
              <w:spacing w:after="0" w:line="199" w:lineRule="exact"/>
              <w:rPr>
                <w:sz w:val="20"/>
                <w:szCs w:val="20"/>
                <w:color w:val="auto"/>
              </w:rPr>
            </w:pPr>
            <w:r>
              <w:rPr>
                <w:rFonts w:ascii="Times New Roman" w:cs="Times New Roman" w:eastAsia="Times New Roman" w:hAnsi="Times New Roman"/>
                <w:sz w:val="19"/>
                <w:szCs w:val="19"/>
                <w:color w:val="auto"/>
              </w:rPr>
              <w:t>Form of Subscription Agreement (incorporated by reference to Exhibit 10.3 to the Company’s Current Report on Form</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8-K filed with the SEC on February 8,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Form of Amended and Restated Registration Rights and Lock-Up Agreement (incorporated by reference to Exhibit 10.2</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 the Company’s Current Report on Form 8-K filed with the SEC on February 8,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Amendment No. 1 to Amended and Restated Registration Rights and Lock-Up Agreement (incorporated by reference to</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Exhibit 10.3 to the Company’s Annual Report on Form 10-K filed with the SEC on February 28, 2024).</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Nautilus Biotechnology, Inc. 2021 Equity Incentive Plan (incorporated by reference to Exhibit 10.4 to the Company’s</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Report on Form 8-K filed with the SEC on June 10,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10.5+</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Nautilus Biotechnology, Inc. 2021 Employee Stock Purchase Plan (incorporated by reference to Exhibit 10.5 to the</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June 10,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Form of Stock Option Agreement under the Nautilus Biotechnology, Inc. 2021 Equity Incentive Plan (incorporated by</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reference to Exhibit 10.7 to the Company’s Form S-4 filed with the SEC on March 26, 2021).</w:t>
            </w:r>
          </w:p>
        </w:tc>
      </w:tr>
      <w:tr>
        <w:trPr>
          <w:trHeight w:val="227"/>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10.7+</w:t>
            </w:r>
          </w:p>
        </w:tc>
        <w:tc>
          <w:tcPr>
            <w:tcW w:w="180" w:type="dxa"/>
            <w:vAlign w:val="bottom"/>
          </w:tcPr>
          <w:p>
            <w:pPr>
              <w:spacing w:after="0"/>
              <w:rPr>
                <w:sz w:val="19"/>
                <w:szCs w:val="19"/>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Form of Restricted Stock Unit Agreement under the Nautilus Biotechnology, Inc. 2021 Equity Incentive Plan</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(incorporated by reference to Exhibit 10.8 to the Company’s Form S-4 filed with the SEC on March 26, 2021).</w:t>
            </w:r>
          </w:p>
        </w:tc>
      </w:tr>
      <w:tr>
        <w:trPr>
          <w:trHeight w:val="199"/>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10.8+</w:t>
            </w:r>
          </w:p>
        </w:tc>
        <w:tc>
          <w:tcPr>
            <w:tcW w:w="180" w:type="dxa"/>
            <w:vAlign w:val="bottom"/>
          </w:tcPr>
          <w:p>
            <w:pPr>
              <w:spacing w:after="0"/>
              <w:rPr>
                <w:sz w:val="17"/>
                <w:szCs w:val="17"/>
                <w:color w:val="auto"/>
              </w:rPr>
            </w:pPr>
          </w:p>
        </w:tc>
        <w:tc>
          <w:tcPr>
            <w:tcW w:w="9480" w:type="dxa"/>
            <w:vAlign w:val="bottom"/>
          </w:tcPr>
          <w:p>
            <w:pPr>
              <w:ind w:left="60"/>
              <w:spacing w:after="0" w:line="199" w:lineRule="exact"/>
              <w:rPr>
                <w:sz w:val="20"/>
                <w:szCs w:val="20"/>
                <w:color w:val="auto"/>
              </w:rPr>
            </w:pPr>
            <w:r>
              <w:rPr>
                <w:rFonts w:ascii="Times New Roman" w:cs="Times New Roman" w:eastAsia="Times New Roman" w:hAnsi="Times New Roman"/>
                <w:sz w:val="19"/>
                <w:szCs w:val="19"/>
                <w:color w:val="auto"/>
              </w:rPr>
              <w:t>Form of Restricted Stock Award Agreement under the Nautilus Biotechnology, Inc. 2021 Equity Incentive Plan</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(incorporated by reference to Exhibit 10.9 to the Company’s Form S-4 filed with the SEC on March 26,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Nautilus Biotechnology, Inc. 2017 Equity Incentive Plan and forms of agreements thereunder (incorporated by reference</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 Exhibit 10.11 to the Company’s Form S-4 filed with the SEC on March 26, 2021).</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10.10+</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Confirmatory Employment Letter between Nautilus Biotechnology, Inc. and Sujal Patel, dated</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as of July 31, 2023 (incorporated by reference to Exhibit 10.1 to the Company’s Quarterly Report on Form 10-Q filed</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10.11+</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Confirmatory Employment Letter between Nautilus Biotechnology, Inc. and Parag Mallick,</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dated as of July 31, 2023 (incorporated by reference to Exhibit 10.2 to the Company’s Quarterly Report on Form 10-Q</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10.12+</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Confirmatory Employment Letter between Nautilus Biotechnology, Inc. and Anna Mowry,</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dated as of July 31, 2023 (incorporated by reference to Exhibit 10.3 to the Company’s Quarterly Report on Form 10-Q</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10.13+</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Confirmatory Employment Letter between Nautilus Biotechnology, Inc. and Gwen Weld, dated</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as of July 31, 2023 (incorporated by reference to Exhibit 10.5 to the Company’s Quarterly Report on Form 10-Q filed</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10.14+</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Confirmatory Employment Letter between Nautilus Biotechnology, Inc. and Subra Sankar,</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dated as of July 31, 2023 (incorporated by reference to Exhibit 10.7 to the Company’s Quarterly Report on Form 10-Q</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10.15+</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Confirmatory Employment Letter between Nautilus Biotechnology, Inc. and Matthew Murphy,</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dated as of July 31, 2023 (incorporated by reference to Exhibit 10.8 to the Company’s Quarterly Report on Form 10-Q</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with the SEC on August 2, 2023)</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10.16+</w:t>
            </w:r>
          </w:p>
        </w:tc>
        <w:tc>
          <w:tcPr>
            <w:tcW w:w="180" w:type="dxa"/>
            <w:vAlign w:val="bottom"/>
          </w:tcPr>
          <w:p>
            <w:pPr>
              <w:spacing w:after="0"/>
              <w:rPr>
                <w:sz w:val="17"/>
                <w:szCs w:val="17"/>
                <w:color w:val="auto"/>
              </w:rPr>
            </w:pPr>
          </w:p>
        </w:tc>
        <w:tc>
          <w:tcPr>
            <w:tcW w:w="94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Offer Letter between Nautilus Biotechnology, Inc. and Ken Suzuki, dated as of July 5, 2024 (incorporated by reference</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 Exhibit 10.1 to the Company’s Quarterly Report on Form 10-Q filed with the SEC on October 29, 2024)</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10.17+</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Change in Control and Severance Agreement between Nautilus Biotechnology, Inc. and Sujal</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Patel, dated as of July 31, 2023 (incorporated by reference to Exhibit 10.9 to the Company’s Quarterly Report on Form</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10-Q 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10.18+</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Change in Control and Severance Agreement between Nautilus Biotechnology, Inc. and Parag</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Mallick, dated as of July 31, 2023 (incorporated by reference to Exhibit 10.10 to the Company’s Quarterly Report on</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Form 10-Q 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10.19+</w:t>
            </w:r>
          </w:p>
        </w:tc>
        <w:tc>
          <w:tcPr>
            <w:tcW w:w="180" w:type="dxa"/>
            <w:vAlign w:val="bottom"/>
          </w:tcPr>
          <w:p>
            <w:pPr>
              <w:spacing w:after="0"/>
              <w:rPr>
                <w:sz w:val="18"/>
                <w:szCs w:val="18"/>
                <w:color w:val="auto"/>
              </w:rPr>
            </w:pPr>
          </w:p>
        </w:tc>
        <w:tc>
          <w:tcPr>
            <w:tcW w:w="9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Amended and Restated Change in Control and Severance Agreement between Nautilus Biotechnology, Inc. and Anna</w:t>
            </w:r>
          </w:p>
        </w:tc>
      </w:tr>
      <w:tr>
        <w:trPr>
          <w:trHeight w:val="194"/>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8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Mowry, dated as of July 31, 2023 (incorporated by reference to Exhibit 10.11 to the Company’s Quarterly Report on</w:t>
            </w:r>
          </w:p>
        </w:tc>
      </w:tr>
      <w:tr>
        <w:trPr>
          <w:trHeight w:val="253"/>
        </w:trPr>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Form 10-Q filed with the SEC on August 2, 2023)</w:t>
            </w:r>
          </w:p>
        </w:tc>
      </w:tr>
    </w:tbl>
    <w:p>
      <w:pPr>
        <w:spacing w:after="0" w:line="200" w:lineRule="exact"/>
        <w:rPr>
          <w:sz w:val="20"/>
          <w:szCs w:val="20"/>
          <w:color w:val="auto"/>
        </w:rPr>
      </w:pPr>
    </w:p>
    <w:p>
      <w:pPr>
        <w:sectPr>
          <w:pgSz w:w="11880" w:h="15480" w:orient="portrait"/>
          <w:cols w:equalWidth="0" w:num="1">
            <w:col w:w="10440"/>
          </w:cols>
          <w:pgMar w:left="700" w:top="684" w:right="740" w:bottom="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10440"/>
          </w:cols>
          <w:pgMar w:left="700" w:top="684" w:right="740" w:bottom="0" w:gutter="0" w:footer="0" w:header="0"/>
          <w:type w:val="continuous"/>
        </w:sectPr>
      </w:pPr>
    </w:p>
    <w:bookmarkStart w:id="111" w:name="page112"/>
    <w:bookmarkEnd w:id="111"/>
    <w:tbl>
      <w:tblPr>
        <w:tblLayout w:type="fixed"/>
        <w:tblInd w:w="41"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Amended and Restated Change in Control and Severance Agreement between Nautilus Biotechnology, Inc. and Gwen</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auto"/>
              </w:rPr>
              <w:t>Weld, dated as of July 31, 2023 (incorporated by reference to Exhibit 10.13 to the Company’s Quarterly Report on Form</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auto"/>
              </w:rPr>
              <w:t>Amended and Restated Change in Control and Severance Agreement between Nautilus Biotechnology, Inc. and Subra</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auto"/>
              </w:rPr>
              <w:t>Sankar, dated as of July 31, 2023 (incorporated by reference to Exhibit 10.15 to the Company’s Quarterly Report on</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Form 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auto"/>
              </w:rPr>
              <w:t>Amended and Restated Change in Control and Severance Agreement between Nautilus Biotechnology, Inc. and</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auto"/>
              </w:rPr>
              <w:t>Matthew Murphy, dated as of July 31, 2023 (incorporated by reference to Exhibit 10.16 to the Company’s Quarterly</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Report on Form 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auto"/>
              </w:rPr>
              <w:t>Change in Control and Severance Agreement between Nautilus Biotechnology, Inc. and Ken Suzuki dated September</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auto"/>
              </w:rPr>
              <w:t>16, 2024 (incorporated by reference to Exhibit 10.2 to the Company’s Quarterly Report on Form 10-Q filed with the</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SEC on October 29, 2024)</w:t>
            </w:r>
          </w:p>
        </w:tc>
      </w:tr>
      <w:tr>
        <w:trPr>
          <w:trHeight w:val="19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auto"/>
              </w:rPr>
              <w:t>Form of Nautilus Biotechnology, Inc. Indemnification Agreement (incorporated by reference to Exhibit 10.24 to the</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Company’s Form S-4/A filed with the SEC on April 26, 2021).</w:t>
            </w:r>
          </w:p>
        </w:tc>
      </w:tr>
      <w:tr>
        <w:trPr>
          <w:trHeight w:val="19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auto"/>
              </w:rPr>
              <w:t>Nautilus Biotechnology, Inc. Executive Incentive Compensation Plan (incorporated by reference to Exhibit 10.25 to the</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Company’s Form S-4/A filed with the SEC on April 26, 2021).</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Sales Agreement, dated as of February 28, 2024, between Nautilus Biotechnology, Inc. and Cowen and Company, LLC</w:t>
            </w:r>
          </w:p>
        </w:tc>
      </w:tr>
      <w:tr>
        <w:trPr>
          <w:trHeight w:val="217"/>
        </w:trPr>
        <w:tc>
          <w:tcPr>
            <w:tcW w:w="740" w:type="dxa"/>
            <w:vAlign w:val="bottom"/>
          </w:tcPr>
          <w:p>
            <w:pPr>
              <w:spacing w:after="0"/>
              <w:rPr>
                <w:sz w:val="18"/>
                <w:szCs w:val="18"/>
                <w:color w:val="auto"/>
              </w:rPr>
            </w:pPr>
          </w:p>
        </w:tc>
        <w:tc>
          <w:tcPr>
            <w:tcW w:w="9600" w:type="dxa"/>
            <w:vAlign w:val="bottom"/>
          </w:tcPr>
          <w:p>
            <w:pPr>
              <w:ind w:left="240"/>
              <w:spacing w:after="0" w:line="217" w:lineRule="exact"/>
              <w:rPr>
                <w:sz w:val="20"/>
                <w:szCs w:val="20"/>
                <w:color w:val="auto"/>
              </w:rPr>
            </w:pPr>
            <w:r>
              <w:rPr>
                <w:rFonts w:ascii="Times New Roman" w:cs="Times New Roman" w:eastAsia="Times New Roman" w:hAnsi="Times New Roman"/>
                <w:sz w:val="19"/>
                <w:szCs w:val="19"/>
                <w:color w:val="auto"/>
              </w:rPr>
              <w:t>(incorporated by reference to Exhibit 1.1 to the Company’s Current Report on Form 8-K filed with the SEC on February</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28, 2024)</w:t>
            </w:r>
          </w:p>
        </w:tc>
      </w:tr>
      <w:tr>
        <w:trPr>
          <w:trHeight w:val="22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Nautilus Biotechnology, Inc. Insider Trading Policy (incorporated by reference to Exhibit 19.1 to the Company’s</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Annual Report on Form 10-K filed with the SEC on February 27, 2025).</w:t>
            </w:r>
          </w:p>
        </w:tc>
      </w:tr>
      <w:tr>
        <w:trPr>
          <w:trHeight w:val="249"/>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List of Subsidiaries of the Registrant (incorporated by reference to Exhibit 21.1 to the Company’s Annual Report on</w:t>
            </w:r>
          </w:p>
        </w:tc>
      </w:tr>
    </w:tbl>
    <w:p>
      <w:pPr>
        <w:spacing w:after="0" w:line="1" w:lineRule="exact"/>
        <w:rPr>
          <w:sz w:val="20"/>
          <w:szCs w:val="20"/>
          <w:color w:val="auto"/>
        </w:rPr>
      </w:pPr>
    </w:p>
    <w:p>
      <w:pPr>
        <w:sectPr>
          <w:pgSz w:w="11880" w:h="15480" w:orient="portrait"/>
          <w:cols w:equalWidth="0" w:num="1">
            <w:col w:w="10481"/>
          </w:cols>
          <w:pgMar w:left="699" w:top="729" w:right="700" w:bottom="0" w:gutter="0" w:footer="0" w:header="0"/>
        </w:sectPr>
      </w:pPr>
    </w:p>
    <w:p>
      <w:pPr>
        <w:spacing w:after="0" w:line="239"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23.1*</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Form 10-K filed with the SEC on February 24,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Consent of Independent Registered Public Accounting Firm</w:t>
      </w:r>
    </w:p>
    <w:p>
      <w:pPr>
        <w:spacing w:after="0" w:line="39"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9"/>
          <w:szCs w:val="19"/>
          <w:color w:val="auto"/>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880" w:h="15480" w:orient="portrait"/>
          <w:cols w:equalWidth="0" w:num="2">
            <w:col w:w="441" w:space="580"/>
            <w:col w:w="9460"/>
          </w:cols>
          <w:pgMar w:left="699" w:top="729" w:right="700" w:bottom="0" w:gutter="0" w:footer="0" w:header="0"/>
          <w:type w:val="continuous"/>
        </w:sectPr>
      </w:pPr>
    </w:p>
    <w:tbl>
      <w:tblPr>
        <w:tblLayout w:type="fixed"/>
        <w:tblInd w:w="41"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560" w:type="dxa"/>
            <w:vAlign w:val="bottom"/>
          </w:tcPr>
          <w:p>
            <w:pPr>
              <w:ind w:left="200"/>
              <w:spacing w:after="0" w:line="196" w:lineRule="exact"/>
              <w:rPr>
                <w:sz w:val="20"/>
                <w:szCs w:val="20"/>
                <w:color w:val="auto"/>
              </w:rPr>
            </w:pPr>
            <w:r>
              <w:rPr>
                <w:rFonts w:ascii="Times New Roman" w:cs="Times New Roman" w:eastAsia="Times New Roman" w:hAnsi="Times New Roman"/>
                <w:sz w:val="19"/>
                <w:szCs w:val="19"/>
                <w:color w:val="auto"/>
              </w:rPr>
              <w:t>Certification of Principal Financial Officer Pursuant to Rules 13a-14(a) and 15d-14(a) under the Securities Exchange</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Act of 1934, as Adopted Pursuant to Section 302 of the Sarbanes-Oxley Act of 2002.</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32.1*</w:t>
            </w:r>
            <w:r>
              <w:rPr>
                <w:rFonts w:ascii="Times New Roman" w:cs="Times New Roman" w:eastAsia="Times New Roman" w:hAnsi="Times New Roman"/>
                <w:sz w:val="15"/>
                <w:szCs w:val="15"/>
                <w:color w:val="auto"/>
              </w:rPr>
              <w:t>†</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auto"/>
              </w:rPr>
              <w:t>Certification of Principal Executive Officer Pursuant to 18 U.S.C. Section 1350, as Adopted Pursuant to Section 906 of</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the Sarbanes-Oxley Act of 2002.</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32.2*</w:t>
            </w:r>
            <w:r>
              <w:rPr>
                <w:rFonts w:ascii="Times New Roman" w:cs="Times New Roman" w:eastAsia="Times New Roman" w:hAnsi="Times New Roman"/>
                <w:sz w:val="15"/>
                <w:szCs w:val="15"/>
                <w:color w:val="auto"/>
              </w:rPr>
              <w:t>†</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auto"/>
              </w:rPr>
              <w:t>Certification of Principal Financial Officer Pursuant to 18 U.S.C. Section 1350, as Adopted Pursuant to Section 906 of</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the Sarbanes-Oxley Act of 2002.</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auto"/>
              </w:rPr>
              <w:t>Nautilus Biotechnology, Inc. Compensation Recovery Policy as adopted on October 24, 2023 (incorporated by reference</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to Exhibit 97.1 to the Company’s Annual Report on Form 10-K filed with the SEC on February 28, 2024).</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auto"/>
              </w:rPr>
              <w:t>Inline XBRL Instance Document – the instance document does not appear in the Interactive Data File because XBRL</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tags are embedded within the Inline XBRL document</w:t>
            </w:r>
          </w:p>
        </w:tc>
      </w:tr>
    </w:tbl>
    <w:p>
      <w:pPr>
        <w:spacing w:after="0" w:line="9" w:lineRule="exact"/>
        <w:rPr>
          <w:sz w:val="20"/>
          <w:szCs w:val="20"/>
          <w:color w:val="auto"/>
        </w:rPr>
      </w:pPr>
    </w:p>
    <w:p>
      <w:pPr>
        <w:sectPr>
          <w:pgSz w:w="11880" w:h="15480" w:orient="portrait"/>
          <w:cols w:equalWidth="0" w:num="1">
            <w:col w:w="10481"/>
          </w:cols>
          <w:pgMar w:left="699" w:top="729" w:right="700" w:bottom="0" w:gutter="0" w:footer="0" w:header="0"/>
          <w:type w:val="continuous"/>
        </w:sectPr>
      </w:pPr>
    </w:p>
    <w:p>
      <w:pPr>
        <w:ind w:left="41"/>
        <w:spacing w:after="0"/>
        <w:rPr>
          <w:sz w:val="20"/>
          <w:szCs w:val="20"/>
          <w:color w:val="auto"/>
        </w:rPr>
      </w:pPr>
      <w:r>
        <w:rPr>
          <w:rFonts w:ascii="Times New Roman" w:cs="Times New Roman" w:eastAsia="Times New Roman" w:hAnsi="Times New Roman"/>
          <w:sz w:val="17"/>
          <w:szCs w:val="17"/>
          <w:color w:val="auto"/>
        </w:rPr>
        <w:t>101.SCH</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101.CAL</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101.DEF</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101.LAB</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p>
      <w:pPr>
        <w:spacing w:after="0" w:line="58" w:lineRule="exact"/>
        <w:rPr>
          <w:sz w:val="20"/>
          <w:szCs w:val="20"/>
          <w:color w:val="auto"/>
        </w:rPr>
      </w:pPr>
    </w:p>
    <w:p>
      <w:pPr>
        <w:ind w:right="4120"/>
        <w:spacing w:after="0" w:line="299" w:lineRule="auto"/>
        <w:rPr>
          <w:sz w:val="20"/>
          <w:szCs w:val="20"/>
          <w:color w:val="auto"/>
        </w:rPr>
      </w:pPr>
      <w:r>
        <w:rPr>
          <w:rFonts w:ascii="Times New Roman" w:cs="Times New Roman" w:eastAsia="Times New Roman" w:hAnsi="Times New Roman"/>
          <w:sz w:val="19"/>
          <w:szCs w:val="19"/>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1" w:lineRule="exact"/>
        <w:rPr>
          <w:sz w:val="20"/>
          <w:szCs w:val="20"/>
          <w:color w:val="auto"/>
        </w:rPr>
      </w:pPr>
    </w:p>
    <w:p>
      <w:pPr>
        <w:sectPr>
          <w:pgSz w:w="11880" w:h="15480" w:orient="portrait"/>
          <w:cols w:equalWidth="0" w:num="2">
            <w:col w:w="701" w:space="320"/>
            <w:col w:w="9460"/>
          </w:cols>
          <w:pgMar w:left="699" w:top="729" w:right="700" w:bottom="0" w:gutter="0" w:footer="0" w:header="0"/>
          <w:type w:val="continuous"/>
        </w:sectPr>
      </w:pPr>
    </w:p>
    <w:p>
      <w:pPr>
        <w:ind w:left="1021" w:hanging="970"/>
        <w:spacing w:after="0" w:line="182" w:lineRule="auto"/>
        <w:tabs>
          <w:tab w:leader="none" w:pos="1021" w:val="left"/>
        </w:tabs>
        <w:numPr>
          <w:ilvl w:val="0"/>
          <w:numId w:val="6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Cover page Interactive Data File (embedded with the Inline XBRL document)</w:t>
      </w:r>
    </w:p>
    <w:p>
      <w:pPr>
        <w:spacing w:after="0" w:line="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__________________</w:t>
      </w:r>
    </w:p>
    <w:p>
      <w:pPr>
        <w:ind w:left="1"/>
        <w:spacing w:after="0"/>
        <w:rPr>
          <w:sz w:val="20"/>
          <w:szCs w:val="20"/>
          <w:color w:val="auto"/>
        </w:rPr>
      </w:pPr>
      <w:r>
        <w:rPr>
          <w:rFonts w:ascii="Times New Roman" w:cs="Times New Roman" w:eastAsia="Times New Roman" w:hAnsi="Times New Roman"/>
          <w:sz w:val="16"/>
          <w:szCs w:val="16"/>
          <w:color w:val="auto"/>
        </w:rPr>
        <w:t>* Filed herewith.</w:t>
      </w:r>
    </w:p>
    <w:p>
      <w:pPr>
        <w:spacing w:after="0" w:line="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pacing w:after="0" w:line="2" w:lineRule="exact"/>
        <w:rPr>
          <w:sz w:val="20"/>
          <w:szCs w:val="20"/>
          <w:color w:val="auto"/>
        </w:rPr>
      </w:pPr>
    </w:p>
    <w:p>
      <w:pPr>
        <w:ind w:left="341" w:hanging="341"/>
        <w:spacing w:after="0" w:line="244" w:lineRule="auto"/>
        <w:tabs>
          <w:tab w:leader="none" w:pos="10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ectPr>
          <w:pgSz w:w="11880" w:h="15480" w:orient="portrait"/>
          <w:cols w:equalWidth="0" w:num="1">
            <w:col w:w="10481"/>
          </w:cols>
          <w:pgMar w:left="699" w:top="729"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10481"/>
          </w:cols>
          <w:pgMar w:left="699" w:top="729" w:right="70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1880" w:h="15480" w:orient="portrait"/>
          <w:cols w:equalWidth="0" w:num="1">
            <w:col w:w="9480"/>
          </w:cols>
          <w:pgMar w:left="960" w:top="815" w:right="1440" w:bottom="0" w:gutter="0" w:footer="0" w:header="0"/>
        </w:sectPr>
      </w:pP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480"/>
          </w:cols>
          <w:pgMar w:left="960" w:top="81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111</w:t>
      </w:r>
    </w:p>
    <w:p>
      <w:pPr>
        <w:sectPr>
          <w:pgSz w:w="11880" w:h="15480" w:orient="portrait"/>
          <w:cols w:equalWidth="0" w:num="1">
            <w:col w:w="9480"/>
          </w:cols>
          <w:pgMar w:left="960" w:top="815" w:right="144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96"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Exchange Act the Registrant has duly caused this Annual Report to be signed on its behalf by the undersigned, thereunto duly authorized.</w:t>
      </w:r>
    </w:p>
    <w:p>
      <w:pPr>
        <w:spacing w:after="0" w:line="17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3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By: /s/ Sujal Patel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3631565</wp:posOffset>
                </wp:positionH>
                <wp:positionV relativeFrom="paragraph">
                  <wp:posOffset>29845</wp:posOffset>
                </wp:positionV>
                <wp:extent cx="213550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55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5pt,2.35pt" to="454.1pt,2.35pt" o:allowincell="f" strokecolor="#000000" strokeweight="1pt"/>
            </w:pict>
          </mc:Fallback>
        </mc:AlternateContent>
      </w:r>
    </w:p>
    <w:p>
      <w:pPr>
        <w:spacing w:after="0" w:line="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Sujal Patel</w:t>
      </w:r>
    </w:p>
    <w:p>
      <w:pPr>
        <w:spacing w:after="0" w:line="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14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41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3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Sujal Patel</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Executive Officer, President and 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Sujal Patel</w:t>
            </w:r>
          </w:p>
        </w:tc>
        <w:tc>
          <w:tcPr>
            <w:tcW w:w="6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Anna Mowry</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Financial Officer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Anna Mowry</w:t>
            </w:r>
          </w:p>
        </w:tc>
        <w:tc>
          <w:tcPr>
            <w:tcW w:w="6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(Principal Financial and Accounting Officer)</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Melissa Epperly</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Melissa Epperly</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Parag Mallick</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Parag Mallick</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Matthew McIlwain</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Matthew McIlwain</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Farzad Nazem</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Farzad Nazem</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Matthew L. Posard</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Matthew L. Posard</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Karen Akinsanya</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26, 2026</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Karen Akinsanya</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080"/>
          </w:cols>
          <w:pgMar w:left="1400" w:top="138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880" w:h="15480" w:orient="portrait"/>
          <w:cols w:equalWidth="0" w:num="1">
            <w:col w:w="9080"/>
          </w:cols>
          <w:pgMar w:left="1400" w:top="1383" w:right="1400" w:bottom="0" w:gutter="0" w:footer="0" w:header="0"/>
          <w:type w:val="continuous"/>
        </w:sectPr>
      </w:pPr>
    </w:p>
    <w:bookmarkStart w:id="114" w:name="page115"/>
    <w:bookmarkEnd w:id="114"/>
    <w:p>
      <w:pPr>
        <w:spacing w:after="0" w:line="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6"/>
          <w:szCs w:val="16"/>
          <w:b w:val="1"/>
          <w:bCs w:val="1"/>
          <w:color w:val="auto"/>
        </w:rPr>
        <w:t>BOARD OF DIRECTORS AND MANAGEMENT</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Times New Roman" w:cs="Times New Roman" w:eastAsia="Times New Roman" w:hAnsi="Times New Roman"/>
          <w:sz w:val="16"/>
          <w:szCs w:val="16"/>
          <w:b w:val="1"/>
          <w:bCs w:val="1"/>
          <w:color w:val="auto"/>
        </w:rPr>
        <w:t>CORPORATE INFORMATION</w:t>
      </w:r>
      <w:r>
        <w:rPr>
          <w:sz w:val="20"/>
          <w:szCs w:val="20"/>
          <w:color w:val="auto"/>
        </w:rPr>
        <w:tab/>
      </w:r>
      <w:r>
        <w:rPr>
          <w:rFonts w:ascii="Times New Roman" w:cs="Times New Roman" w:eastAsia="Times New Roman" w:hAnsi="Times New Roman"/>
          <w:sz w:val="16"/>
          <w:szCs w:val="16"/>
          <w:b w:val="1"/>
          <w:bCs w:val="1"/>
          <w:color w:val="auto"/>
        </w:rPr>
        <w:t>ANNUAL REPORT ON FORM 10-K</w:t>
      </w:r>
    </w:p>
    <w:p>
      <w:pPr>
        <w:spacing w:after="0" w:line="20" w:lineRule="exact"/>
        <w:rPr>
          <w:sz w:val="20"/>
          <w:szCs w:val="20"/>
          <w:color w:val="auto"/>
        </w:rPr>
      </w:pPr>
    </w:p>
    <w:p>
      <w:pPr>
        <w:spacing w:after="0" w:line="404" w:lineRule="exact"/>
        <w:rPr>
          <w:sz w:val="20"/>
          <w:szCs w:val="20"/>
          <w:color w:val="auto"/>
        </w:rPr>
      </w:pPr>
    </w:p>
    <w:p>
      <w:pPr>
        <w:sectPr>
          <w:pgSz w:w="11880" w:h="15481" w:orient="portrait"/>
          <w:cols w:equalWidth="0" w:num="2">
            <w:col w:w="2580" w:space="720"/>
            <w:col w:w="6220"/>
          </w:cols>
          <w:pgMar w:left="1180" w:top="1244" w:right="1181" w:bottom="146"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Matthew L. Posard, </w:t>
      </w:r>
      <w:r>
        <w:rPr>
          <w:rFonts w:ascii="Times New Roman" w:cs="Times New Roman" w:eastAsia="Times New Roman" w:hAnsi="Times New Roman"/>
          <w:sz w:val="14"/>
          <w:szCs w:val="14"/>
          <w:i w:val="1"/>
          <w:iCs w:val="1"/>
          <w:color w:val="auto"/>
        </w:rPr>
        <w:t>Chairperson</w:t>
      </w:r>
    </w:p>
    <w:p>
      <w:pPr>
        <w:ind w:right="740" w:firstLine="120"/>
        <w:spacing w:after="0" w:line="350" w:lineRule="auto"/>
        <w:rPr>
          <w:sz w:val="20"/>
          <w:szCs w:val="20"/>
          <w:color w:val="auto"/>
        </w:rPr>
      </w:pPr>
      <w:r>
        <w:rPr>
          <w:rFonts w:ascii="Times New Roman" w:cs="Times New Roman" w:eastAsia="Times New Roman" w:hAnsi="Times New Roman"/>
          <w:sz w:val="14"/>
          <w:szCs w:val="14"/>
          <w:i w:val="1"/>
          <w:iCs w:val="1"/>
          <w:color w:val="auto"/>
        </w:rPr>
        <w:t xml:space="preserve">Founding Partner, Explore-DNA </w:t>
      </w:r>
      <w:r>
        <w:rPr>
          <w:rFonts w:ascii="Times New Roman" w:cs="Times New Roman" w:eastAsia="Times New Roman" w:hAnsi="Times New Roman"/>
          <w:sz w:val="14"/>
          <w:szCs w:val="14"/>
          <w:color w:val="auto"/>
        </w:rPr>
        <w:t>Karen Akinsanya</w:t>
      </w:r>
    </w:p>
    <w:p>
      <w:pPr>
        <w:spacing w:after="0" w:line="1" w:lineRule="exact"/>
        <w:rPr>
          <w:sz w:val="20"/>
          <w:szCs w:val="20"/>
          <w:color w:val="auto"/>
        </w:rPr>
      </w:pPr>
    </w:p>
    <w:p>
      <w:pPr>
        <w:ind w:left="100"/>
        <w:spacing w:after="0" w:line="271" w:lineRule="auto"/>
        <w:rPr>
          <w:sz w:val="20"/>
          <w:szCs w:val="20"/>
          <w:color w:val="auto"/>
        </w:rPr>
      </w:pPr>
      <w:r>
        <w:rPr>
          <w:rFonts w:ascii="Times New Roman" w:cs="Times New Roman" w:eastAsia="Times New Roman" w:hAnsi="Times New Roman"/>
          <w:sz w:val="14"/>
          <w:szCs w:val="14"/>
          <w:i w:val="1"/>
          <w:iCs w:val="1"/>
          <w:color w:val="auto"/>
        </w:rPr>
        <w:t>President of R&amp;D, Therapeutics, Schrodinger,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Melissa Epperly</w:t>
      </w:r>
    </w:p>
    <w:p>
      <w:pPr>
        <w:ind w:left="120"/>
        <w:spacing w:after="0" w:line="214" w:lineRule="auto"/>
        <w:rPr>
          <w:sz w:val="20"/>
          <w:szCs w:val="20"/>
          <w:color w:val="auto"/>
        </w:rPr>
      </w:pPr>
      <w:r>
        <w:rPr>
          <w:rFonts w:ascii="Times New Roman" w:cs="Times New Roman" w:eastAsia="Times New Roman" w:hAnsi="Times New Roman"/>
          <w:sz w:val="14"/>
          <w:szCs w:val="14"/>
          <w:i w:val="1"/>
          <w:iCs w:val="1"/>
          <w:color w:val="auto"/>
        </w:rPr>
        <w:t>Chief Financial Officer, Tenpoint</w:t>
      </w:r>
    </w:p>
    <w:p>
      <w:pPr>
        <w:ind w:left="120"/>
        <w:spacing w:after="0"/>
        <w:rPr>
          <w:sz w:val="20"/>
          <w:szCs w:val="20"/>
          <w:color w:val="auto"/>
        </w:rPr>
      </w:pPr>
      <w:r>
        <w:rPr>
          <w:rFonts w:ascii="Times New Roman" w:cs="Times New Roman" w:eastAsia="Times New Roman" w:hAnsi="Times New Roman"/>
          <w:sz w:val="14"/>
          <w:szCs w:val="14"/>
          <w:i w:val="1"/>
          <w:iCs w:val="1"/>
          <w:color w:val="auto"/>
        </w:rPr>
        <w:t>Therapeutics, Ltd.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Parag Mallick</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Scientist and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Matthew McIlwain</w:t>
      </w:r>
    </w:p>
    <w:p>
      <w:pPr>
        <w:ind w:right="40" w:firstLine="118"/>
        <w:spacing w:after="0" w:line="339" w:lineRule="auto"/>
        <w:rPr>
          <w:sz w:val="20"/>
          <w:szCs w:val="20"/>
          <w:color w:val="auto"/>
        </w:rPr>
      </w:pPr>
      <w:r>
        <w:rPr>
          <w:rFonts w:ascii="Times New Roman" w:cs="Times New Roman" w:eastAsia="Times New Roman" w:hAnsi="Times New Roman"/>
          <w:sz w:val="14"/>
          <w:szCs w:val="14"/>
          <w:i w:val="1"/>
          <w:iCs w:val="1"/>
          <w:color w:val="auto"/>
        </w:rPr>
        <w:t xml:space="preserve">Managing Director, Madrona Venture Group </w:t>
      </w:r>
      <w:r>
        <w:rPr>
          <w:rFonts w:ascii="Times New Roman" w:cs="Times New Roman" w:eastAsia="Times New Roman" w:hAnsi="Times New Roman"/>
          <w:sz w:val="14"/>
          <w:szCs w:val="14"/>
          <w:color w:val="auto"/>
        </w:rPr>
        <w:t>Farzad Nazem</w:t>
      </w:r>
    </w:p>
    <w:p>
      <w:pPr>
        <w:spacing w:after="0" w:line="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4"/>
          <w:szCs w:val="14"/>
          <w:i w:val="1"/>
          <w:iCs w:val="1"/>
          <w:color w:val="auto"/>
        </w:rPr>
        <w:t>Private Investor and Advisor; Former Chief Technology Officer, Yahoo!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Sujal Patel</w:t>
      </w:r>
    </w:p>
    <w:p>
      <w:pPr>
        <w:spacing w:after="0" w:line="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4"/>
          <w:szCs w:val="14"/>
          <w:i w:val="1"/>
          <w:iCs w:val="1"/>
          <w:color w:val="auto"/>
        </w:rPr>
        <w:t>Chief Executive Officer, President, Secretary and Director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Sujal Patel</w:t>
      </w:r>
    </w:p>
    <w:p>
      <w:pPr>
        <w:ind w:left="120" w:right="80"/>
        <w:spacing w:after="0" w:line="271" w:lineRule="auto"/>
        <w:rPr>
          <w:sz w:val="20"/>
          <w:szCs w:val="20"/>
          <w:color w:val="auto"/>
        </w:rPr>
      </w:pPr>
      <w:r>
        <w:rPr>
          <w:rFonts w:ascii="Times New Roman" w:cs="Times New Roman" w:eastAsia="Times New Roman" w:hAnsi="Times New Roman"/>
          <w:sz w:val="14"/>
          <w:szCs w:val="14"/>
          <w:i w:val="1"/>
          <w:iCs w:val="1"/>
          <w:color w:val="auto"/>
        </w:rPr>
        <w:t>Chief Executive Officer, President, Secretary and Director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Parag Mallick</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Scientist and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Anna Mowry</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Subra Sankar</w:t>
      </w:r>
    </w:p>
    <w:p>
      <w:pPr>
        <w:ind w:left="120"/>
        <w:spacing w:after="0"/>
        <w:rPr>
          <w:sz w:val="20"/>
          <w:szCs w:val="20"/>
          <w:color w:val="auto"/>
        </w:rPr>
      </w:pPr>
      <w:r>
        <w:rPr>
          <w:rFonts w:ascii="Times New Roman" w:cs="Times New Roman" w:eastAsia="Times New Roman" w:hAnsi="Times New Roman"/>
          <w:sz w:val="14"/>
          <w:szCs w:val="14"/>
          <w:i w:val="1"/>
          <w:iCs w:val="1"/>
          <w:color w:val="auto"/>
        </w:rPr>
        <w:t>Senior Vice President, Product Development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Matthew Murphy</w:t>
      </w:r>
    </w:p>
    <w:p>
      <w:pPr>
        <w:ind w:left="120"/>
        <w:spacing w:after="0"/>
        <w:rPr>
          <w:sz w:val="20"/>
          <w:szCs w:val="20"/>
          <w:color w:val="auto"/>
        </w:rPr>
      </w:pPr>
      <w:r>
        <w:rPr>
          <w:rFonts w:ascii="Times New Roman" w:cs="Times New Roman" w:eastAsia="Times New Roman" w:hAnsi="Times New Roman"/>
          <w:sz w:val="14"/>
          <w:szCs w:val="14"/>
          <w:i w:val="1"/>
          <w:iCs w:val="1"/>
          <w:color w:val="auto"/>
        </w:rPr>
        <w:t>General Counsel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Gwen Weld</w:t>
      </w:r>
    </w:p>
    <w:p>
      <w:pPr>
        <w:ind w:left="140"/>
        <w:spacing w:after="0"/>
        <w:rPr>
          <w:sz w:val="20"/>
          <w:szCs w:val="20"/>
          <w:color w:val="auto"/>
        </w:rPr>
      </w:pPr>
      <w:r>
        <w:rPr>
          <w:rFonts w:ascii="Times New Roman" w:cs="Times New Roman" w:eastAsia="Times New Roman" w:hAnsi="Times New Roman"/>
          <w:sz w:val="14"/>
          <w:szCs w:val="14"/>
          <w:i w:val="1"/>
          <w:iCs w:val="1"/>
          <w:color w:val="auto"/>
        </w:rPr>
        <w:t>Chief People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Kentaro Suzuki</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Marketing Officer</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Corporate Headquarters</w:t>
      </w:r>
    </w:p>
    <w:p>
      <w:pPr>
        <w:spacing w:after="0" w:line="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Nautilus Biotechnology, Inc.</w:t>
      </w:r>
    </w:p>
    <w:p>
      <w:pPr>
        <w:ind w:left="4"/>
        <w:spacing w:after="0" w:line="200" w:lineRule="auto"/>
        <w:rPr>
          <w:sz w:val="20"/>
          <w:szCs w:val="20"/>
          <w:color w:val="auto"/>
        </w:rPr>
      </w:pPr>
      <w:r>
        <w:rPr>
          <w:rFonts w:ascii="Times New Roman" w:cs="Times New Roman" w:eastAsia="Times New Roman" w:hAnsi="Times New Roman"/>
          <w:sz w:val="14"/>
          <w:szCs w:val="14"/>
          <w:color w:val="auto"/>
        </w:rPr>
        <w:t>2701 Eastlake Avenue East</w:t>
      </w:r>
    </w:p>
    <w:p>
      <w:pPr>
        <w:ind w:left="4"/>
        <w:spacing w:after="0"/>
        <w:rPr>
          <w:sz w:val="20"/>
          <w:szCs w:val="20"/>
          <w:color w:val="auto"/>
        </w:rPr>
      </w:pPr>
      <w:r>
        <w:rPr>
          <w:rFonts w:ascii="Times New Roman" w:cs="Times New Roman" w:eastAsia="Times New Roman" w:hAnsi="Times New Roman"/>
          <w:sz w:val="14"/>
          <w:szCs w:val="14"/>
          <w:color w:val="auto"/>
        </w:rPr>
        <w:t>Seattle, WA 98102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Annual Meeting</w:t>
      </w:r>
    </w:p>
    <w:p>
      <w:pPr>
        <w:spacing w:after="0" w:line="101" w:lineRule="exact"/>
        <w:rPr>
          <w:sz w:val="20"/>
          <w:szCs w:val="20"/>
          <w:color w:val="auto"/>
        </w:rPr>
      </w:pPr>
    </w:p>
    <w:p>
      <w:pPr>
        <w:ind w:left="4"/>
        <w:spacing w:after="0" w:line="224" w:lineRule="auto"/>
        <w:rPr>
          <w:sz w:val="20"/>
          <w:szCs w:val="20"/>
          <w:color w:val="auto"/>
        </w:rPr>
      </w:pPr>
      <w:r>
        <w:rPr>
          <w:rFonts w:ascii="Times New Roman" w:cs="Times New Roman" w:eastAsia="Times New Roman" w:hAnsi="Times New Roman"/>
          <w:sz w:val="14"/>
          <w:szCs w:val="14"/>
          <w:color w:val="auto"/>
        </w:rPr>
        <w:t>Our 2026 Annual Meeting of Stockholders will take place on Wednesday, June 17, 2026 at 10:00 a.m. The annual meeting will be conducted virtually via live audio webcast. You will be able to attend the annual meeting virtually by visiting www.vitrualshareholdermeeting.com/NAUT2026, where you will be able to listen to the meeting live, submit questions and vote online during the meeting.</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Independent Auditors</w:t>
      </w:r>
    </w:p>
    <w:p>
      <w:pPr>
        <w:spacing w:after="0" w:line="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PricewaterhouseCoopers, LLP</w:t>
      </w:r>
    </w:p>
    <w:p>
      <w:pPr>
        <w:ind w:left="4"/>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Legal Counsel</w:t>
      </w:r>
    </w:p>
    <w:p>
      <w:pPr>
        <w:spacing w:after="0" w:line="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Wilson Sonsini Goodrich &amp; Rosati, P.C.</w:t>
      </w:r>
    </w:p>
    <w:p>
      <w:pPr>
        <w:ind w:left="4"/>
        <w:spacing w:after="0"/>
        <w:rPr>
          <w:sz w:val="20"/>
          <w:szCs w:val="20"/>
          <w:color w:val="auto"/>
        </w:rPr>
      </w:pPr>
      <w:r>
        <w:rPr>
          <w:rFonts w:ascii="Times New Roman" w:cs="Times New Roman" w:eastAsia="Times New Roman" w:hAnsi="Times New Roman"/>
          <w:sz w:val="14"/>
          <w:szCs w:val="14"/>
          <w:color w:val="auto"/>
        </w:rPr>
        <w:t>Palo Alto, California</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Stockholder Services</w:t>
      </w:r>
    </w:p>
    <w:p>
      <w:pPr>
        <w:spacing w:after="0" w:line="96" w:lineRule="exact"/>
        <w:rPr>
          <w:sz w:val="20"/>
          <w:szCs w:val="20"/>
          <w:color w:val="auto"/>
        </w:rPr>
      </w:pPr>
    </w:p>
    <w:p>
      <w:pPr>
        <w:ind w:left="4" w:right="120" w:hanging="1"/>
        <w:spacing w:after="0" w:line="238" w:lineRule="auto"/>
        <w:rPr>
          <w:sz w:val="20"/>
          <w:szCs w:val="20"/>
          <w:color w:val="auto"/>
        </w:rPr>
      </w:pPr>
      <w:r>
        <w:rPr>
          <w:rFonts w:ascii="Times New Roman" w:cs="Times New Roman" w:eastAsia="Times New Roman" w:hAnsi="Times New Roman"/>
          <w:sz w:val="13"/>
          <w:szCs w:val="13"/>
          <w:color w:val="auto"/>
        </w:rPr>
        <w:t>You may contact our transfer agent Continental Stock Transfer &amp; Trust Company, by telephone at</w:t>
      </w:r>
    </w:p>
    <w:p>
      <w:pPr>
        <w:spacing w:after="0" w:line="1" w:lineRule="exact"/>
        <w:rPr>
          <w:sz w:val="20"/>
          <w:szCs w:val="20"/>
          <w:color w:val="auto"/>
        </w:rPr>
      </w:pPr>
    </w:p>
    <w:p>
      <w:pPr>
        <w:ind w:left="4" w:hanging="4"/>
        <w:spacing w:after="0" w:line="227" w:lineRule="auto"/>
        <w:tabs>
          <w:tab w:leader="none" w:pos="34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509-5586, or by writing Continental Stock Transfer &amp; Trust Company, at 1 State Street 30th Floor, New York, NY 10004-1561. You may also access instructions with respect to certain stockholder matters (e.g., change of address) via the Internet at https://continentalstock.com/.</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Stock Exchange Information</w:t>
      </w:r>
    </w:p>
    <w:p>
      <w:pPr>
        <w:spacing w:after="0" w:line="105"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NAUT.</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Internet Address Information</w:t>
      </w:r>
    </w:p>
    <w:p>
      <w:pPr>
        <w:spacing w:after="0" w:line="105" w:lineRule="exact"/>
        <w:rPr>
          <w:sz w:val="20"/>
          <w:szCs w:val="20"/>
          <w:color w:val="auto"/>
        </w:rPr>
      </w:pPr>
    </w:p>
    <w:p>
      <w:pPr>
        <w:ind w:left="4" w:right="220"/>
        <w:spacing w:after="0" w:line="234" w:lineRule="auto"/>
        <w:rPr>
          <w:sz w:val="20"/>
          <w:szCs w:val="20"/>
          <w:color w:val="auto"/>
        </w:rPr>
      </w:pPr>
      <w:r>
        <w:rPr>
          <w:rFonts w:ascii="Times New Roman" w:cs="Times New Roman" w:eastAsia="Times New Roman" w:hAnsi="Times New Roman"/>
          <w:sz w:val="14"/>
          <w:szCs w:val="14"/>
          <w:color w:val="auto"/>
        </w:rPr>
        <w:t>Our investor relations website is located at https://investors.nautilus.bio/. Our 2025 Annual Report is available online at https://investors.nautilus.bio/.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b w:val="1"/>
          <w:bCs w:val="1"/>
          <w:color w:val="auto"/>
        </w:rPr>
        <w:t>Stockholders may receive a copy of our annual report on Form 10-K, including the financial statements and the financial statement schedules, free of charge upon written request. Please send such requests to Nautilus Biotechnology, Inc., 2701 Eastlake Avenue East, Seattle, Washington 98102, Attention: Investor Relations.</w:t>
      </w:r>
    </w:p>
    <w:p>
      <w:pPr>
        <w:spacing w:after="0" w:line="149" w:lineRule="exact"/>
        <w:rPr>
          <w:sz w:val="20"/>
          <w:szCs w:val="20"/>
          <w:color w:val="auto"/>
        </w:rPr>
      </w:pPr>
    </w:p>
    <w:p>
      <w:pPr>
        <w:ind w:right="500" w:hanging="1"/>
        <w:spacing w:after="0" w:line="225" w:lineRule="auto"/>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rPr>
          <w:sz w:val="20"/>
          <w:szCs w:val="20"/>
          <w:color w:val="auto"/>
        </w:rPr>
      </w:pPr>
      <w:r>
        <w:rPr>
          <w:rFonts w:ascii="Times New Roman" w:cs="Times New Roman" w:eastAsia="Times New Roman" w:hAnsi="Times New Roman"/>
          <w:sz w:val="13"/>
          <w:szCs w:val="13"/>
          <w:i w:val="1"/>
          <w:iCs w:val="1"/>
          <w:color w:val="auto"/>
        </w:rPr>
        <w:t>This Annual Report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of our Annual Report entitled “Business,” “Risk factors,” and “Management’s discussion and analysis of financial condition and results of operations.” Forward - looking statements include statements that are not historical facts and can be identified by terms such as “anticipates,” “believes,” “could,” “seeks,” “estimates,” “expects,” “intends,” “may,” “plans,” “potential,” “predicts,” “projects,” “should,” “will,” “would,” or similar expressions and the negatives of those terms. Forward-looking statements include, but are not limited to, statements regarding Nautilus’ expectations regarding the company’s business operations, financial performance and results of operations; our expectations regarding the timing and progress of the development of the Nautilus Voyager</w:t>
      </w:r>
      <w:r>
        <w:rPr>
          <w:rFonts w:ascii="Times New Roman" w:cs="Times New Roman" w:eastAsia="Times New Roman" w:hAnsi="Times New Roman"/>
          <w:sz w:val="17"/>
          <w:szCs w:val="17"/>
          <w:i w:val="1"/>
          <w:iCs w:val="1"/>
          <w:color w:val="auto"/>
          <w:vertAlign w:val="superscript"/>
        </w:rPr>
        <w:t>TM</w:t>
      </w:r>
      <w:r>
        <w:rPr>
          <w:rFonts w:ascii="Times New Roman" w:cs="Times New Roman" w:eastAsia="Times New Roman" w:hAnsi="Times New Roman"/>
          <w:sz w:val="13"/>
          <w:szCs w:val="13"/>
          <w:i w:val="1"/>
          <w:iCs w:val="1"/>
          <w:color w:val="auto"/>
        </w:rPr>
        <w:t xml:space="preserve"> platform and any commercialization timelines; expectations with respect to the functionality and performance of Nautilus’ product platform, and its potential impact on pharmaceutical development and drug discovery; our estimates of our addressable market, market growth, future revenue, key performance indicators, expenses, capital requirements and needs for additional financing; the implementation of our business model and strategic plans for the Nautilus Voyager platform; and our expectations regarding any collaborations and strategic partnerships.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Annual Report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and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 K filed with the SEC on February 26, 2026 and in our subsequent filings with the SEC.</w:t>
      </w:r>
    </w:p>
    <w:p>
      <w:pPr>
        <w:spacing w:after="0" w:line="200" w:lineRule="exact"/>
        <w:rPr>
          <w:sz w:val="20"/>
          <w:szCs w:val="20"/>
          <w:color w:val="auto"/>
        </w:rPr>
      </w:pPr>
    </w:p>
    <w:p>
      <w:pPr>
        <w:spacing w:after="0" w:line="384"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4"/>
          <w:szCs w:val="14"/>
          <w:i w:val="1"/>
          <w:iCs w:val="1"/>
          <w:color w:val="auto"/>
        </w:rPr>
        <w:t>Except as required by law, we assume no obligation to update these forward- 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p>
    <w:p>
      <w:pPr>
        <w:sectPr>
          <w:pgSz w:w="11880" w:h="15481" w:orient="portrait"/>
          <w:cols w:equalWidth="0" w:num="3">
            <w:col w:w="2720" w:space="576"/>
            <w:col w:w="2924" w:space="280"/>
            <w:col w:w="3020"/>
          </w:cols>
          <w:pgMar w:left="1180" w:top="1244" w:right="1181" w:bottom="146" w:gutter="0" w:footer="0" w:header="0"/>
          <w:type w:val="continuous"/>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sectPr>
      <w:pgSz w:w="11880" w:h="15481"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2"/>
    </w:lvl>
  </w:abstractNum>
  <w:abstractNum w:abstractNumId="13">
    <w:nsid w:val="2D517796"/>
    <w:multiLevelType w:val="hybridMultilevel"/>
    <w:lvl w:ilvl="0">
      <w:lvlJc w:val="left"/>
      <w:lvlText w:val="%1."/>
      <w:numFmt w:val="decimal"/>
      <w:start w:val="3"/>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4"/>
    </w:lvl>
  </w:abstractNum>
  <w:abstractNum w:abstractNumId="16">
    <w:nsid w:val="3855585C"/>
    <w:multiLevelType w:val="hybridMultilevel"/>
    <w:lvl w:ilvl="0">
      <w:lvlJc w:val="left"/>
      <w:lvlText w:val="%1"/>
      <w:numFmt w:val="upperLetter"/>
      <w:start w:val="35"/>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1."/>
      <w:numFmt w:val="decimal"/>
      <w:start w:val="3"/>
    </w:lvl>
  </w:abstractNum>
  <w:abstractNum w:abstractNumId="53">
    <w:nsid w:val="741226BB"/>
    <w:multiLevelType w:val="hybridMultilevel"/>
    <w:lvl w:ilvl="0">
      <w:lvlJc w:val="left"/>
      <w:lvlText w:val="%1."/>
      <w:numFmt w:val="decimal"/>
      <w:start w:val="4"/>
    </w:lvl>
  </w:abstractNum>
  <w:abstractNum w:abstractNumId="54">
    <w:nsid w:val="D34B6A8"/>
    <w:multiLevelType w:val="hybridMultilevel"/>
    <w:lvl w:ilvl="0">
      <w:lvlJc w:val="left"/>
      <w:lvlText w:val="%1."/>
      <w:numFmt w:val="decimal"/>
      <w:start w:val="5"/>
    </w:lvl>
  </w:abstractNum>
  <w:abstractNum w:abstractNumId="55">
    <w:nsid w:val="10233C99"/>
    <w:multiLevelType w:val="hybridMultilevel"/>
    <w:lvl w:ilvl="0">
      <w:lvlJc w:val="left"/>
      <w:lvlText w:val="%1."/>
      <w:numFmt w:val="decimal"/>
      <w:start w:val="6"/>
    </w:lvl>
  </w:abstractNum>
  <w:abstractNum w:abstractNumId="56">
    <w:nsid w:val="3F6AB60F"/>
    <w:multiLevelType w:val="hybridMultilevel"/>
    <w:lvl w:ilvl="0">
      <w:lvlJc w:val="left"/>
      <w:lvlText w:val="%1."/>
      <w:numFmt w:val="decimal"/>
      <w:start w:val="7"/>
    </w:lvl>
  </w:abstractNum>
  <w:abstractNum w:abstractNumId="57">
    <w:nsid w:val="61574095"/>
    <w:multiLevelType w:val="hybridMultilevel"/>
    <w:lvl w:ilvl="0">
      <w:lvlJc w:val="left"/>
      <w:lvlText w:val="(%1)"/>
      <w:numFmt w:val="lowerRoman"/>
      <w:start w:val="3"/>
    </w:lvl>
  </w:abstractNum>
  <w:abstractNum w:abstractNumId="58">
    <w:nsid w:val="7E0C57B1"/>
    <w:multiLevelType w:val="hybridMultilevel"/>
    <w:lvl w:ilvl="0">
      <w:lvlJc w:val="left"/>
      <w:lvlText w:val="%1."/>
      <w:numFmt w:val="decimal"/>
      <w:start w:val="8"/>
    </w:lvl>
  </w:abstractNum>
  <w:abstractNum w:abstractNumId="59">
    <w:nsid w:val="77AE35EB"/>
    <w:multiLevelType w:val="hybridMultilevel"/>
    <w:lvl w:ilvl="0">
      <w:lvlJc w:val="left"/>
      <w:lvlText w:val="%1."/>
      <w:numFmt w:val="decimal"/>
      <w:start w:val="9"/>
    </w:lvl>
  </w:abstractNum>
  <w:abstractNum w:abstractNumId="60">
    <w:nsid w:val="579BE4F1"/>
    <w:multiLevelType w:val="hybridMultilevel"/>
    <w:lvl w:ilvl="0">
      <w:lvlJc w:val="left"/>
      <w:lvlText w:val="%1."/>
      <w:numFmt w:val="decimal"/>
      <w:start w:val="10"/>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lowerLetter"/>
      <w:start w:val="3"/>
    </w:lvl>
  </w:abstractNum>
  <w:abstractNum w:abstractNumId="63">
    <w:nsid w:val="2F305DEF"/>
    <w:multiLevelType w:val="hybridMultilevel"/>
    <w:lvl w:ilvl="0">
      <w:lvlJc w:val="left"/>
      <w:lvlText w:val="%1"/>
      <w:numFmt w:val="decimal"/>
      <w:start w:val="104"/>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2026-04-29T19:48:09Z</dcterms:created>
  <dcterms:modified xsi:type="dcterms:W3CDTF">2026-04-29T19:48:09Z</dcterms:modified>
</cp:coreProperties>
</file>