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jc w:val="right"/>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jc w:val="right"/>
              <w:spacing w:after="0" w:line="262" w:lineRule="exact"/>
              <w:rPr>
                <w:rFonts w:ascii="Arial" w:cs="Arial" w:eastAsia="Arial" w:hAnsi="Arial"/>
                <w:sz w:val="24"/>
                <w:szCs w:val="24"/>
                <w:u w:val="single" w:color="auto"/>
                <w:color w:val="0000EE"/>
                <w:w w:val="94"/>
              </w:rPr>
            </w:pPr>
            <w:hyperlink r:id="rId10">
              <w:r>
                <w:rPr>
                  <w:rFonts w:ascii="Arial" w:cs="Arial" w:eastAsia="Arial" w:hAnsi="Arial"/>
                  <w:sz w:val="24"/>
                  <w:szCs w:val="24"/>
                  <w:u w:val="single" w:color="auto"/>
                  <w:color w:val="0000EE"/>
                  <w:w w:val="94"/>
                </w:rPr>
                <w:t>ARYA Sciences Holdings III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ARYA Sciences Acquisition Corp III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51 ASTOR PLACE, 10TH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10003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6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6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4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680" w:type="dxa"/>
            <w:vAlign w:val="bottom"/>
          </w:tcPr>
          <w:p>
            <w:pPr>
              <w:ind w:left="220"/>
              <w:spacing w:after="0"/>
              <w:rPr>
                <w:sz w:val="20"/>
                <w:szCs w:val="20"/>
                <w:color w:val="auto"/>
              </w:rPr>
            </w:pPr>
            <w:r>
              <w:rPr>
                <w:rFonts w:ascii="Arial" w:cs="Arial" w:eastAsia="Arial" w:hAnsi="Arial"/>
                <w:sz w:val="20"/>
                <w:szCs w:val="20"/>
                <w:color w:val="0000FF"/>
                <w:w w:val="98"/>
              </w:rPr>
              <w:t>Class A ordinary</w:t>
            </w:r>
          </w:p>
        </w:tc>
        <w:tc>
          <w:tcPr>
            <w:tcW w:w="1160" w:type="dxa"/>
            <w:vAlign w:val="bottom"/>
            <w:vMerge w:val="restart"/>
          </w:tcPr>
          <w:p>
            <w:pPr>
              <w:ind w:left="160"/>
              <w:spacing w:after="0"/>
              <w:rPr>
                <w:sz w:val="20"/>
                <w:szCs w:val="20"/>
                <w:color w:val="auto"/>
              </w:rPr>
            </w:pPr>
            <w:r>
              <w:rPr>
                <w:rFonts w:ascii="Arial" w:cs="Arial" w:eastAsia="Arial" w:hAnsi="Arial"/>
                <w:sz w:val="20"/>
                <w:szCs w:val="20"/>
                <w:color w:val="0000FF"/>
                <w:w w:val="89"/>
              </w:rPr>
              <w:t>3,647,500</w:t>
            </w:r>
            <w:r>
              <w:rPr>
                <w:rFonts w:ascii="Arial" w:cs="Arial" w:eastAsia="Arial" w:hAnsi="Arial"/>
                <w:sz w:val="25"/>
                <w:szCs w:val="25"/>
                <w:color w:val="008000"/>
                <w:w w:val="89"/>
                <w:vertAlign w:val="superscript"/>
              </w:rPr>
              <w:t>(2)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34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(3)</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restart"/>
          </w:tcPr>
          <w:p>
            <w:pPr>
              <w:ind w:left="640"/>
              <w:spacing w:after="0"/>
              <w:rPr>
                <w:sz w:val="20"/>
                <w:szCs w:val="20"/>
                <w:color w:val="auto"/>
              </w:rPr>
            </w:pPr>
            <w:r>
              <w:rPr>
                <w:rFonts w:ascii="Arial" w:cs="Arial" w:eastAsia="Arial" w:hAnsi="Arial"/>
                <w:sz w:val="20"/>
                <w:szCs w:val="20"/>
                <w:color w:val="0000FF"/>
              </w:rPr>
              <w:t>shares</w:t>
            </w:r>
          </w:p>
        </w:tc>
        <w:tc>
          <w:tcPr>
            <w:tcW w:w="1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333-239986) under the heading "Description of Securities--Founder Shares", the shares of Class B ordinary shares, par value $0.0001 per share, will automatically convert into shares of Class A ordinary shares, par value $0.0001 per share, of the issuer at the time of the issuer's initial business combination on a one-for-one basis, subject to adjustment for stock splits, stock dividends, reorganizations, recapitalizations and the like, and certain anti-dilution rights and have no expiration date.</w:t>
      </w:r>
    </w:p>
    <w:p>
      <w:pPr>
        <w:spacing w:after="0" w:line="3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Class B ordinary shares owned by the Reporting Person include up to 487,500 shares that are subject to forfeiture to the extent the underwriters of the initial public offering of the issuer's securities do not exercise in full their over-allotment option as described in the issuer's registration statement.</w:t>
      </w:r>
    </w:p>
    <w:p>
      <w:pPr>
        <w:spacing w:after="0" w:line="26" w:lineRule="exact"/>
        <w:rPr>
          <w:rFonts w:ascii="Arial" w:cs="Arial" w:eastAsia="Arial" w:hAnsi="Arial"/>
          <w:sz w:val="15"/>
          <w:szCs w:val="15"/>
          <w:color w:val="008000"/>
        </w:rPr>
      </w:pPr>
    </w:p>
    <w:p>
      <w:pPr>
        <w:jc w:val="both"/>
        <w:ind w:left="40" w:right="3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governed by a board of directors consisting of two directors, Adam Stone and Michael Altman. As such, Messrs. Stone and Altman have voting and investment discretion with respect to the Class B ordinary shares held of record by the Reporting Person and may be deemed to have shared beneficial ownership of the Class B ordinary shares held directly by the Reporting Person.</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Samuel M Cohn,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Secretary</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08802"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2020-08-06T20:45:23Z</dcterms:created>
  <dcterms:modified xsi:type="dcterms:W3CDTF">2020-08-06T20:45:23Z</dcterms:modified>
</cp:coreProperties>
</file>