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1, 2025</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NAUTILUS BIOTECHNOLOGY,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001-39434</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98-1541723</w:t>
      </w:r>
    </w:p>
    <w:p>
      <w:pPr>
        <w:spacing w:after="0" w:line="31"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13"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color w:val="auto"/>
        </w:rPr>
        <w:t>(I.R.S. Employer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3"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2701 Eastlake Avenue East</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b w:val="1"/>
          <w:bCs w:val="1"/>
          <w:color w:val="auto"/>
        </w:rPr>
        <w:t>98102</w:t>
      </w:r>
    </w:p>
    <w:p>
      <w:pPr>
        <w:spacing w:after="0" w:line="31" w:lineRule="exact"/>
        <w:rPr>
          <w:sz w:val="24"/>
          <w:szCs w:val="24"/>
          <w:color w:val="auto"/>
        </w:rPr>
      </w:pPr>
    </w:p>
    <w:p>
      <w:pPr>
        <w:jc w:val="center"/>
        <w:ind w:right="25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333-2001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49"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400" w:hanging="374"/>
        <w:spacing w:after="0"/>
        <w:tabs>
          <w:tab w:leader="none" w:pos="4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NAUT</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Notice of Delisting or Failure to Satisfy a Continued Listing Rule or Standard; Transfer of Listing.</w:t>
      </w:r>
    </w:p>
    <w:p>
      <w:pPr>
        <w:spacing w:after="0" w:line="24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On May 1st, 2025, Nautilus Biotechnology, Inc. (the “Company”) received a letter from the Listing Qualifications Staff (the “Staff”) of The Nasdaq Stock Market LLC (“Nasdaq”) indicating that, based upon the closing bid price of shares of the Company’s common stock for the 30 consecutive business day period between March 19, 2025, through April 30, 2025, the Company did not meet the minimum bid price of $1.00 per share required for continued listing</w:t>
      </w:r>
    </w:p>
    <w:p>
      <w:pPr>
        <w:spacing w:after="0" w:line="1" w:lineRule="exact"/>
        <w:rPr>
          <w:sz w:val="20"/>
          <w:szCs w:val="20"/>
          <w:color w:val="auto"/>
        </w:rPr>
      </w:pPr>
    </w:p>
    <w:p>
      <w:pPr>
        <w:ind w:right="220"/>
        <w:spacing w:after="0" w:line="218" w:lineRule="auto"/>
        <w:rPr>
          <w:sz w:val="20"/>
          <w:szCs w:val="20"/>
          <w:color w:val="auto"/>
        </w:rPr>
      </w:pPr>
      <w:r>
        <w:rPr>
          <w:rFonts w:ascii="Times New Roman" w:cs="Times New Roman" w:eastAsia="Times New Roman" w:hAnsi="Times New Roman"/>
          <w:sz w:val="18"/>
          <w:szCs w:val="18"/>
          <w:color w:val="auto"/>
        </w:rPr>
        <w:t>on the Nasdaq Global Select Market pursuant to Nasdaq Listing Rule 5450(a)(1). The letter also indicated that the Company will be provided with a compliance period of 180 calendar days, or until October 28, 2025 (the “Compliance Period”), in which to regain compliance pursuant to Nasdaq Listing Rule 5810(c)(3)(A).</w:t>
      </w:r>
    </w:p>
    <w:p>
      <w:pPr>
        <w:spacing w:after="0" w:line="172"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The letter has no immediate impact on the listing of the Company’s common stock, which will continue to be listed and traded on Nasdaq, subject to the Company’s compliance with the other listing requirements of Nasdaq.</w:t>
      </w:r>
    </w:p>
    <w:p>
      <w:pPr>
        <w:spacing w:after="0" w:line="158"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In order to regain compliance with Nasdaq’s minimum bid price requirement, shares of the Company’s common stock must maintain a closing bid price of at least $1.00 for a minimum of ten consecutive business days during the Compliance Period, unless the Staff exercises its discretion to extend this ten day</w:t>
      </w:r>
    </w:p>
    <w:p>
      <w:pPr>
        <w:ind w:right="40"/>
        <w:spacing w:after="0" w:line="220" w:lineRule="auto"/>
        <w:rPr>
          <w:sz w:val="20"/>
          <w:szCs w:val="20"/>
          <w:color w:val="auto"/>
        </w:rPr>
      </w:pPr>
      <w:r>
        <w:rPr>
          <w:rFonts w:ascii="Times New Roman" w:cs="Times New Roman" w:eastAsia="Times New Roman" w:hAnsi="Times New Roman"/>
          <w:sz w:val="17"/>
          <w:szCs w:val="17"/>
          <w:color w:val="auto"/>
        </w:rPr>
        <w:t>period pursuant to Nasdaq Listing Rule 5810(c)(3)(H). In the event the Company does not regain compliance by the end of the Compliance Period, the Company may be eligible for an additional 180 calendar days to regain compliance (the “Second Compliance Period”) pursuant to Nasdaq Listing Rule 5810(c)(3)(A)(i) by transferring to the Nasdaq Capital Market. To qualify for the Second Compliance Period, the Company would need to submit a transfer</w:t>
      </w:r>
    </w:p>
    <w:p>
      <w:pPr>
        <w:spacing w:after="0" w:line="2"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7"/>
          <w:szCs w:val="17"/>
          <w:color w:val="auto"/>
        </w:rPr>
        <w:t>application and pay an application fee. In addition, the Company would be required to meet the continued listing requirement for the market value of its publicly held shares and all other initial listing standards for Nasdaq, with the exception of the bid price requirement, and would need to provide written notice of its intention to cure the deficiency during the Second Compliance Period by effecting a reverse stock split, if necessary. However, if it appears to</w:t>
      </w:r>
    </w:p>
    <w:p>
      <w:pPr>
        <w:spacing w:after="0" w:line="2"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7"/>
          <w:szCs w:val="17"/>
          <w:color w:val="auto"/>
        </w:rPr>
        <w:t>Nasdaq that the Company will be unable to cure the deficiency, or if the Company is not otherwise eligible for the additional cure period, Nasdaq will provide notice that the Company’s shares of common stock will be subject to delisting. There can be no assurance that the Company will be eligible for the Second Compliance Period, if applicable, or that the Staff would grant the Company’s request for continued listing subsequent to any delisting notification.</w:t>
      </w:r>
    </w:p>
    <w:p>
      <w:pPr>
        <w:spacing w:after="0" w:line="172" w:lineRule="exact"/>
        <w:rPr>
          <w:sz w:val="20"/>
          <w:szCs w:val="20"/>
          <w:color w:val="auto"/>
        </w:rPr>
      </w:pPr>
    </w:p>
    <w:p>
      <w:pPr>
        <w:ind w:right="60"/>
        <w:spacing w:after="0" w:line="216"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shares of common stock during the Compliance Period and may, if appropriate, evaluate available options to resolve the deficiency and regain compliance with the minimum bid price requirement. While the Company is exercising diligent efforts to maintain the listing of its common stock on the Nasdaq Global Select Market, there can be no assurance that the Company will be able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regain or maintain compliance with the minimum bid price requirement or any other Nasdaq listing standard.</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 2025</w:t>
      </w:r>
    </w:p>
    <w:p>
      <w:pPr>
        <w:spacing w:after="0" w:line="26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Sujal Patel</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Sujal Patel</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2025-05-02T15:37:45Z</dcterms:created>
  <dcterms:modified xsi:type="dcterms:W3CDTF">2025-05-02T15:37:45Z</dcterms:modified>
</cp:coreProperties>
</file>