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802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8028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2"/>
            <w:vMerge w:val="restart"/>
          </w:tcPr>
          <w:p>
            <w:pPr>
              <w:spacing w:after="0" w:line="181" w:lineRule="exact"/>
              <w:rPr>
                <w:rFonts w:ascii="Arial" w:cs="Arial" w:eastAsia="Arial" w:hAnsi="Arial"/>
                <w:sz w:val="16"/>
                <w:szCs w:val="16"/>
                <w:color w:val="0000EE"/>
                <w:w w:val="86"/>
              </w:rPr>
            </w:pPr>
            <w:hyperlink r:id="rId11">
              <w:r>
                <w:rPr>
                  <w:rFonts w:ascii="Arial" w:cs="Arial" w:eastAsia="Arial" w:hAnsi="Arial"/>
                  <w:sz w:val="16"/>
                  <w:szCs w:val="16"/>
                  <w:color w:val="0000EE"/>
                  <w:w w:val="86"/>
                </w:rPr>
                <w:t>Sankar Subramanian</w:t>
              </w:r>
            </w:hyperlink>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Borders>
              <w:bottom w:val="single" w:sz="8" w:color="0000EE"/>
            </w:tcBorders>
            <w:gridSpan w:val="2"/>
            <w:vMerge w:val="continue"/>
          </w:tcPr>
          <w:p>
            <w:pPr>
              <w:spacing w:after="0"/>
              <w:rPr>
                <w:sz w:val="9"/>
                <w:szCs w:val="9"/>
                <w:color w:val="auto"/>
              </w:rPr>
            </w:pPr>
          </w:p>
        </w:tc>
        <w:tc>
          <w:tcPr>
            <w:tcW w:w="68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06/09/2021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68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5"/>
          <w:szCs w:val="15"/>
          <w:color w:val="0000EE"/>
        </w:rPr>
      </w:pPr>
      <w:hyperlink r:id="rId12">
        <w:r>
          <w:rPr>
            <w:rFonts w:ascii="Arial" w:cs="Arial" w:eastAsia="Arial" w:hAnsi="Arial"/>
            <w:sz w:val="15"/>
            <w:szCs w:val="15"/>
            <w:u w:val="single" w:color="auto"/>
            <w:color w:val="0000EE"/>
          </w:rPr>
          <w:t>Nautilus Biotechnology,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NAUT</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61"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114"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NAUTILUS BIOTECHNOLOGY, INC.</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425 PONTIUS AVE N, STE 202</w:t>
      </w:r>
    </w:p>
    <w:p>
      <w:pPr>
        <w:spacing w:after="0" w:line="226"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3"/>
          <w:szCs w:val="13"/>
          <w:color w:val="0000FF"/>
        </w:rPr>
        <w:t>SEATTLE</w:t>
      </w:r>
      <w:r>
        <w:rPr>
          <w:sz w:val="20"/>
          <w:szCs w:val="20"/>
          <w:color w:val="auto"/>
        </w:rPr>
        <w:tab/>
      </w:r>
      <w:r>
        <w:rPr>
          <w:rFonts w:ascii="Arial" w:cs="Arial" w:eastAsia="Arial" w:hAnsi="Arial"/>
          <w:sz w:val="13"/>
          <w:szCs w:val="13"/>
          <w:color w:val="0000FF"/>
        </w:rPr>
        <w:t>WA</w:t>
      </w:r>
      <w:r>
        <w:rPr>
          <w:sz w:val="20"/>
          <w:szCs w:val="20"/>
          <w:color w:val="auto"/>
        </w:rPr>
        <w:tab/>
      </w:r>
      <w:r>
        <w:rPr>
          <w:rFonts w:ascii="Arial" w:cs="Arial" w:eastAsia="Arial" w:hAnsi="Arial"/>
          <w:sz w:val="11"/>
          <w:szCs w:val="11"/>
          <w:color w:val="0000FF"/>
        </w:rPr>
        <w:t>98109</w:t>
      </w:r>
    </w:p>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725"/>
        <w:spacing w:after="0"/>
        <w:rPr>
          <w:sz w:val="20"/>
          <w:szCs w:val="20"/>
          <w:color w:val="auto"/>
        </w:rPr>
      </w:pPr>
      <w:r>
        <w:rPr>
          <w:rFonts w:ascii="Arial" w:cs="Arial" w:eastAsia="Arial" w:hAnsi="Arial"/>
          <w:sz w:val="13"/>
          <w:szCs w:val="13"/>
          <w:color w:val="0000FF"/>
        </w:rPr>
        <w:t>Senior VP, Product Development</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39"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56"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0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18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9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1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960" w:type="dxa"/>
            <w:vAlign w:val="bottom"/>
            <w:vMerge w:val="restart"/>
          </w:tcPr>
          <w:p>
            <w:pPr>
              <w:ind w:left="3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Expiration</w:t>
            </w:r>
          </w:p>
        </w:tc>
        <w:tc>
          <w:tcPr>
            <w:tcW w:w="18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960" w:type="dxa"/>
            <w:vAlign w:val="bottom"/>
          </w:tcPr>
          <w:p>
            <w:pPr>
              <w:ind w:left="3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1820" w:type="dxa"/>
            <w:vAlign w:val="bottom"/>
            <w:vMerge w:val="continue"/>
          </w:tcPr>
          <w:p>
            <w:pPr>
              <w:spacing w:after="0"/>
              <w:rPr>
                <w:sz w:val="11"/>
                <w:szCs w:val="11"/>
                <w:color w:val="auto"/>
              </w:rPr>
            </w:pPr>
          </w:p>
        </w:tc>
        <w:tc>
          <w:tcPr>
            <w:tcW w:w="960" w:type="dxa"/>
            <w:vAlign w:val="bottom"/>
          </w:tcPr>
          <w:p>
            <w:pPr>
              <w:ind w:left="3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660" w:type="dxa"/>
            <w:vAlign w:val="bottom"/>
          </w:tcPr>
          <w:p>
            <w:pPr>
              <w:ind w:left="280"/>
              <w:spacing w:after="0"/>
              <w:rPr>
                <w:sz w:val="20"/>
                <w:szCs w:val="20"/>
                <w:color w:val="auto"/>
              </w:rPr>
            </w:pPr>
            <w:r>
              <w:rPr>
                <w:rFonts w:ascii="Arial" w:cs="Arial" w:eastAsia="Arial" w:hAnsi="Arial"/>
                <w:sz w:val="8"/>
                <w:szCs w:val="8"/>
                <w:color w:val="008000"/>
              </w:rPr>
              <w:t>(1)</w:t>
            </w:r>
          </w:p>
        </w:tc>
        <w:tc>
          <w:tcPr>
            <w:tcW w:w="600" w:type="dxa"/>
            <w:vAlign w:val="bottom"/>
          </w:tcPr>
          <w:p>
            <w:pPr>
              <w:jc w:val="right"/>
              <w:ind w:right="30"/>
              <w:spacing w:after="0"/>
              <w:rPr>
                <w:sz w:val="20"/>
                <w:szCs w:val="20"/>
                <w:color w:val="auto"/>
              </w:rPr>
            </w:pPr>
            <w:r>
              <w:rPr>
                <w:rFonts w:ascii="Arial" w:cs="Arial" w:eastAsia="Arial" w:hAnsi="Arial"/>
                <w:sz w:val="10"/>
                <w:szCs w:val="10"/>
                <w:color w:val="0000FF"/>
                <w:w w:val="99"/>
              </w:rPr>
              <w:t>12/03/2030</w:t>
            </w:r>
          </w:p>
        </w:tc>
        <w:tc>
          <w:tcPr>
            <w:tcW w:w="1820" w:type="dxa"/>
            <w:vAlign w:val="bottom"/>
          </w:tcPr>
          <w:p>
            <w:pPr>
              <w:ind w:left="660"/>
              <w:spacing w:after="0"/>
              <w:rPr>
                <w:sz w:val="20"/>
                <w:szCs w:val="20"/>
                <w:color w:val="auto"/>
              </w:rPr>
            </w:pPr>
            <w:r>
              <w:rPr>
                <w:rFonts w:ascii="Arial" w:cs="Arial" w:eastAsia="Arial" w:hAnsi="Arial"/>
                <w:sz w:val="13"/>
                <w:szCs w:val="13"/>
                <w:color w:val="0000FF"/>
              </w:rPr>
              <w:t>Common Stock</w:t>
            </w:r>
          </w:p>
        </w:tc>
        <w:tc>
          <w:tcPr>
            <w:tcW w:w="960" w:type="dxa"/>
            <w:vAlign w:val="bottom"/>
          </w:tcPr>
          <w:p>
            <w:pPr>
              <w:jc w:val="right"/>
              <w:ind w:right="46"/>
              <w:spacing w:after="0"/>
              <w:rPr>
                <w:sz w:val="20"/>
                <w:szCs w:val="20"/>
                <w:color w:val="auto"/>
              </w:rPr>
            </w:pPr>
            <w:r>
              <w:rPr>
                <w:rFonts w:ascii="Arial" w:cs="Arial" w:eastAsia="Arial" w:hAnsi="Arial"/>
                <w:sz w:val="13"/>
                <w:szCs w:val="13"/>
                <w:color w:val="0000FF"/>
              </w:rPr>
              <w:t>725,614</w:t>
            </w:r>
          </w:p>
        </w:tc>
        <w:tc>
          <w:tcPr>
            <w:tcW w:w="720" w:type="dxa"/>
            <w:vAlign w:val="bottom"/>
          </w:tcPr>
          <w:p>
            <w:pPr>
              <w:ind w:left="280"/>
              <w:spacing w:after="0"/>
              <w:rPr>
                <w:sz w:val="20"/>
                <w:szCs w:val="20"/>
                <w:color w:val="auto"/>
              </w:rPr>
            </w:pPr>
            <w:r>
              <w:rPr>
                <w:rFonts w:ascii="Arial" w:cs="Arial" w:eastAsia="Arial" w:hAnsi="Arial"/>
                <w:sz w:val="13"/>
                <w:szCs w:val="13"/>
                <w:color w:val="0000FF"/>
              </w:rPr>
              <w:t>1.14</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3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0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100" w:hanging="10"/>
        <w:spacing w:after="0" w:line="242" w:lineRule="auto"/>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Subject to reporting person's continuous status as a "Service Provider" (as defined in the Nautilus Subsidiary, Inc. 2017 Equity Incentive Plan) through each vesting date, 13/49ths of the shares subject to the Option shall vest on the thirteen (13) month anniversary of the Vesting Commencement Date (as defined below), and one forty-ninth (1/49th) of the shares subject to the Option shall vest each month thereafter on the same day of the month as the Vesting Commencement Date (and if there is no corresponding day, on the last day of the month).The Vesting Commencement Date is December 3, 2020.</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Anna Mowry, as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06/09/2021</w:t>
            </w:r>
          </w:p>
        </w:tc>
      </w:tr>
      <w:tr>
        <w:trPr>
          <w:trHeight w:val="170"/>
        </w:trPr>
        <w:tc>
          <w:tcPr>
            <w:tcW w:w="6580" w:type="dxa"/>
            <w:vAlign w:val="bottom"/>
          </w:tcPr>
          <w:p>
            <w:pPr>
              <w:spacing w:after="0"/>
              <w:rPr>
                <w:sz w:val="14"/>
                <w:szCs w:val="14"/>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2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Nautilus Biotechnology, Inc. (the "Company"), hereby constitutes and appoints Sujal Patel</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attorneys-in-fact shall in their discretion det</w:t>
      </w:r>
    </w:p>
    <w:p>
      <w:pPr>
        <w:spacing w:after="0" w:line="153" w:lineRule="exact"/>
        <w:rPr>
          <w:rFonts w:ascii="Courier New" w:cs="Courier New" w:eastAsia="Courier New" w:hAnsi="Courier New"/>
          <w:sz w:val="13"/>
          <w:szCs w:val="13"/>
          <w:color w:val="auto"/>
        </w:rPr>
      </w:pPr>
    </w:p>
    <w:p>
      <w:pPr>
        <w:jc w:val="both"/>
        <w:spacing w:after="0" w:line="488"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Securities and Exchange Commission, any securities exchange or national assoc The undersigned hereby ratifies and confirms all that said attorneys in-fact and agent shall do or cause to be done by virtue hereof. The und This Power of Attorney shall remain in full force and effect until the undersigned is no longer required to file Forms 3, 4 and 5 with respect IN WITNESS WHEREOF, the undersigned has caused this Power of Attorney to be executed as of this 9th day of June, 2021.</w:t>
      </w:r>
    </w:p>
    <w:p>
      <w:pPr>
        <w:spacing w:after="0" w:line="30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/s/ Subra Sankar</w:t>
      </w:r>
    </w:p>
    <w:p>
      <w:pPr>
        <w:spacing w:after="0" w:line="153"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Subra Sankar</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56744" TargetMode="External"/><Relationship Id="rId12"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2021-06-09T20:45:52Z</dcterms:created>
  <dcterms:modified xsi:type="dcterms:W3CDTF">2021-06-09T20:45:52Z</dcterms:modified>
</cp:coreProperties>
</file>