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24, 2022</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NAUTILUS BIOTECHNOLOGY,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jc w:val="center"/>
              <w:ind w:left="1662"/>
              <w:spacing w:after="0"/>
              <w:rPr>
                <w:sz w:val="20"/>
                <w:szCs w:val="20"/>
                <w:color w:val="auto"/>
              </w:rPr>
            </w:pPr>
            <w:r>
              <w:rPr>
                <w:rFonts w:ascii="Arial" w:cs="Arial" w:eastAsia="Arial" w:hAnsi="Arial"/>
                <w:sz w:val="18"/>
                <w:szCs w:val="18"/>
                <w:b w:val="1"/>
                <w:bCs w:val="1"/>
                <w:color w:val="auto"/>
                <w:w w:val="91"/>
              </w:rPr>
              <w:t>Delaware</w:t>
            </w:r>
          </w:p>
        </w:tc>
        <w:tc>
          <w:tcPr>
            <w:tcW w:w="7460" w:type="dxa"/>
            <w:vAlign w:val="bottom"/>
            <w:gridSpan w:val="3"/>
          </w:tcPr>
          <w:p>
            <w:pPr>
              <w:jc w:val="center"/>
              <w:ind w:left="1915"/>
              <w:spacing w:after="0"/>
              <w:rPr>
                <w:sz w:val="20"/>
                <w:szCs w:val="20"/>
                <w:color w:val="auto"/>
              </w:rPr>
            </w:pPr>
            <w:r>
              <w:rPr>
                <w:rFonts w:ascii="Arial" w:cs="Arial" w:eastAsia="Arial" w:hAnsi="Arial"/>
                <w:sz w:val="18"/>
                <w:szCs w:val="18"/>
                <w:b w:val="1"/>
                <w:bCs w:val="1"/>
                <w:color w:val="auto"/>
                <w:w w:val="89"/>
              </w:rPr>
              <w:t>98-1541723</w:t>
            </w:r>
          </w:p>
        </w:tc>
      </w:tr>
      <w:tr>
        <w:trPr>
          <w:trHeight w:val="224"/>
        </w:trPr>
        <w:tc>
          <w:tcPr>
            <w:tcW w:w="3740" w:type="dxa"/>
            <w:vAlign w:val="bottom"/>
            <w:tcBorders>
              <w:top w:val="single" w:sz="8" w:color="auto"/>
            </w:tcBorders>
          </w:tcPr>
          <w:p>
            <w:pPr>
              <w:jc w:val="center"/>
              <w:ind w:left="1662"/>
              <w:spacing w:after="0"/>
              <w:rPr>
                <w:sz w:val="20"/>
                <w:szCs w:val="20"/>
                <w:color w:val="auto"/>
              </w:rPr>
            </w:pPr>
            <w:r>
              <w:rPr>
                <w:rFonts w:ascii="Arial" w:cs="Arial" w:eastAsia="Arial" w:hAnsi="Arial"/>
                <w:sz w:val="14"/>
                <w:szCs w:val="14"/>
                <w:color w:val="auto"/>
                <w:w w:val="95"/>
              </w:rPr>
              <w:t>(State or other jurisdiction of</w:t>
            </w:r>
          </w:p>
        </w:tc>
        <w:tc>
          <w:tcPr>
            <w:tcW w:w="1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(I.R.S. Employer</w:t>
            </w:r>
          </w:p>
        </w:tc>
      </w:tr>
      <w:tr>
        <w:trPr>
          <w:trHeight w:val="189"/>
        </w:trPr>
        <w:tc>
          <w:tcPr>
            <w:tcW w:w="3740" w:type="dxa"/>
            <w:vAlign w:val="bottom"/>
          </w:tcPr>
          <w:p>
            <w:pPr>
              <w:jc w:val="center"/>
              <w:ind w:left="1642"/>
              <w:spacing w:after="0"/>
              <w:rPr>
                <w:sz w:val="20"/>
                <w:szCs w:val="20"/>
                <w:color w:val="auto"/>
              </w:rPr>
            </w:pPr>
            <w:r>
              <w:rPr>
                <w:rFonts w:ascii="Arial" w:cs="Arial" w:eastAsia="Arial" w:hAnsi="Arial"/>
                <w:sz w:val="14"/>
                <w:szCs w:val="14"/>
                <w:color w:val="auto"/>
                <w:w w:val="95"/>
              </w:rPr>
              <w:t>incorporation or organization)</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8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372"/>
        </w:trPr>
        <w:tc>
          <w:tcPr>
            <w:tcW w:w="3740" w:type="dxa"/>
            <w:vAlign w:val="bottom"/>
          </w:tcPr>
          <w:p>
            <w:pPr>
              <w:spacing w:after="0"/>
              <w:rPr>
                <w:sz w:val="24"/>
                <w:szCs w:val="24"/>
                <w:color w:val="auto"/>
              </w:rPr>
            </w:pPr>
          </w:p>
        </w:tc>
        <w:tc>
          <w:tcPr>
            <w:tcW w:w="7460" w:type="dxa"/>
            <w:vAlign w:val="bottom"/>
            <w:gridSpan w:val="3"/>
          </w:tcPr>
          <w:p>
            <w:pPr>
              <w:jc w:val="center"/>
              <w:ind w:right="3648"/>
              <w:spacing w:after="0"/>
              <w:rPr>
                <w:sz w:val="20"/>
                <w:szCs w:val="20"/>
                <w:color w:val="auto"/>
              </w:rPr>
            </w:pPr>
            <w:r>
              <w:rPr>
                <w:rFonts w:ascii="Arial" w:cs="Arial" w:eastAsia="Arial" w:hAnsi="Arial"/>
                <w:sz w:val="18"/>
                <w:szCs w:val="18"/>
                <w:b w:val="1"/>
                <w:bCs w:val="1"/>
                <w:color w:val="auto"/>
                <w:w w:val="89"/>
              </w:rPr>
              <w:t>2701 Eastlake Avenue East</w:t>
            </w:r>
          </w:p>
        </w:tc>
      </w:tr>
      <w:tr>
        <w:trPr>
          <w:trHeight w:val="234"/>
        </w:trPr>
        <w:tc>
          <w:tcPr>
            <w:tcW w:w="3740" w:type="dxa"/>
            <w:vAlign w:val="bottom"/>
          </w:tcPr>
          <w:p>
            <w:pPr>
              <w:spacing w:after="0"/>
              <w:rPr>
                <w:sz w:val="20"/>
                <w:szCs w:val="20"/>
                <w:color w:val="auto"/>
              </w:rPr>
            </w:pPr>
          </w:p>
        </w:tc>
        <w:tc>
          <w:tcPr>
            <w:tcW w:w="7460" w:type="dxa"/>
            <w:vAlign w:val="bottom"/>
            <w:gridSpan w:val="3"/>
          </w:tcPr>
          <w:p>
            <w:pPr>
              <w:jc w:val="center"/>
              <w:ind w:right="3648"/>
              <w:spacing w:after="0"/>
              <w:rPr>
                <w:sz w:val="20"/>
                <w:szCs w:val="20"/>
                <w:color w:val="auto"/>
              </w:rPr>
            </w:pPr>
            <w:r>
              <w:rPr>
                <w:rFonts w:ascii="Arial" w:cs="Arial" w:eastAsia="Arial" w:hAnsi="Arial"/>
                <w:sz w:val="18"/>
                <w:szCs w:val="18"/>
                <w:b w:val="1"/>
                <w:bCs w:val="1"/>
                <w:color w:val="auto"/>
                <w:w w:val="88"/>
              </w:rPr>
              <w:t>Seattle, Washington 98102</w:t>
            </w:r>
          </w:p>
        </w:tc>
      </w:tr>
      <w:tr>
        <w:trPr>
          <w:trHeight w:val="298"/>
        </w:trPr>
        <w:tc>
          <w:tcPr>
            <w:tcW w:w="3740" w:type="dxa"/>
            <w:vAlign w:val="bottom"/>
          </w:tcPr>
          <w:p>
            <w:pPr>
              <w:spacing w:after="0"/>
              <w:rPr>
                <w:sz w:val="24"/>
                <w:szCs w:val="24"/>
                <w:color w:val="auto"/>
              </w:rPr>
            </w:pPr>
          </w:p>
        </w:tc>
        <w:tc>
          <w:tcPr>
            <w:tcW w:w="7460" w:type="dxa"/>
            <w:vAlign w:val="bottom"/>
            <w:gridSpan w:val="3"/>
          </w:tcPr>
          <w:p>
            <w:pPr>
              <w:jc w:val="center"/>
              <w:ind w:right="3668"/>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350"/>
        </w:trPr>
        <w:tc>
          <w:tcPr>
            <w:tcW w:w="3740" w:type="dxa"/>
            <w:vAlign w:val="bottom"/>
          </w:tcPr>
          <w:p>
            <w:pPr>
              <w:spacing w:after="0"/>
              <w:rPr>
                <w:sz w:val="24"/>
                <w:szCs w:val="24"/>
                <w:color w:val="auto"/>
              </w:rPr>
            </w:pPr>
          </w:p>
        </w:tc>
        <w:tc>
          <w:tcPr>
            <w:tcW w:w="7460" w:type="dxa"/>
            <w:vAlign w:val="bottom"/>
            <w:gridSpan w:val="3"/>
          </w:tcPr>
          <w:p>
            <w:pPr>
              <w:jc w:val="center"/>
              <w:ind w:right="3668"/>
              <w:spacing w:after="0"/>
              <w:rPr>
                <w:sz w:val="20"/>
                <w:szCs w:val="20"/>
                <w:color w:val="auto"/>
              </w:rPr>
            </w:pPr>
            <w:r>
              <w:rPr>
                <w:rFonts w:ascii="Arial" w:cs="Arial" w:eastAsia="Arial" w:hAnsi="Arial"/>
                <w:sz w:val="18"/>
                <w:szCs w:val="18"/>
                <w:b w:val="1"/>
                <w:bCs w:val="1"/>
                <w:color w:val="auto"/>
                <w:w w:val="91"/>
              </w:rPr>
              <w:t>2021 Equity Incentive Plan</w:t>
            </w:r>
          </w:p>
        </w:tc>
      </w:tr>
      <w:tr>
        <w:trPr>
          <w:trHeight w:val="243"/>
        </w:trPr>
        <w:tc>
          <w:tcPr>
            <w:tcW w:w="3740" w:type="dxa"/>
            <w:vAlign w:val="bottom"/>
          </w:tcPr>
          <w:p>
            <w:pPr>
              <w:spacing w:after="0"/>
              <w:rPr>
                <w:sz w:val="21"/>
                <w:szCs w:val="21"/>
                <w:color w:val="auto"/>
              </w:rPr>
            </w:pPr>
          </w:p>
        </w:tc>
        <w:tc>
          <w:tcPr>
            <w:tcW w:w="7460" w:type="dxa"/>
            <w:vAlign w:val="bottom"/>
            <w:gridSpan w:val="3"/>
          </w:tcPr>
          <w:p>
            <w:pPr>
              <w:jc w:val="center"/>
              <w:ind w:right="3648"/>
              <w:spacing w:after="0"/>
              <w:rPr>
                <w:sz w:val="20"/>
                <w:szCs w:val="20"/>
                <w:color w:val="auto"/>
              </w:rPr>
            </w:pPr>
            <w:r>
              <w:rPr>
                <w:rFonts w:ascii="Arial" w:cs="Arial" w:eastAsia="Arial" w:hAnsi="Arial"/>
                <w:sz w:val="18"/>
                <w:szCs w:val="18"/>
                <w:b w:val="1"/>
                <w:bCs w:val="1"/>
                <w:color w:val="auto"/>
                <w:w w:val="88"/>
              </w:rPr>
              <w:t>2021 Employee Stock Purchase Plan</w:t>
            </w:r>
          </w:p>
        </w:tc>
      </w:tr>
      <w:tr>
        <w:trPr>
          <w:trHeight w:val="190"/>
        </w:trPr>
        <w:tc>
          <w:tcPr>
            <w:tcW w:w="3740" w:type="dxa"/>
            <w:vAlign w:val="bottom"/>
          </w:tcPr>
          <w:p>
            <w:pPr>
              <w:spacing w:after="0"/>
              <w:rPr>
                <w:sz w:val="16"/>
                <w:szCs w:val="16"/>
                <w:color w:val="auto"/>
              </w:rPr>
            </w:pPr>
          </w:p>
        </w:tc>
        <w:tc>
          <w:tcPr>
            <w:tcW w:w="7460" w:type="dxa"/>
            <w:vAlign w:val="bottom"/>
            <w:gridSpan w:val="3"/>
          </w:tcPr>
          <w:p>
            <w:pPr>
              <w:jc w:val="center"/>
              <w:ind w:right="3668"/>
              <w:spacing w:after="0"/>
              <w:rPr>
                <w:sz w:val="20"/>
                <w:szCs w:val="20"/>
                <w:color w:val="auto"/>
              </w:rPr>
            </w:pPr>
            <w:r>
              <w:rPr>
                <w:rFonts w:ascii="Arial" w:cs="Arial" w:eastAsia="Arial" w:hAnsi="Arial"/>
                <w:sz w:val="14"/>
                <w:szCs w:val="14"/>
                <w:color w:val="auto"/>
                <w:w w:val="97"/>
              </w:rPr>
              <w:t>(Full title of the plan)</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Sujal Patel</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2701 Eastlake Avenue East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and telephone number, including area code, of agent for service)</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Copies to:</w:t>
      </w:r>
    </w:p>
    <w:p>
      <w:pPr>
        <w:spacing w:after="0" w:line="140"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5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Robert F. Kornegay</w:t>
            </w:r>
          </w:p>
        </w:tc>
        <w:tc>
          <w:tcPr>
            <w:tcW w:w="3580" w:type="dxa"/>
            <w:vAlign w:val="bottom"/>
          </w:tcPr>
          <w:p>
            <w:pPr>
              <w:jc w:val="center"/>
              <w:ind w:left="1430"/>
              <w:spacing w:after="0"/>
              <w:rPr>
                <w:sz w:val="20"/>
                <w:szCs w:val="20"/>
                <w:color w:val="auto"/>
              </w:rPr>
            </w:pPr>
            <w:r>
              <w:rPr>
                <w:rFonts w:ascii="Arial" w:cs="Arial" w:eastAsia="Arial" w:hAnsi="Arial"/>
                <w:sz w:val="18"/>
                <w:szCs w:val="18"/>
                <w:b w:val="1"/>
                <w:bCs w:val="1"/>
                <w:color w:val="auto"/>
                <w:w w:val="97"/>
              </w:rPr>
              <w:t>Matthew Murphy</w:t>
            </w:r>
          </w:p>
        </w:tc>
      </w:tr>
      <w:tr>
        <w:trPr>
          <w:trHeight w:val="243"/>
        </w:trPr>
        <w:tc>
          <w:tcPr>
            <w:tcW w:w="45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Zachary B. Myers</w:t>
            </w:r>
          </w:p>
        </w:tc>
        <w:tc>
          <w:tcPr>
            <w:tcW w:w="3580" w:type="dxa"/>
            <w:vAlign w:val="bottom"/>
          </w:tcPr>
          <w:p>
            <w:pPr>
              <w:jc w:val="center"/>
              <w:ind w:left="1430"/>
              <w:spacing w:after="0"/>
              <w:rPr>
                <w:sz w:val="20"/>
                <w:szCs w:val="20"/>
                <w:color w:val="auto"/>
              </w:rPr>
            </w:pPr>
            <w:r>
              <w:rPr>
                <w:rFonts w:ascii="Arial" w:cs="Arial" w:eastAsia="Arial" w:hAnsi="Arial"/>
                <w:sz w:val="18"/>
                <w:szCs w:val="18"/>
                <w:b w:val="1"/>
                <w:bCs w:val="1"/>
                <w:color w:val="auto"/>
                <w:w w:val="90"/>
              </w:rPr>
              <w:t>General Counsel</w:t>
            </w:r>
          </w:p>
        </w:tc>
      </w:tr>
      <w:tr>
        <w:trPr>
          <w:trHeight w:val="243"/>
        </w:trPr>
        <w:tc>
          <w:tcPr>
            <w:tcW w:w="45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358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2701 Eastlake Avenue East</w:t>
            </w:r>
          </w:p>
        </w:tc>
      </w:tr>
      <w:tr>
        <w:trPr>
          <w:trHeight w:val="243"/>
        </w:trPr>
        <w:tc>
          <w:tcPr>
            <w:tcW w:w="4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650 Page Mill Road</w:t>
            </w:r>
          </w:p>
        </w:tc>
        <w:tc>
          <w:tcPr>
            <w:tcW w:w="3580" w:type="dxa"/>
            <w:vAlign w:val="bottom"/>
          </w:tcPr>
          <w:p>
            <w:pPr>
              <w:jc w:val="center"/>
              <w:ind w:left="1430"/>
              <w:spacing w:after="0"/>
              <w:rPr>
                <w:sz w:val="20"/>
                <w:szCs w:val="20"/>
                <w:color w:val="auto"/>
              </w:rPr>
            </w:pPr>
            <w:r>
              <w:rPr>
                <w:rFonts w:ascii="Arial" w:cs="Arial" w:eastAsia="Arial" w:hAnsi="Arial"/>
                <w:sz w:val="18"/>
                <w:szCs w:val="18"/>
                <w:b w:val="1"/>
                <w:bCs w:val="1"/>
                <w:color w:val="auto"/>
                <w:w w:val="88"/>
              </w:rPr>
              <w:t>Seattle, Washington 98102</w:t>
            </w:r>
          </w:p>
        </w:tc>
      </w:tr>
      <w:tr>
        <w:trPr>
          <w:trHeight w:val="243"/>
        </w:trPr>
        <w:tc>
          <w:tcPr>
            <w:tcW w:w="45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Palo Alto, California 94304</w:t>
            </w:r>
          </w:p>
        </w:tc>
        <w:tc>
          <w:tcPr>
            <w:tcW w:w="3580" w:type="dxa"/>
            <w:vAlign w:val="bottom"/>
          </w:tcPr>
          <w:p>
            <w:pPr>
              <w:jc w:val="center"/>
              <w:ind w:left="1430"/>
              <w:spacing w:after="0"/>
              <w:rPr>
                <w:sz w:val="20"/>
                <w:szCs w:val="20"/>
                <w:color w:val="auto"/>
              </w:rPr>
            </w:pPr>
            <w:r>
              <w:rPr>
                <w:rFonts w:ascii="Arial" w:cs="Arial" w:eastAsia="Arial" w:hAnsi="Arial"/>
                <w:sz w:val="18"/>
                <w:szCs w:val="18"/>
                <w:b w:val="1"/>
                <w:bCs w:val="1"/>
                <w:color w:val="auto"/>
                <w:w w:val="92"/>
              </w:rPr>
              <w:t>(206) 333-2001</w:t>
            </w:r>
          </w:p>
        </w:tc>
      </w:tr>
      <w:tr>
        <w:trPr>
          <w:trHeight w:val="243"/>
        </w:trPr>
        <w:tc>
          <w:tcPr>
            <w:tcW w:w="458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(650) 493-9300</w:t>
            </w:r>
          </w:p>
        </w:tc>
        <w:tc>
          <w:tcPr>
            <w:tcW w:w="3580" w:type="dxa"/>
            <w:vAlign w:val="bottom"/>
          </w:tcPr>
          <w:p>
            <w:pPr>
              <w:spacing w:after="0"/>
              <w:rPr>
                <w:sz w:val="21"/>
                <w:szCs w:val="21"/>
                <w:color w:val="auto"/>
              </w:rPr>
            </w:pPr>
          </w:p>
        </w:tc>
      </w:tr>
    </w:tbl>
    <w:p>
      <w:pPr>
        <w:spacing w:after="0" w:line="161" w:lineRule="exact"/>
        <w:rPr>
          <w:sz w:val="24"/>
          <w:szCs w:val="24"/>
          <w:color w:val="auto"/>
        </w:rPr>
      </w:pPr>
    </w:p>
    <w:p>
      <w:pPr>
        <w:ind w:right="340"/>
        <w:spacing w:after="0" w:line="29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7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240" w:lineRule="exact"/>
        <w:rPr>
          <w:sz w:val="24"/>
          <w:szCs w:val="24"/>
          <w:color w:val="auto"/>
        </w:rPr>
      </w:pPr>
    </w:p>
    <w:p>
      <w:pPr>
        <w:ind w:right="160"/>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OF ADDITIONAL SECURITIES PURSUANT TO GENERAL INSTRUCTION E</w:t>
      </w:r>
    </w:p>
    <w:p>
      <w:pPr>
        <w:spacing w:after="0" w:line="22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This Registration Statement on Form S-8 (the “Registration Statement”) is being filed to register an additional 6,215,154 shares of common stock of Nautilus Biotechnology, Inc. (the “Registrant”) reserved for issuance pursuant to future awards under the Registrant’s 2021 Equity Incentive Plan (the “2021 Plan”) as a result of the annual evergreen increase under the 2021 Plan and 1,243,030 shares of Common Stock of the Registrant reserved for issuance pursuant to future awards under the 2021 Employee Stock Purchase Plan (the “2021 ESPP”) as a result of the annual evergreen increase under the 2021 ESPP.</w:t>
      </w:r>
    </w:p>
    <w:p>
      <w:pPr>
        <w:spacing w:after="0" w:line="205" w:lineRule="exact"/>
        <w:rPr>
          <w:sz w:val="20"/>
          <w:szCs w:val="20"/>
          <w:color w:val="auto"/>
        </w:rPr>
      </w:pPr>
    </w:p>
    <w:p>
      <w:pPr>
        <w:jc w:val="both"/>
        <w:ind w:firstLine="648"/>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These additional shares of common stock are securities of the same class as other securities for which a previous Registration Statement on Form S-8 was filed by the Registrant with the Securities and Exchange Commission (the “SEC”) on </w:t>
      </w:r>
      <w:hyperlink r:id="rId8">
        <w:r>
          <w:rPr>
            <w:rFonts w:ascii="Arial" w:cs="Arial" w:eastAsia="Arial" w:hAnsi="Arial"/>
            <w:sz w:val="18"/>
            <w:szCs w:val="18"/>
            <w:u w:val="single" w:color="auto"/>
            <w:color w:val="0000FF"/>
          </w:rPr>
          <w:t>August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333-258684) (the “Previous Registration Statement”). In accordance with General Instruction E of Form S-8, the contents of the Previous Registration Statement, including periodic reports filed after the Previous Registration Statement to maintain current information about the Registrant, are incorporated by reference into this Registration Statement.</w:t>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The Registrant hereby incorporates by reference into this registration statement (the “Registration Statement”) the following documents previously filed with the SEC:</w:t>
      </w:r>
    </w:p>
    <w:p>
      <w:pPr>
        <w:spacing w:after="0" w:line="171" w:lineRule="exact"/>
        <w:rPr>
          <w:sz w:val="20"/>
          <w:szCs w:val="20"/>
          <w:color w:val="auto"/>
        </w:rPr>
      </w:pPr>
    </w:p>
    <w:p>
      <w:pPr>
        <w:ind w:left="1300" w:hanging="644"/>
        <w:spacing w:after="0" w:line="308"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9">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fiscal year ended December 31, 2021 filed with the SEC on February 24, 2022;</w:t>
      </w:r>
    </w:p>
    <w:p>
      <w:pPr>
        <w:spacing w:after="0" w:line="170" w:lineRule="exact"/>
        <w:rPr>
          <w:rFonts w:ascii="Arial" w:cs="Arial" w:eastAsia="Arial" w:hAnsi="Arial"/>
          <w:sz w:val="18"/>
          <w:szCs w:val="18"/>
          <w:color w:val="auto"/>
        </w:rPr>
      </w:pPr>
    </w:p>
    <w:p>
      <w:pPr>
        <w:jc w:val="both"/>
        <w:ind w:left="1300" w:hanging="644"/>
        <w:spacing w:after="0" w:line="295"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Sections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208" w:lineRule="exact"/>
        <w:rPr>
          <w:rFonts w:ascii="Arial" w:cs="Arial" w:eastAsia="Arial" w:hAnsi="Arial"/>
          <w:sz w:val="18"/>
          <w:szCs w:val="18"/>
          <w:color w:val="auto"/>
        </w:rPr>
      </w:pPr>
    </w:p>
    <w:p>
      <w:pPr>
        <w:jc w:val="both"/>
        <w:ind w:left="1300" w:hanging="644"/>
        <w:spacing w:after="0" w:line="295" w:lineRule="auto"/>
        <w:tabs>
          <w:tab w:leader="none" w:pos="129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w:t>
      </w:r>
      <w:hyperlink r:id="rId10">
        <w:r>
          <w:rPr>
            <w:rFonts w:ascii="Arial" w:cs="Arial" w:eastAsia="Arial" w:hAnsi="Arial"/>
            <w:sz w:val="18"/>
            <w:szCs w:val="18"/>
            <w:u w:val="single" w:color="auto"/>
            <w:color w:val="0000FF"/>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6, 2020 pursuant to Section 12(b) of the Securities and Exchange Act of 1934, as amended (the “Exchange Act”), including any amendment or report filed for the purpose of updating such description.</w:t>
      </w:r>
    </w:p>
    <w:p>
      <w:pPr>
        <w:spacing w:after="0" w:line="209" w:lineRule="exact"/>
        <w:rPr>
          <w:rFonts w:ascii="Arial" w:cs="Arial" w:eastAsia="Arial" w:hAnsi="Arial"/>
          <w:sz w:val="18"/>
          <w:szCs w:val="18"/>
          <w:color w:val="auto"/>
        </w:rPr>
      </w:pPr>
    </w:p>
    <w:p>
      <w:pPr>
        <w:jc w:val="both"/>
        <w:ind w:firstLine="648"/>
        <w:spacing w:after="0" w:line="303"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43" w:lineRule="exact"/>
        <w:rPr>
          <w:rFonts w:ascii="Arial" w:cs="Arial" w:eastAsia="Arial" w:hAnsi="Arial"/>
          <w:sz w:val="18"/>
          <w:szCs w:val="18"/>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validity of the issuance of the shares of the Registrant’s common stock offered hereby has been passed upon by Wilson Sonsini Goodrich &amp; Rosati, Professional Corporation ("WSGR"). Certain members of, and investment partnerships comprised of members of, and persons associated with, WSGR, directly or indirectly, own less than 0.3% of the outstanding shares of the Registrant's Common Stock.</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Registrant has filed the exhibits listed on the accompanying Exhibit Index of this Registration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3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31" w:lineRule="exact"/>
        <w:rPr>
          <w:sz w:val="20"/>
          <w:szCs w:val="20"/>
          <w:color w:val="auto"/>
        </w:rPr>
      </w:pPr>
    </w:p>
    <w:p>
      <w:pPr>
        <w:jc w:val="right"/>
        <w:ind w:right="16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17145</wp:posOffset>
            </wp:positionV>
            <wp:extent cx="3360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160" w:space="720"/>
            <w:col w:w="6300"/>
          </w:cols>
          <w:pgMar w:left="360" w:top="1440" w:right="359" w:bottom="1440" w:gutter="0" w:footer="0" w:header="0"/>
        </w:sectPr>
      </w:pPr>
    </w:p>
    <w:p>
      <w:pPr>
        <w:jc w:val="right"/>
        <w:spacing w:after="0" w:line="435" w:lineRule="auto"/>
        <w:rPr>
          <w:sz w:val="20"/>
          <w:szCs w:val="20"/>
          <w:color w:val="auto"/>
        </w:rPr>
      </w:pPr>
      <w:r>
        <w:rPr>
          <w:rFonts w:ascii="Arial" w:cs="Arial" w:eastAsia="Arial" w:hAnsi="Arial"/>
          <w:sz w:val="16"/>
          <w:szCs w:val="16"/>
          <w:b w:val="1"/>
          <w:bCs w:val="1"/>
          <w:color w:val="auto"/>
        </w:rPr>
        <w:t xml:space="preserve">Number </w:t>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-248285</wp:posOffset>
            </wp:positionV>
            <wp:extent cx="634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43180</wp:posOffset>
            </wp:positionV>
            <wp:extent cx="3008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15" w:lineRule="exact"/>
        <w:rPr>
          <w:sz w:val="20"/>
          <w:szCs w:val="20"/>
          <w:color w:val="auto"/>
        </w:rPr>
      </w:pPr>
    </w:p>
    <w:p>
      <w:pPr>
        <w:spacing w:after="0"/>
        <w:rPr>
          <w:rFonts w:ascii="Arial" w:cs="Arial" w:eastAsia="Arial" w:hAnsi="Arial"/>
          <w:sz w:val="16"/>
          <w:szCs w:val="16"/>
          <w:u w:val="single" w:color="auto"/>
          <w:color w:val="0000FF"/>
        </w:rPr>
      </w:pPr>
      <w:hyperlink r:id="rId14">
        <w:r>
          <w:rPr>
            <w:rFonts w:ascii="Arial" w:cs="Arial" w:eastAsia="Arial" w:hAnsi="Arial"/>
            <w:sz w:val="16"/>
            <w:szCs w:val="16"/>
            <w:u w:val="single" w:color="auto"/>
            <w:color w:val="0000FF"/>
          </w:rPr>
          <w:t>Certificate of Incorporation of Nautilus Biotechnology, Inc.</w:t>
        </w:r>
      </w:hyperlink>
    </w:p>
    <w:p>
      <w:pPr>
        <w:spacing w:after="0" w:line="248" w:lineRule="exact"/>
        <w:rPr>
          <w:sz w:val="20"/>
          <w:szCs w:val="20"/>
          <w:color w:val="auto"/>
        </w:rPr>
      </w:pPr>
    </w:p>
    <w:p>
      <w:pPr>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Bylaws of Nautilus Biotechnology, Inc.</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Specimen Common Stock Certificate.</w:t>
        </w:r>
      </w:hyperlink>
    </w:p>
    <w:p>
      <w:pPr>
        <w:spacing w:after="0" w:line="225" w:lineRule="exact"/>
        <w:rPr>
          <w:sz w:val="20"/>
          <w:szCs w:val="20"/>
          <w:color w:val="auto"/>
        </w:rPr>
      </w:pPr>
    </w:p>
    <w:p>
      <w:pPr>
        <w:spacing w:after="0"/>
        <w:rPr>
          <w:rFonts w:ascii="Arial" w:cs="Arial" w:eastAsia="Arial" w:hAnsi="Arial"/>
          <w:sz w:val="17"/>
          <w:szCs w:val="17"/>
          <w:u w:val="single" w:color="auto"/>
          <w:color w:val="0000FF"/>
        </w:rPr>
      </w:pPr>
      <w:hyperlink r:id="rId17">
        <w:r>
          <w:rPr>
            <w:rFonts w:ascii="Arial" w:cs="Arial" w:eastAsia="Arial" w:hAnsi="Arial"/>
            <w:sz w:val="17"/>
            <w:szCs w:val="17"/>
            <w:u w:val="single" w:color="auto"/>
            <w:color w:val="0000FF"/>
          </w:rPr>
          <w:t>Nautilus Biotechnology, Inc. 2021 Equity Incentive Plan.</w:t>
        </w:r>
      </w:hyperlink>
    </w:p>
    <w:p>
      <w:pPr>
        <w:spacing w:after="0" w:line="237" w:lineRule="exact"/>
        <w:rPr>
          <w:sz w:val="20"/>
          <w:szCs w:val="20"/>
          <w:color w:val="auto"/>
        </w:rPr>
      </w:pPr>
    </w:p>
    <w:p>
      <w:pPr>
        <w:ind w:right="480"/>
        <w:spacing w:after="0" w:line="377" w:lineRule="auto"/>
        <w:rPr>
          <w:rFonts w:ascii="Arial" w:cs="Arial" w:eastAsia="Arial" w:hAnsi="Arial"/>
          <w:sz w:val="16"/>
          <w:szCs w:val="16"/>
          <w:u w:val="single" w:color="auto"/>
          <w:color w:val="0000FF"/>
        </w:rPr>
      </w:pPr>
      <w:hyperlink r:id="rId18">
        <w:r>
          <w:rPr>
            <w:rFonts w:ascii="Arial" w:cs="Arial" w:eastAsia="Arial" w:hAnsi="Arial"/>
            <w:sz w:val="16"/>
            <w:szCs w:val="16"/>
            <w:u w:val="single" w:color="auto"/>
            <w:color w:val="0000FF"/>
          </w:rPr>
          <w:t>Form of Stock Option Agreement under the Nautilus</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Biotechnology, Inc. 2021 Equity Incentive Plan.</w:t>
        </w:r>
      </w:hyperlink>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Form</w:t>
            </w: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File No.</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224"/>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8-K</w:t>
            </w:r>
          </w:p>
        </w:tc>
        <w:tc>
          <w:tcPr>
            <w:tcW w:w="1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10, 2021</w:t>
            </w:r>
          </w:p>
        </w:tc>
      </w:tr>
      <w:tr>
        <w:trPr>
          <w:trHeight w:val="404"/>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432"/>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432"/>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432"/>
        </w:trPr>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S-4</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26, 2021</w:t>
            </w:r>
          </w:p>
        </w:tc>
      </w:tr>
    </w:tbl>
    <w:p>
      <w:pPr>
        <w:spacing w:after="0" w:line="444" w:lineRule="exact"/>
        <w:rPr>
          <w:sz w:val="20"/>
          <w:szCs w:val="20"/>
          <w:color w:val="auto"/>
        </w:rPr>
      </w:pPr>
    </w:p>
    <w:p>
      <w:pPr>
        <w:sectPr>
          <w:pgSz w:w="11900" w:h="16838" w:orient="portrait"/>
          <w:cols w:equalWidth="0" w:num="3">
            <w:col w:w="640" w:space="440"/>
            <w:col w:w="4280" w:space="540"/>
            <w:col w:w="5280"/>
          </w:cols>
          <w:pgMar w:left="360" w:top="1440" w:right="359" w:bottom="1440" w:gutter="0" w:footer="0" w:header="0"/>
          <w:type w:val="continuous"/>
        </w:sectPr>
      </w:pPr>
    </w:p>
    <w:tbl>
      <w:tblPr>
        <w:tblLayout w:type="fixed"/>
        <w:tblInd w:w="320" w:type="dxa"/>
        <w:tblCellMar>
          <w:top w:w="0" w:type="dxa"/>
          <w:left w:w="0" w:type="dxa"/>
          <w:bottom w:w="0" w:type="dxa"/>
          <w:right w:w="0" w:type="dxa"/>
        </w:tblCellMar>
      </w:tblPr>
      <w:tr>
        <w:trPr>
          <w:trHeight w:val="230"/>
        </w:trPr>
        <w:tc>
          <w:tcPr>
            <w:tcW w:w="760" w:type="dxa"/>
            <w:vAlign w:val="bottom"/>
          </w:tcPr>
          <w:p>
            <w:pPr>
              <w:jc w:val="center"/>
              <w:ind w:right="370"/>
              <w:spacing w:after="0"/>
              <w:rPr>
                <w:sz w:val="20"/>
                <w:szCs w:val="20"/>
                <w:color w:val="auto"/>
              </w:rPr>
            </w:pPr>
            <w:r>
              <w:rPr>
                <w:rFonts w:ascii="Arial" w:cs="Arial" w:eastAsia="Arial" w:hAnsi="Arial"/>
                <w:sz w:val="18"/>
                <w:szCs w:val="18"/>
                <w:color w:val="auto"/>
                <w:w w:val="87"/>
              </w:rPr>
              <w:t>4.6</w:t>
            </w:r>
          </w:p>
        </w:tc>
        <w:tc>
          <w:tcPr>
            <w:tcW w:w="4420" w:type="dxa"/>
            <w:vAlign w:val="bottom"/>
            <w:gridSpan w:val="8"/>
            <w:vMerge w:val="restart"/>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Form of Restricted Stock Unit Agreement under the Nautilus</w:t>
              </w:r>
            </w:hyperlink>
          </w:p>
        </w:tc>
        <w:tc>
          <w:tcPr>
            <w:tcW w:w="420" w:type="dxa"/>
            <w:vAlign w:val="bottom"/>
            <w:gridSpan w:val="3"/>
            <w:vMerge w:val="restart"/>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S-4</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10.8</w:t>
            </w:r>
          </w:p>
        </w:tc>
        <w:tc>
          <w:tcPr>
            <w:tcW w:w="1540" w:type="dxa"/>
            <w:vAlign w:val="bottom"/>
          </w:tcPr>
          <w:p>
            <w:pPr>
              <w:jc w:val="center"/>
              <w:ind w:left="290"/>
              <w:spacing w:after="0"/>
              <w:rPr>
                <w:sz w:val="20"/>
                <w:szCs w:val="20"/>
                <w:color w:val="auto"/>
              </w:rPr>
            </w:pPr>
            <w:r>
              <w:rPr>
                <w:rFonts w:ascii="Arial" w:cs="Arial" w:eastAsia="Arial" w:hAnsi="Arial"/>
                <w:sz w:val="18"/>
                <w:szCs w:val="18"/>
                <w:color w:val="auto"/>
                <w:w w:val="92"/>
              </w:rPr>
              <w:t>March 26, 2021</w:t>
            </w: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4420" w:type="dxa"/>
            <w:vAlign w:val="bottom"/>
            <w:tcBorders>
              <w:bottom w:val="single" w:sz="8" w:color="0000FF"/>
            </w:tcBorders>
            <w:gridSpan w:val="8"/>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840" w:type="dxa"/>
            <w:vAlign w:val="bottom"/>
            <w:gridSpan w:val="11"/>
          </w:tcPr>
          <w:p>
            <w:pPr>
              <w:spacing w:after="0"/>
              <w:rPr>
                <w:rFonts w:ascii="Arial" w:cs="Arial" w:eastAsia="Arial" w:hAnsi="Arial"/>
                <w:sz w:val="18"/>
                <w:szCs w:val="18"/>
                <w:color w:val="0000FF"/>
              </w:rPr>
            </w:pPr>
            <w:hyperlink r:id="rId19">
              <w:r>
                <w:rPr>
                  <w:rFonts w:ascii="Arial" w:cs="Arial" w:eastAsia="Arial" w:hAnsi="Arial"/>
                  <w:sz w:val="18"/>
                  <w:szCs w:val="18"/>
                  <w:color w:val="0000FF"/>
                </w:rPr>
                <w:t>Biotechnology, Inc. 2021 Equity Incentive Plan.</w:t>
              </w:r>
            </w:hyperlink>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7"/>
              </w:rPr>
              <w:t>4.7</w:t>
            </w: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S-4</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333-254796</w:t>
            </w:r>
          </w:p>
        </w:tc>
        <w:tc>
          <w:tcPr>
            <w:tcW w:w="1080" w:type="dxa"/>
            <w:vAlign w:val="bottom"/>
            <w:vMerge w:val="restart"/>
          </w:tcPr>
          <w:p>
            <w:pPr>
              <w:jc w:val="right"/>
              <w:ind w:right="310"/>
              <w:spacing w:after="0"/>
              <w:rPr>
                <w:sz w:val="20"/>
                <w:szCs w:val="20"/>
                <w:color w:val="auto"/>
              </w:rPr>
            </w:pPr>
            <w:r>
              <w:rPr>
                <w:rFonts w:ascii="Arial" w:cs="Arial" w:eastAsia="Arial" w:hAnsi="Arial"/>
                <w:sz w:val="18"/>
                <w:szCs w:val="18"/>
                <w:color w:val="auto"/>
              </w:rPr>
              <w:t>10.9</w:t>
            </w:r>
          </w:p>
        </w:tc>
        <w:tc>
          <w:tcPr>
            <w:tcW w:w="1540" w:type="dxa"/>
            <w:vAlign w:val="bottom"/>
            <w:vMerge w:val="restart"/>
          </w:tcPr>
          <w:p>
            <w:pPr>
              <w:jc w:val="center"/>
              <w:ind w:left="290"/>
              <w:spacing w:after="0"/>
              <w:rPr>
                <w:sz w:val="20"/>
                <w:szCs w:val="20"/>
                <w:color w:val="auto"/>
              </w:rPr>
            </w:pPr>
            <w:r>
              <w:rPr>
                <w:rFonts w:ascii="Arial" w:cs="Arial" w:eastAsia="Arial" w:hAnsi="Arial"/>
                <w:sz w:val="18"/>
                <w:szCs w:val="18"/>
                <w:color w:val="auto"/>
                <w:w w:val="92"/>
              </w:rPr>
              <w:t>March 26, 2021</w:t>
            </w: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560" w:type="dxa"/>
            <w:vAlign w:val="bottom"/>
            <w:gridSpan w:val="9"/>
            <w:vMerge w:val="restart"/>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Form of Restricted Stock Award Agreement under the Nautilus</w:t>
              </w:r>
            </w:hyperlink>
          </w:p>
        </w:tc>
        <w:tc>
          <w:tcPr>
            <w:tcW w:w="280" w:type="dxa"/>
            <w:vAlign w:val="bottom"/>
            <w:gridSpan w:val="2"/>
            <w:vMerge w:val="restart"/>
          </w:tcPr>
          <w:p>
            <w:pPr>
              <w:spacing w:after="0"/>
              <w:rPr>
                <w:sz w:val="24"/>
                <w:szCs w:val="24"/>
                <w:color w:val="auto"/>
              </w:rPr>
            </w:pPr>
          </w:p>
        </w:tc>
        <w:tc>
          <w:tcPr>
            <w:tcW w:w="8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4560" w:type="dxa"/>
            <w:vAlign w:val="bottom"/>
            <w:tcBorders>
              <w:bottom w:val="single" w:sz="8" w:color="0000FF"/>
            </w:tcBorders>
            <w:gridSpan w:val="9"/>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840" w:type="dxa"/>
            <w:vAlign w:val="bottom"/>
            <w:gridSpan w:val="11"/>
          </w:tcPr>
          <w:p>
            <w:pPr>
              <w:spacing w:after="0"/>
              <w:rPr>
                <w:rFonts w:ascii="Arial" w:cs="Arial" w:eastAsia="Arial" w:hAnsi="Arial"/>
                <w:sz w:val="18"/>
                <w:szCs w:val="18"/>
                <w:color w:val="0000FF"/>
              </w:rPr>
            </w:pPr>
            <w:hyperlink r:id="rId20">
              <w:r>
                <w:rPr>
                  <w:rFonts w:ascii="Arial" w:cs="Arial" w:eastAsia="Arial" w:hAnsi="Arial"/>
                  <w:sz w:val="18"/>
                  <w:szCs w:val="18"/>
                  <w:color w:val="0000FF"/>
                </w:rPr>
                <w:t>Biotechnology, Inc. 2021 Equity Incentive Plan.</w:t>
              </w:r>
            </w:hyperlink>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7"/>
              </w:rPr>
              <w:t>4.8</w:t>
            </w: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color w:val="auto"/>
              </w:rPr>
              <w:t>8-K</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001-39434</w:t>
            </w:r>
          </w:p>
        </w:tc>
        <w:tc>
          <w:tcPr>
            <w:tcW w:w="1080" w:type="dxa"/>
            <w:vAlign w:val="bottom"/>
            <w:vMerge w:val="restart"/>
          </w:tcPr>
          <w:p>
            <w:pPr>
              <w:jc w:val="right"/>
              <w:ind w:right="310"/>
              <w:spacing w:after="0"/>
              <w:rPr>
                <w:sz w:val="20"/>
                <w:szCs w:val="20"/>
                <w:color w:val="auto"/>
              </w:rPr>
            </w:pPr>
            <w:r>
              <w:rPr>
                <w:rFonts w:ascii="Arial" w:cs="Arial" w:eastAsia="Arial" w:hAnsi="Arial"/>
                <w:sz w:val="18"/>
                <w:szCs w:val="18"/>
                <w:color w:val="auto"/>
              </w:rPr>
              <w:t>10.5</w:t>
            </w:r>
          </w:p>
        </w:tc>
        <w:tc>
          <w:tcPr>
            <w:tcW w:w="154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400" w:type="dxa"/>
            <w:vAlign w:val="bottom"/>
            <w:gridSpan w:val="7"/>
            <w:vMerge w:val="restart"/>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Nautilus Biotechnology, Inc. 2021 Employee Stock Purchase</w:t>
              </w:r>
            </w:hyperlink>
          </w:p>
        </w:tc>
        <w:tc>
          <w:tcPr>
            <w:tcW w:w="440" w:type="dxa"/>
            <w:vAlign w:val="bottom"/>
            <w:gridSpan w:val="4"/>
            <w:vMerge w:val="restart"/>
          </w:tcPr>
          <w:p>
            <w:pPr>
              <w:spacing w:after="0"/>
              <w:rPr>
                <w:sz w:val="24"/>
                <w:szCs w:val="24"/>
                <w:color w:val="auto"/>
              </w:rPr>
            </w:pPr>
          </w:p>
        </w:tc>
        <w:tc>
          <w:tcPr>
            <w:tcW w:w="8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760" w:type="dxa"/>
            <w:vAlign w:val="bottom"/>
          </w:tcPr>
          <w:p>
            <w:pPr>
              <w:spacing w:after="0"/>
              <w:rPr>
                <w:sz w:val="3"/>
                <w:szCs w:val="3"/>
                <w:color w:val="auto"/>
              </w:rPr>
            </w:pPr>
          </w:p>
        </w:tc>
        <w:tc>
          <w:tcPr>
            <w:tcW w:w="4400" w:type="dxa"/>
            <w:vAlign w:val="bottom"/>
            <w:tcBorders>
              <w:bottom w:val="single" w:sz="8" w:color="0000FF"/>
            </w:tcBorders>
            <w:gridSpan w:val="7"/>
            <w:vMerge w:val="continue"/>
          </w:tcPr>
          <w:p>
            <w:pPr>
              <w:spacing w:after="0"/>
              <w:rPr>
                <w:sz w:val="3"/>
                <w:szCs w:val="3"/>
                <w:color w:val="auto"/>
              </w:rPr>
            </w:pPr>
          </w:p>
        </w:tc>
        <w:tc>
          <w:tcPr>
            <w:tcW w:w="440" w:type="dxa"/>
            <w:vAlign w:val="bottom"/>
            <w:gridSpan w:val="4"/>
            <w:vMerge w:val="continue"/>
          </w:tcPr>
          <w:p>
            <w:pPr>
              <w:spacing w:after="0"/>
              <w:rPr>
                <w:sz w:val="3"/>
                <w:szCs w:val="3"/>
                <w:color w:val="auto"/>
              </w:rPr>
            </w:pPr>
          </w:p>
        </w:tc>
        <w:tc>
          <w:tcPr>
            <w:tcW w:w="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840" w:type="dxa"/>
            <w:vAlign w:val="bottom"/>
            <w:gridSpan w:val="11"/>
          </w:tcPr>
          <w:p>
            <w:pPr>
              <w:spacing w:after="0"/>
              <w:rPr>
                <w:rFonts w:ascii="Arial" w:cs="Arial" w:eastAsia="Arial" w:hAnsi="Arial"/>
                <w:sz w:val="18"/>
                <w:szCs w:val="18"/>
                <w:color w:val="0000FF"/>
              </w:rPr>
            </w:pPr>
            <w:hyperlink r:id="rId21">
              <w:r>
                <w:rPr>
                  <w:rFonts w:ascii="Arial" w:cs="Arial" w:eastAsia="Arial" w:hAnsi="Arial"/>
                  <w:sz w:val="18"/>
                  <w:szCs w:val="18"/>
                  <w:color w:val="0000FF"/>
                </w:rPr>
                <w:t>Plan.</w:t>
              </w:r>
            </w:hyperlink>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7"/>
              </w:rPr>
              <w:t>5.1</w:t>
            </w:r>
          </w:p>
        </w:tc>
        <w:tc>
          <w:tcPr>
            <w:tcW w:w="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840" w:type="dxa"/>
            <w:vAlign w:val="bottom"/>
            <w:gridSpan w:val="11"/>
            <w:vMerge w:val="restart"/>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Opinion of Wilson Sonsini Goodrich &amp; Rosati, P.C.</w:t>
              </w:r>
            </w:hyperlink>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840" w:type="dxa"/>
            <w:vAlign w:val="bottom"/>
            <w:gridSpan w:val="11"/>
            <w:vMerge w:val="continue"/>
          </w:tcPr>
          <w:p>
            <w:pPr>
              <w:spacing w:after="0"/>
              <w:rPr>
                <w:sz w:val="3"/>
                <w:szCs w:val="3"/>
                <w:color w:val="auto"/>
              </w:rPr>
            </w:pPr>
          </w:p>
        </w:tc>
        <w:tc>
          <w:tcPr>
            <w:tcW w:w="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5"/>
              </w:rPr>
              <w:t>23.1</w:t>
            </w: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840" w:type="dxa"/>
            <w:vAlign w:val="bottom"/>
            <w:gridSpan w:val="11"/>
            <w:vMerge w:val="restart"/>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Independent Registered Public Accounting Firm,</w:t>
              </w:r>
            </w:hyperlink>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840" w:type="dxa"/>
            <w:vAlign w:val="bottom"/>
            <w:gridSpan w:val="11"/>
            <w:vMerge w:val="continue"/>
          </w:tcPr>
          <w:p>
            <w:pPr>
              <w:spacing w:after="0"/>
              <w:rPr>
                <w:sz w:val="3"/>
                <w:szCs w:val="3"/>
                <w:color w:val="auto"/>
              </w:rPr>
            </w:pPr>
          </w:p>
        </w:tc>
        <w:tc>
          <w:tcPr>
            <w:tcW w:w="8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60" w:type="dxa"/>
            <w:vAlign w:val="bottom"/>
            <w:tcBorders>
              <w:top w:val="single" w:sz="8" w:color="0000FF"/>
            </w:tcBorders>
            <w:gridSpan w:val="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PricewaterhouseCoopers LLP.</w:t>
              </w:r>
            </w:hyperlink>
          </w:p>
        </w:tc>
        <w:tc>
          <w:tcPr>
            <w:tcW w:w="480" w:type="dxa"/>
            <w:vAlign w:val="bottom"/>
            <w:gridSpan w:val="5"/>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Arial" w:cs="Arial" w:eastAsia="Arial" w:hAnsi="Arial"/>
                <w:sz w:val="18"/>
                <w:szCs w:val="18"/>
                <w:color w:val="auto"/>
                <w:w w:val="85"/>
              </w:rPr>
              <w:t>23.2</w:t>
            </w:r>
          </w:p>
        </w:tc>
        <w:tc>
          <w:tcPr>
            <w:tcW w:w="14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vMerge w:val="continue"/>
          </w:tcPr>
          <w:p>
            <w:pPr>
              <w:spacing w:after="0"/>
              <w:rPr>
                <w:sz w:val="24"/>
                <w:szCs w:val="24"/>
                <w:color w:val="auto"/>
              </w:rPr>
            </w:pPr>
          </w:p>
        </w:tc>
        <w:tc>
          <w:tcPr>
            <w:tcW w:w="4840" w:type="dxa"/>
            <w:vAlign w:val="bottom"/>
            <w:gridSpan w:val="11"/>
          </w:tcPr>
          <w:p>
            <w:pPr>
              <w:spacing w:after="0"/>
              <w:rPr>
                <w:rFonts w:ascii="Arial" w:cs="Arial" w:eastAsia="Arial" w:hAnsi="Arial"/>
                <w:sz w:val="18"/>
                <w:szCs w:val="18"/>
                <w:color w:val="0000FF"/>
                <w:w w:val="95"/>
              </w:rPr>
            </w:pPr>
            <w:hyperlink w:anchor="page8">
              <w:r>
                <w:rPr>
                  <w:rFonts w:ascii="Arial" w:cs="Arial" w:eastAsia="Arial" w:hAnsi="Arial"/>
                  <w:sz w:val="18"/>
                  <w:szCs w:val="18"/>
                  <w:color w:val="0000FF"/>
                  <w:w w:val="95"/>
                </w:rPr>
                <w:t>Consent of Wilson Sonsini Goodrich &amp; Rosati, P.C. (included in</w:t>
              </w:r>
            </w:hyperlink>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6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Exhibit 5.1 hereto).</w:t>
              </w:r>
            </w:hyperlink>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40" w:type="dxa"/>
            <w:vAlign w:val="bottom"/>
          </w:tcPr>
          <w:p>
            <w:pPr>
              <w:jc w:val="right"/>
              <w:ind w:right="150"/>
              <w:spacing w:after="0"/>
              <w:rPr>
                <w:sz w:val="20"/>
                <w:szCs w:val="20"/>
                <w:color w:val="auto"/>
              </w:rPr>
            </w:pPr>
            <w:r>
              <w:rPr>
                <w:rFonts w:ascii="Arial" w:cs="Arial" w:eastAsia="Arial" w:hAnsi="Arial"/>
                <w:sz w:val="18"/>
                <w:szCs w:val="18"/>
                <w:color w:val="auto"/>
                <w:w w:val="79"/>
              </w:rPr>
              <w:t>24.1</w:t>
            </w:r>
          </w:p>
        </w:tc>
        <w:tc>
          <w:tcPr>
            <w:tcW w:w="4460" w:type="dxa"/>
            <w:vAlign w:val="bottom"/>
            <w:vMerge w:val="restart"/>
          </w:tcPr>
          <w:p>
            <w:pPr>
              <w:ind w:left="220"/>
              <w:spacing w:after="0"/>
              <w:rPr>
                <w:rFonts w:ascii="Arial" w:cs="Arial" w:eastAsia="Arial" w:hAnsi="Arial"/>
                <w:sz w:val="18"/>
                <w:szCs w:val="18"/>
                <w:u w:val="single" w:color="auto"/>
                <w:color w:val="0000FF"/>
                <w:w w:val="90"/>
              </w:rPr>
            </w:pPr>
            <w:hyperlink w:anchor="page4">
              <w:r>
                <w:rPr>
                  <w:rFonts w:ascii="Arial" w:cs="Arial" w:eastAsia="Arial" w:hAnsi="Arial"/>
                  <w:sz w:val="18"/>
                  <w:szCs w:val="18"/>
                  <w:u w:val="single" w:color="auto"/>
                  <w:color w:val="0000FF"/>
                  <w:w w:val="90"/>
                </w:rPr>
                <w:t>Power of Attorney (included on the signature page hereto).</w:t>
              </w:r>
            </w:hyperlink>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80" w:hanging="743"/>
        <w:spacing w:after="0"/>
        <w:tabs>
          <w:tab w:leader="none" w:pos="1080" w:val="left"/>
        </w:tabs>
        <w:numPr>
          <w:ilvl w:val="0"/>
          <w:numId w:val="2"/>
        </w:numPr>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Filing Fee Table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360" w:top="1440"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24th day of February, 2022.</w:t>
      </w:r>
    </w:p>
    <w:p>
      <w:pPr>
        <w:spacing w:after="0" w:line="220"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NAUTILUS BIOTECHNOLOGY, INC.</w:t>
      </w:r>
    </w:p>
    <w:p>
      <w:pPr>
        <w:spacing w:after="0" w:line="2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7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Sujal Patel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4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Title</w:t>
            </w:r>
          </w:p>
        </w:tc>
        <w:tc>
          <w:tcPr>
            <w:tcW w:w="180" w:type="dxa"/>
            <w:vAlign w:val="bottom"/>
            <w:vMerge w:val="restart"/>
          </w:tcPr>
          <w:p>
            <w:pPr>
              <w:spacing w:after="0"/>
              <w:rPr>
                <w:sz w:val="20"/>
                <w:szCs w:val="20"/>
                <w:color w:val="auto"/>
              </w:rPr>
            </w:pPr>
          </w:p>
        </w:tc>
        <w:tc>
          <w:tcPr>
            <w:tcW w:w="242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81"/>
        </w:trPr>
        <w:tc>
          <w:tcPr>
            <w:tcW w:w="3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94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4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c>
          <w:tcPr>
            <w:tcW w:w="100" w:type="dxa"/>
            <w:vAlign w:val="bottom"/>
          </w:tcPr>
          <w:p>
            <w:pPr>
              <w:spacing w:after="0"/>
              <w:rPr>
                <w:sz w:val="24"/>
                <w:szCs w:val="24"/>
                <w:color w:val="auto"/>
              </w:rPr>
            </w:pPr>
          </w:p>
        </w:tc>
        <w:tc>
          <w:tcPr>
            <w:tcW w:w="51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Chief Executive Officer, President and 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5"/>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Sujal Patel</w:t>
            </w:r>
          </w:p>
        </w:tc>
        <w:tc>
          <w:tcPr>
            <w:tcW w:w="100" w:type="dxa"/>
            <w:vAlign w:val="bottom"/>
          </w:tcPr>
          <w:p>
            <w:pPr>
              <w:spacing w:after="0"/>
              <w:rPr>
                <w:sz w:val="6"/>
                <w:szCs w:val="6"/>
                <w:color w:val="auto"/>
              </w:rPr>
            </w:pPr>
          </w:p>
        </w:tc>
        <w:tc>
          <w:tcPr>
            <w:tcW w:w="51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Mowry</w:t>
            </w:r>
          </w:p>
        </w:tc>
        <w:tc>
          <w:tcPr>
            <w:tcW w:w="100" w:type="dxa"/>
            <w:vAlign w:val="bottom"/>
          </w:tcPr>
          <w:p>
            <w:pPr>
              <w:spacing w:after="0"/>
              <w:rPr>
                <w:sz w:val="24"/>
                <w:szCs w:val="24"/>
                <w:color w:val="auto"/>
              </w:rPr>
            </w:pPr>
          </w:p>
        </w:tc>
        <w:tc>
          <w:tcPr>
            <w:tcW w:w="51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Chief Financial Officer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5"/>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Anna Mowry</w:t>
            </w:r>
          </w:p>
        </w:tc>
        <w:tc>
          <w:tcPr>
            <w:tcW w:w="100" w:type="dxa"/>
            <w:vAlign w:val="bottom"/>
          </w:tcPr>
          <w:p>
            <w:pPr>
              <w:spacing w:after="0"/>
              <w:rPr>
                <w:sz w:val="6"/>
                <w:szCs w:val="6"/>
                <w:color w:val="auto"/>
              </w:rPr>
            </w:pPr>
          </w:p>
        </w:tc>
        <w:tc>
          <w:tcPr>
            <w:tcW w:w="51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(Principal Financial and Accounting Officer)</w:t>
            </w: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2"/>
        </w:trPr>
        <w:tc>
          <w:tcPr>
            <w:tcW w:w="3600" w:type="dxa"/>
            <w:vAlign w:val="bottom"/>
          </w:tcPr>
          <w:p>
            <w:pPr>
              <w:ind w:left="2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7"/>
                <w:szCs w:val="17"/>
                <w:color w:val="auto"/>
              </w:rPr>
              <w:t>Matthew L. Posard</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Chair of the Board of Directors</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84"/>
        </w:trPr>
        <w:tc>
          <w:tcPr>
            <w:tcW w:w="3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120" w:type="dxa"/>
            <w:vAlign w:val="bottom"/>
            <w:gridSpan w:val="2"/>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Altman</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5"/>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Michael Altman</w:t>
            </w:r>
          </w:p>
        </w:tc>
        <w:tc>
          <w:tcPr>
            <w:tcW w:w="100" w:type="dxa"/>
            <w:vAlign w:val="bottom"/>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Epperly</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5"/>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Melissa Epperly</w:t>
            </w:r>
          </w:p>
        </w:tc>
        <w:tc>
          <w:tcPr>
            <w:tcW w:w="100" w:type="dxa"/>
            <w:vAlign w:val="bottom"/>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Parag Mallick</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5"/>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Parag Mallick</w:t>
            </w:r>
          </w:p>
        </w:tc>
        <w:tc>
          <w:tcPr>
            <w:tcW w:w="100" w:type="dxa"/>
            <w:vAlign w:val="bottom"/>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600" w:type="dxa"/>
            <w:vAlign w:val="bottom"/>
          </w:tcPr>
          <w:p>
            <w:pPr>
              <w:ind w:left="20"/>
              <w:spacing w:after="0"/>
              <w:rPr>
                <w:sz w:val="20"/>
                <w:szCs w:val="20"/>
                <w:color w:val="auto"/>
              </w:rPr>
            </w:pPr>
            <w:r>
              <w:rPr>
                <w:rFonts w:ascii="Arial" w:cs="Arial" w:eastAsia="Arial" w:hAnsi="Arial"/>
                <w:sz w:val="18"/>
                <w:szCs w:val="18"/>
                <w:color w:val="auto"/>
              </w:rPr>
              <w:t>/s/ Matthew McIlwain</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81"/>
        </w:trPr>
        <w:tc>
          <w:tcPr>
            <w:tcW w:w="3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120" w:type="dxa"/>
            <w:vAlign w:val="bottom"/>
            <w:gridSpan w:val="2"/>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Farzad Nazem</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74"/>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Farzad Nazem</w:t>
            </w:r>
          </w:p>
        </w:tc>
        <w:tc>
          <w:tcPr>
            <w:tcW w:w="100" w:type="dxa"/>
            <w:vAlign w:val="bottom"/>
          </w:tcPr>
          <w:p>
            <w:pPr>
              <w:spacing w:after="0"/>
              <w:rPr>
                <w:sz w:val="6"/>
                <w:szCs w:val="6"/>
                <w:color w:val="auto"/>
              </w:rPr>
            </w:pPr>
          </w:p>
        </w:tc>
        <w:tc>
          <w:tcPr>
            <w:tcW w:w="5120" w:type="dxa"/>
            <w:vAlign w:val="bottom"/>
            <w:gridSpan w:val="2"/>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Vijay Pande</w:t>
            </w:r>
          </w:p>
        </w:tc>
        <w:tc>
          <w:tcPr>
            <w:tcW w:w="100" w:type="dxa"/>
            <w:vAlign w:val="bottom"/>
          </w:tcPr>
          <w:p>
            <w:pPr>
              <w:spacing w:after="0"/>
              <w:rPr>
                <w:sz w:val="24"/>
                <w:szCs w:val="24"/>
                <w:color w:val="auto"/>
              </w:rPr>
            </w:pPr>
          </w:p>
        </w:tc>
        <w:tc>
          <w:tcPr>
            <w:tcW w:w="5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February 24, 2022</w:t>
            </w:r>
          </w:p>
        </w:tc>
        <w:tc>
          <w:tcPr>
            <w:tcW w:w="0" w:type="dxa"/>
            <w:vAlign w:val="bottom"/>
          </w:tcPr>
          <w:p>
            <w:pPr>
              <w:spacing w:after="0"/>
              <w:rPr>
                <w:sz w:val="1"/>
                <w:szCs w:val="1"/>
                <w:color w:val="auto"/>
              </w:rPr>
            </w:pPr>
          </w:p>
        </w:tc>
      </w:tr>
      <w:tr>
        <w:trPr>
          <w:trHeight w:val="101"/>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Vijay Pande</w:t>
            </w:r>
          </w:p>
        </w:tc>
        <w:tc>
          <w:tcPr>
            <w:tcW w:w="100" w:type="dxa"/>
            <w:vAlign w:val="bottom"/>
          </w:tcPr>
          <w:p>
            <w:pPr>
              <w:spacing w:after="0"/>
              <w:rPr>
                <w:sz w:val="8"/>
                <w:szCs w:val="8"/>
                <w:color w:val="auto"/>
              </w:rPr>
            </w:pPr>
          </w:p>
        </w:tc>
        <w:tc>
          <w:tcPr>
            <w:tcW w:w="5120" w:type="dxa"/>
            <w:vAlign w:val="bottom"/>
            <w:gridSpan w:val="2"/>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5" w:name="page6"/>
    <w:bookmarkEnd w:id="5"/>
    <w:p>
      <w:pPr>
        <w:ind w:left="1036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S-8</w:t>
      </w:r>
    </w:p>
    <w:p>
      <w:pPr>
        <w:jc w:val="center"/>
        <w:ind w:right="20"/>
        <w:spacing w:after="0"/>
        <w:rPr>
          <w:sz w:val="20"/>
          <w:szCs w:val="20"/>
          <w:color w:val="auto"/>
        </w:rPr>
      </w:pPr>
      <w:r>
        <w:rPr>
          <w:rFonts w:ascii="Arial" w:cs="Arial" w:eastAsia="Arial" w:hAnsi="Arial"/>
          <w:sz w:val="18"/>
          <w:szCs w:val="18"/>
          <w:color w:val="auto"/>
        </w:rPr>
        <w:t>(Form Type)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Nautilus Biotechnology,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000" w:type="dxa"/>
            <w:vAlign w:val="bottom"/>
            <w:tcBorders>
              <w:top w:val="single" w:sz="8" w:color="auto"/>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Security</w:t>
            </w:r>
          </w:p>
        </w:tc>
        <w:tc>
          <w:tcPr>
            <w:tcW w:w="40" w:type="dxa"/>
            <w:vAlign w:val="bottom"/>
            <w:tcBorders>
              <w:top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ind w:left="260"/>
              <w:spacing w:after="0" w:line="169" w:lineRule="exact"/>
              <w:rPr>
                <w:sz w:val="20"/>
                <w:szCs w:val="20"/>
                <w:color w:val="auto"/>
              </w:rPr>
            </w:pPr>
            <w:r>
              <w:rPr>
                <w:rFonts w:ascii="Arial" w:cs="Arial" w:eastAsia="Arial" w:hAnsi="Arial"/>
                <w:sz w:val="18"/>
                <w:szCs w:val="18"/>
                <w:b w:val="1"/>
                <w:bCs w:val="1"/>
                <w:color w:val="auto"/>
              </w:rPr>
              <w:t>Security Class Title</w:t>
            </w:r>
          </w:p>
        </w:tc>
        <w:tc>
          <w:tcPr>
            <w:tcW w:w="128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Fee Calculation</w:t>
            </w:r>
          </w:p>
        </w:tc>
        <w:tc>
          <w:tcPr>
            <w:tcW w:w="142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Amount</w:t>
            </w:r>
          </w:p>
        </w:tc>
        <w:tc>
          <w:tcPr>
            <w:tcW w:w="116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6"/>
              </w:rPr>
              <w:t>Proposed</w:t>
            </w:r>
          </w:p>
        </w:tc>
        <w:tc>
          <w:tcPr>
            <w:tcW w:w="178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Maximum Aggregate</w:t>
            </w:r>
          </w:p>
        </w:tc>
        <w:tc>
          <w:tcPr>
            <w:tcW w:w="118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Fee Rate</w:t>
            </w:r>
          </w:p>
        </w:tc>
        <w:tc>
          <w:tcPr>
            <w:tcW w:w="134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3"/>
              </w:rPr>
              <w:t>Amount of</w:t>
            </w:r>
          </w:p>
        </w:tc>
      </w:tr>
      <w:tr>
        <w:trPr>
          <w:trHeight w:val="176"/>
        </w:trPr>
        <w:tc>
          <w:tcPr>
            <w:tcW w:w="10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Type</w:t>
            </w:r>
          </w:p>
        </w:tc>
        <w:tc>
          <w:tcPr>
            <w:tcW w:w="4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Rule</w:t>
            </w:r>
          </w:p>
        </w:tc>
        <w:tc>
          <w:tcPr>
            <w:tcW w:w="1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4"/>
              </w:rPr>
              <w:t>Registered</w:t>
            </w:r>
            <w:r>
              <w:rPr>
                <w:rFonts w:ascii="Arial" w:cs="Arial" w:eastAsia="Arial" w:hAnsi="Arial"/>
                <w:sz w:val="20"/>
                <w:szCs w:val="20"/>
                <w:b w:val="1"/>
                <w:bCs w:val="1"/>
                <w:color w:val="auto"/>
                <w:w w:val="94"/>
                <w:vertAlign w:val="superscript"/>
              </w:rPr>
              <w:t>(1)</w:t>
            </w: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6"/>
              </w:rPr>
              <w:t>Maximum</w:t>
            </w:r>
          </w:p>
        </w:tc>
        <w:tc>
          <w:tcPr>
            <w:tcW w:w="17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Offering Price</w:t>
            </w: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0"/>
              </w:rPr>
              <w:t>Registration Fee</w:t>
            </w: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Offering Price</w:t>
            </w: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30"/>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6"/>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6,215,154</w:t>
            </w:r>
            <w:r>
              <w:rPr>
                <w:rFonts w:ascii="Arial" w:cs="Arial" w:eastAsia="Arial" w:hAnsi="Arial"/>
                <w:sz w:val="21"/>
                <w:szCs w:val="21"/>
                <w:color w:val="auto"/>
                <w:w w:val="92"/>
                <w:vertAlign w:val="superscript"/>
              </w:rPr>
              <w:t>(2)</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3"/>
              </w:rPr>
              <w:t>$3.65</w:t>
            </w:r>
            <w:r>
              <w:rPr>
                <w:rFonts w:ascii="Arial" w:cs="Arial" w:eastAsia="Arial" w:hAnsi="Arial"/>
                <w:sz w:val="21"/>
                <w:szCs w:val="21"/>
                <w:color w:val="auto"/>
                <w:w w:val="93"/>
                <w:vertAlign w:val="superscript"/>
              </w:rPr>
              <w:t>(4)</w:t>
            </w:r>
          </w:p>
        </w:tc>
        <w:tc>
          <w:tcPr>
            <w:tcW w:w="17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$22,685,313</w:t>
            </w:r>
          </w:p>
        </w:tc>
        <w:tc>
          <w:tcPr>
            <w:tcW w:w="11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$92.70 per</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$2,103</w:t>
            </w:r>
          </w:p>
        </w:tc>
      </w:tr>
      <w:tr>
        <w:trPr>
          <w:trHeight w:val="162"/>
        </w:trPr>
        <w:tc>
          <w:tcPr>
            <w:tcW w:w="100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8"/>
                <w:szCs w:val="18"/>
                <w:color w:val="auto"/>
                <w:w w:val="88"/>
              </w:rPr>
              <w:t>$0.0001 per share, reserved</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Rule 457(h)</w:t>
            </w:r>
          </w:p>
        </w:tc>
        <w:tc>
          <w:tcPr>
            <w:tcW w:w="14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14"/>
                <w:szCs w:val="14"/>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Registrant's 2021 Equity</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30"/>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Incentive Plan</w:t>
            </w: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6"/>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92"/>
              </w:rPr>
              <w:t>1,243,030</w:t>
            </w:r>
            <w:r>
              <w:rPr>
                <w:rFonts w:ascii="Arial" w:cs="Arial" w:eastAsia="Arial" w:hAnsi="Arial"/>
                <w:sz w:val="21"/>
                <w:szCs w:val="21"/>
                <w:color w:val="auto"/>
                <w:w w:val="92"/>
                <w:vertAlign w:val="superscript"/>
              </w:rPr>
              <w:t>(3)</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7"/>
                <w:szCs w:val="17"/>
                <w:color w:val="auto"/>
                <w:w w:val="87"/>
              </w:rPr>
              <w:t>$3.11</w:t>
            </w:r>
            <w:r>
              <w:rPr>
                <w:rFonts w:ascii="Arial" w:cs="Arial" w:eastAsia="Arial" w:hAnsi="Arial"/>
                <w:sz w:val="21"/>
                <w:szCs w:val="21"/>
                <w:color w:val="auto"/>
                <w:w w:val="87"/>
                <w:vertAlign w:val="superscript"/>
              </w:rPr>
              <w:t>(5)</w:t>
            </w:r>
          </w:p>
        </w:tc>
        <w:tc>
          <w:tcPr>
            <w:tcW w:w="17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$3,865,824</w:t>
            </w:r>
          </w:p>
        </w:tc>
        <w:tc>
          <w:tcPr>
            <w:tcW w:w="11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$92.70 per</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$359</w:t>
            </w:r>
          </w:p>
        </w:tc>
      </w:tr>
      <w:tr>
        <w:trPr>
          <w:trHeight w:val="162"/>
        </w:trPr>
        <w:tc>
          <w:tcPr>
            <w:tcW w:w="1000" w:type="dxa"/>
            <w:vAlign w:val="bottom"/>
            <w:tcBorders>
              <w:left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8"/>
                <w:szCs w:val="18"/>
                <w:color w:val="auto"/>
                <w:w w:val="88"/>
              </w:rPr>
              <w:t>$0.0001 per share, reserved</w:t>
            </w:r>
          </w:p>
        </w:tc>
        <w:tc>
          <w:tcPr>
            <w:tcW w:w="12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Rule 457(h)</w:t>
            </w:r>
          </w:p>
        </w:tc>
        <w:tc>
          <w:tcPr>
            <w:tcW w:w="14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14"/>
                <w:szCs w:val="14"/>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Registrant's 2021</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Employee Stock Purchase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29"/>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Plan</w:t>
            </w: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1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Total Offering Amounts</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$26,551,137</w:t>
            </w: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$2,462</w:t>
            </w:r>
          </w:p>
        </w:tc>
      </w:tr>
      <w:tr>
        <w:trPr>
          <w:trHeight w:val="223"/>
        </w:trPr>
        <w:tc>
          <w:tcPr>
            <w:tcW w:w="3100" w:type="dxa"/>
            <w:vAlign w:val="bottom"/>
            <w:tcBorders>
              <w:left w:val="single" w:sz="8" w:color="auto"/>
              <w:bottom w:val="single" w:sz="8" w:color="auto"/>
            </w:tcBorders>
            <w:gridSpan w:val="3"/>
          </w:tcPr>
          <w:p>
            <w:pPr>
              <w:ind w:left="80"/>
              <w:spacing w:after="0" w:line="223" w:lineRule="exact"/>
              <w:rPr>
                <w:sz w:val="20"/>
                <w:szCs w:val="20"/>
                <w:color w:val="auto"/>
              </w:rPr>
            </w:pPr>
            <w:r>
              <w:rPr>
                <w:rFonts w:ascii="Arial" w:cs="Arial" w:eastAsia="Arial" w:hAnsi="Arial"/>
                <w:sz w:val="18"/>
                <w:szCs w:val="18"/>
                <w:b w:val="1"/>
                <w:bCs w:val="1"/>
                <w:color w:val="auto"/>
              </w:rPr>
              <w:t>Total Fee Offsets</w:t>
            </w:r>
            <w:r>
              <w:rPr>
                <w:rFonts w:ascii="Arial" w:cs="Arial" w:eastAsia="Arial" w:hAnsi="Arial"/>
                <w:sz w:val="23"/>
                <w:szCs w:val="23"/>
                <w:b w:val="1"/>
                <w:bCs w:val="1"/>
                <w:color w:val="auto"/>
                <w:vertAlign w:val="superscript"/>
              </w:rPr>
              <w:t>(6)</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22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0"/>
              </w:rPr>
              <w:t>Net Fee Due</w:t>
            </w:r>
          </w:p>
        </w:tc>
        <w:tc>
          <w:tcPr>
            <w:tcW w:w="2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$2,462</w:t>
            </w:r>
          </w:p>
        </w:tc>
      </w:tr>
    </w:tbl>
    <w:p>
      <w:pPr>
        <w:spacing w:after="0" w:line="296" w:lineRule="exact"/>
        <w:rPr>
          <w:sz w:val="20"/>
          <w:szCs w:val="20"/>
          <w:color w:val="auto"/>
        </w:rPr>
      </w:pPr>
    </w:p>
    <w:p>
      <w:pPr>
        <w:jc w:val="both"/>
        <w:ind w:left="660" w:right="20" w:hanging="328"/>
        <w:spacing w:after="0" w:line="207"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(the “Registration Statement”) shall also cover any additional shares of the Registrant’s Common Stock that become issuable under the Registrant's 2021 Equity Incentive Plan (the “2021 Plan”) or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ind w:left="660" w:right="20" w:hanging="328"/>
        <w:spacing w:after="0" w:line="203"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increase in the number of shares of Common Stock reserved for issuance pursuant to future awards under the 2021 Plan as a result of the annual evergreen increase under the 2021 Plan.</w:t>
      </w:r>
    </w:p>
    <w:p>
      <w:pPr>
        <w:ind w:left="660" w:right="20" w:hanging="328"/>
        <w:spacing w:after="0" w:line="203"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automatic increase in the number of shares of Common Stock reserved for issuance pursuant to future awards under the 2021 ESPP as a result of the annual evergreen increase under the 2021 ESPP.</w:t>
      </w:r>
    </w:p>
    <w:p>
      <w:pPr>
        <w:jc w:val="both"/>
        <w:ind w:left="660" w:right="20" w:hanging="328"/>
        <w:spacing w:after="0" w:line="214"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$3.65, which is the average of the high and low prices of shares of Common Stock on The Nasdaq Global Select Market (“Nasdaq”) on February 22, 2022 (such date being within five business days of the date that this Registration Statement was filed with the U.S. Securities and Exchange Commission (the “SEC”)).</w:t>
      </w:r>
    </w:p>
    <w:p>
      <w:pPr>
        <w:sectPr>
          <w:pgSz w:w="11900" w:h="16838" w:orient="portrait"/>
          <w:cols w:equalWidth="0" w:num="1">
            <w:col w:w="11260"/>
          </w:cols>
          <w:pgMar w:left="320" w:top="108" w:right="319" w:bottom="1440" w:gutter="0" w:footer="0" w:header="0"/>
        </w:sectPr>
      </w:pPr>
    </w:p>
    <w:bookmarkStart w:id="6" w:name="page7"/>
    <w:bookmarkEnd w:id="6"/>
    <w:p>
      <w:pPr>
        <w:spacing w:after="0" w:line="400" w:lineRule="exact"/>
        <w:rPr>
          <w:sz w:val="20"/>
          <w:szCs w:val="20"/>
          <w:color w:val="auto"/>
        </w:rPr>
      </w:pPr>
    </w:p>
    <w:p>
      <w:pPr>
        <w:jc w:val="both"/>
        <w:ind w:left="328" w:hanging="328"/>
        <w:spacing w:after="0" w:line="219" w:lineRule="auto"/>
        <w:tabs>
          <w:tab w:leader="none" w:pos="322"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Rule 457(c) and 457(h) under the Securities Act, and solely for the purpose of calculating the registration fee, the proposed maximum offering price per share is $3.11, which is 85% of the average of the high and low prices of shares of Common Stock on Nasdaq on February 22, 2022 (such date being within five business days of the date that this Registration Statement was filed with the SEC).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1" w:lineRule="exact"/>
        <w:rPr>
          <w:rFonts w:ascii="Arial" w:cs="Arial" w:eastAsia="Arial" w:hAnsi="Arial"/>
          <w:sz w:val="17"/>
          <w:szCs w:val="17"/>
          <w:color w:val="auto"/>
        </w:rPr>
      </w:pPr>
    </w:p>
    <w:p>
      <w:pPr>
        <w:ind w:left="308" w:hanging="308"/>
        <w:spacing w:after="0"/>
        <w:tabs>
          <w:tab w:leader="none" w:pos="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ectPr>
          <w:pgSz w:w="11900" w:h="16838" w:orient="portrait"/>
          <w:cols w:equalWidth="0" w:num="1">
            <w:col w:w="10908"/>
          </w:cols>
          <w:pgMar w:left="652"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5.1</w:t>
      </w:r>
    </w:p>
    <w:p>
      <w:pPr>
        <w:spacing w:after="0" w:line="367"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-3810</wp:posOffset>
            </wp:positionV>
            <wp:extent cx="1088390"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4"/>
          <w:szCs w:val="14"/>
          <w:color w:val="003D4C"/>
        </w:rPr>
        <w:t>Professional Corporation</w:t>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650 Page Mill Road</w:t>
      </w:r>
    </w:p>
    <w:p>
      <w:pPr>
        <w:ind w:left="7980"/>
        <w:spacing w:after="0"/>
        <w:rPr>
          <w:sz w:val="20"/>
          <w:szCs w:val="20"/>
          <w:color w:val="auto"/>
        </w:rPr>
      </w:pPr>
      <w:r>
        <w:rPr>
          <w:rFonts w:ascii="Arial" w:cs="Arial" w:eastAsia="Arial" w:hAnsi="Arial"/>
          <w:sz w:val="14"/>
          <w:szCs w:val="14"/>
          <w:color w:val="003D4C"/>
        </w:rPr>
        <w:t>Palo Alto, California 94304-1050</w:t>
      </w:r>
    </w:p>
    <w:p>
      <w:pPr>
        <w:spacing w:after="0" w:line="29" w:lineRule="exact"/>
        <w:rPr>
          <w:sz w:val="20"/>
          <w:szCs w:val="20"/>
          <w:color w:val="auto"/>
        </w:rPr>
      </w:pPr>
    </w:p>
    <w:p>
      <w:pPr>
        <w:ind w:left="7980"/>
        <w:spacing w:after="0"/>
        <w:rPr>
          <w:sz w:val="20"/>
          <w:szCs w:val="20"/>
          <w:color w:val="auto"/>
        </w:rPr>
      </w:pPr>
      <w:r>
        <w:rPr>
          <w:rFonts w:ascii="Arial" w:cs="Arial" w:eastAsia="Arial" w:hAnsi="Arial"/>
          <w:sz w:val="14"/>
          <w:szCs w:val="14"/>
          <w:color w:val="003D4C"/>
        </w:rPr>
        <w:t>o: 650.493.9300</w:t>
      </w:r>
    </w:p>
    <w:p>
      <w:pPr>
        <w:ind w:left="798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24,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Nautilus Biotechnology, Inc.</w:t>
      </w:r>
    </w:p>
    <w:p>
      <w:pPr>
        <w:spacing w:after="0" w:line="197" w:lineRule="auto"/>
        <w:rPr>
          <w:sz w:val="20"/>
          <w:szCs w:val="20"/>
          <w:color w:val="auto"/>
        </w:rPr>
      </w:pPr>
      <w:r>
        <w:rPr>
          <w:rFonts w:ascii="Arial" w:cs="Arial" w:eastAsia="Arial" w:hAnsi="Arial"/>
          <w:sz w:val="20"/>
          <w:szCs w:val="20"/>
          <w:color w:val="auto"/>
        </w:rPr>
        <w:t>2701 Eastlake Avenue East</w:t>
      </w:r>
    </w:p>
    <w:p>
      <w:pPr>
        <w:spacing w:after="0"/>
        <w:rPr>
          <w:sz w:val="20"/>
          <w:szCs w:val="20"/>
          <w:color w:val="auto"/>
        </w:rPr>
      </w:pPr>
      <w:r>
        <w:rPr>
          <w:rFonts w:ascii="Arial" w:cs="Arial" w:eastAsia="Arial" w:hAnsi="Arial"/>
          <w:sz w:val="20"/>
          <w:szCs w:val="20"/>
          <w:color w:val="auto"/>
        </w:rPr>
        <w:t>Seattle, Washington 98102</w:t>
      </w:r>
    </w:p>
    <w:p>
      <w:pPr>
        <w:spacing w:after="0" w:line="180"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S-8</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5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We have examined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be filed by Nautilus Biotechnology,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on or about the date hereof, in connection with the registration under the Securities Act of 1933, as amended, of an aggregate of 7,458,184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consisting of (i) 6,215,154 shares of Common Stock reserved for future issuance under the Company’s 2021 Equity Incentive Plan and (ii) 1,243,030 shares of Common Stock reserved for issuance under the Company’s 2021 Employee Stock Purchase Plan. As the Company’s legal counsel, we have reviewed the actions proposed to be taken by the Company in connection with the issuance and sale of the Shares to be issued under such plans (which plans are referred to herein as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2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4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WILSON SONSINI</w:t>
      </w:r>
    </w:p>
    <w:p>
      <w:pPr>
        <w:ind w:left="5080"/>
        <w:spacing w:after="0"/>
        <w:rPr>
          <w:sz w:val="20"/>
          <w:szCs w:val="20"/>
          <w:color w:val="auto"/>
        </w:rPr>
      </w:pPr>
      <w:r>
        <w:rPr>
          <w:rFonts w:ascii="Arial" w:cs="Arial" w:eastAsia="Arial" w:hAnsi="Arial"/>
          <w:sz w:val="20"/>
          <w:szCs w:val="20"/>
          <w:color w:val="auto"/>
        </w:rPr>
        <w:t>GOODRICH &amp; ROSATI,</w:t>
      </w:r>
    </w:p>
    <w:p>
      <w:pPr>
        <w:spacing w:after="0" w:line="17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Professional Corporation</w:t>
      </w:r>
    </w:p>
    <w:p>
      <w:pPr>
        <w:spacing w:after="0" w:line="2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 Wilson Sonsini Goodrich &amp;</w:t>
      </w:r>
    </w:p>
    <w:p>
      <w:pPr>
        <w:ind w:left="5080"/>
        <w:spacing w:after="0"/>
        <w:rPr>
          <w:sz w:val="20"/>
          <w:szCs w:val="20"/>
          <w:color w:val="auto"/>
        </w:rPr>
      </w:pPr>
      <w:r>
        <w:rPr>
          <w:rFonts w:ascii="Arial" w:cs="Arial" w:eastAsia="Arial" w:hAnsi="Arial"/>
          <w:sz w:val="20"/>
          <w:szCs w:val="20"/>
          <w:color w:val="auto"/>
        </w:rPr>
        <w:t>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BRUSSELS HONG KONG LONDON LOS ANGELES NEW YORK PALO ALTO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SAN DIEGO SAN FRANCISCO SEATTLE SHANGHAI WASHINGTON, DC WILMINGTON, DE</w:t>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We hereby consent to the incorporation by reference in this Registration Statement on Form S-8 of Nautilus Biotechnology, Inc. of our report dated February 24, 2022 relating to the financial statements, which appears in Nautilus Biotechnology, Inc.'s Annual Report on Form 10-K for the year ended December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February 24,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jpeg"/><Relationship Id="rId8" Type="http://schemas.openxmlformats.org/officeDocument/2006/relationships/hyperlink" Target="https://www.sec.gov/Archives/edgar/data/1808805/000162828021016436/nautilus-sx8registrationst.htm" TargetMode="External"/><Relationship Id="rId9" Type="http://schemas.openxmlformats.org/officeDocument/2006/relationships/hyperlink" Target="https://www.sec.gov/ix?doc=/Archives/edgar/data/0001808805/000180880522000010/naut-20211231.htm" TargetMode="External"/><Relationship Id="rId10" Type="http://schemas.openxmlformats.org/officeDocument/2006/relationships/hyperlink" Target="https://www.sec.gov/Archives/edgar/data/0001808805/000114036120017640/nt10013610x6_8a12b.htm" TargetMode="External"/><Relationship Id="rId14" Type="http://schemas.openxmlformats.org/officeDocument/2006/relationships/hyperlink" Target="https://www.sec.gov/Archives/edgar/data/1808805/000162828021011892/exhibit31-form8xkclosing.htm" TargetMode="External"/><Relationship Id="rId15" Type="http://schemas.openxmlformats.org/officeDocument/2006/relationships/hyperlink" Target="https://www.sec.gov/Archives/edgar/data/1808805/000162828021011892/exhibit32-form8xkclosing.htm" TargetMode="External"/><Relationship Id="rId16" Type="http://schemas.openxmlformats.org/officeDocument/2006/relationships/hyperlink" Target="https://www.sec.gov/Archives/edgar/data/1808805/000162828021011892/exhibit41-super8xkclosing.htm" TargetMode="External"/><Relationship Id="rId17" Type="http://schemas.openxmlformats.org/officeDocument/2006/relationships/hyperlink" Target="https://www.sec.gov/Archives/edgar/data/1808805/000162828021011892/exhibit104-form8xkclosing.htm" TargetMode="External"/><Relationship Id="rId18" Type="http://schemas.openxmlformats.org/officeDocument/2006/relationships/hyperlink" Target="https://www.sec.gov/Archives/edgar/data/1808805/000162828021005786/exhibit107-sx4.htm" TargetMode="External"/><Relationship Id="rId19" Type="http://schemas.openxmlformats.org/officeDocument/2006/relationships/hyperlink" Target="https://www.sec.gov/Archives/edgar/data/1808805/000162828021005786/exhibit108-sx4.htm" TargetMode="External"/><Relationship Id="rId20" Type="http://schemas.openxmlformats.org/officeDocument/2006/relationships/hyperlink" Target="https://www.sec.gov/Archives/edgar/data/1808805/000162828021005786/exhibit109-sx4.htm" TargetMode="External"/><Relationship Id="rId21" Type="http://schemas.openxmlformats.org/officeDocument/2006/relationships/hyperlink" Target="https://www.sec.gov/Archives/edgar/data/1808805/000162828021011892/exhibit105-form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2022-02-24T16:35:31Z</dcterms:created>
  <dcterms:modified xsi:type="dcterms:W3CDTF">2022-02-24T16:35:31Z</dcterms:modified>
</cp:coreProperties>
</file>