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28, 2024</w:t>
      </w:r>
    </w:p>
    <w:p>
      <w:pPr>
        <w:spacing w:after="0" w:line="25"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60325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64770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Nautilus Biotechnology,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86995</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0"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40" w:type="dxa"/>
            <w:vAlign w:val="bottom"/>
          </w:tcPr>
          <w:p>
            <w:pPr>
              <w:jc w:val="center"/>
              <w:ind w:left="1859"/>
              <w:spacing w:after="0"/>
              <w:rPr>
                <w:sz w:val="20"/>
                <w:szCs w:val="20"/>
                <w:color w:val="auto"/>
              </w:rPr>
            </w:pPr>
            <w:r>
              <w:rPr>
                <w:rFonts w:ascii="Times New Roman" w:cs="Times New Roman" w:eastAsia="Times New Roman" w:hAnsi="Times New Roman"/>
                <w:sz w:val="16"/>
                <w:szCs w:val="16"/>
                <w:b w:val="1"/>
                <w:bCs w:val="1"/>
                <w:color w:val="auto"/>
              </w:rPr>
              <w:t>98-1541723</w:t>
            </w:r>
          </w:p>
        </w:tc>
      </w:tr>
      <w:tr>
        <w:trPr>
          <w:trHeight w:val="222"/>
        </w:trPr>
        <w:tc>
          <w:tcPr>
            <w:tcW w:w="3900" w:type="dxa"/>
            <w:vAlign w:val="bottom"/>
          </w:tcPr>
          <w:p>
            <w:pPr>
              <w:jc w:val="center"/>
              <w:ind w:right="18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4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900" w:type="dxa"/>
            <w:vAlign w:val="bottom"/>
          </w:tcPr>
          <w:p>
            <w:pPr>
              <w:jc w:val="center"/>
              <w:ind w:right="18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4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9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6"/>
          <w:szCs w:val="16"/>
          <w:b w:val="1"/>
          <w:bCs w:val="1"/>
          <w:color w:val="auto"/>
        </w:rPr>
        <w:t>2701 Eastlake Avenue East</w:t>
      </w:r>
    </w:p>
    <w:p>
      <w:pPr>
        <w:spacing w:after="0" w:line="2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Seattle, Washington 98102</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(206) 333-2001</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47"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Sujal Patel</w:t>
      </w:r>
    </w:p>
    <w:p>
      <w:pPr>
        <w:spacing w:after="0" w:line="28"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6"/>
          <w:szCs w:val="16"/>
          <w:b w:val="1"/>
          <w:bCs w:val="1"/>
          <w:color w:val="auto"/>
        </w:rPr>
        <w:t>2701 Eastlake Avenue East</w:t>
      </w:r>
    </w:p>
    <w:p>
      <w:pPr>
        <w:spacing w:after="0" w:line="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Seattle, Washington 98102</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(206) 333-2001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05" w:lineRule="exact"/>
        <w:rPr>
          <w:sz w:val="24"/>
          <w:szCs w:val="24"/>
          <w:color w:val="auto"/>
        </w:rPr>
      </w:pPr>
    </w:p>
    <w:tbl>
      <w:tblPr>
        <w:tblLayout w:type="fixed"/>
        <w:tblInd w:w="1600" w:type="dxa"/>
        <w:tblCellMar>
          <w:top w:w="0" w:type="dxa"/>
          <w:left w:w="0" w:type="dxa"/>
          <w:bottom w:w="0" w:type="dxa"/>
          <w:right w:w="0" w:type="dxa"/>
        </w:tblCellMar>
      </w:tblPr>
      <w:tr>
        <w:trPr>
          <w:trHeight w:val="214"/>
        </w:trPr>
        <w:tc>
          <w:tcPr>
            <w:tcW w:w="3060" w:type="dxa"/>
            <w:vAlign w:val="bottom"/>
          </w:tcPr>
          <w:p>
            <w:pPr>
              <w:spacing w:after="0"/>
              <w:rPr>
                <w:sz w:val="18"/>
                <w:szCs w:val="18"/>
                <w:color w:val="auto"/>
              </w:rPr>
            </w:pPr>
          </w:p>
        </w:tc>
        <w:tc>
          <w:tcPr>
            <w:tcW w:w="4740" w:type="dxa"/>
            <w:vAlign w:val="bottom"/>
          </w:tcPr>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20"/>
        </w:trPr>
        <w:tc>
          <w:tcPr>
            <w:tcW w:w="306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Robert F. Kornegay</w:t>
            </w:r>
          </w:p>
        </w:tc>
        <w:tc>
          <w:tcPr>
            <w:tcW w:w="4740" w:type="dxa"/>
            <w:vAlign w:val="bottom"/>
          </w:tcPr>
          <w:p>
            <w:pPr>
              <w:jc w:val="center"/>
              <w:ind w:left="2739"/>
              <w:spacing w:after="0"/>
              <w:rPr>
                <w:sz w:val="20"/>
                <w:szCs w:val="20"/>
                <w:color w:val="auto"/>
              </w:rPr>
            </w:pPr>
            <w:r>
              <w:rPr>
                <w:rFonts w:ascii="Times New Roman" w:cs="Times New Roman" w:eastAsia="Times New Roman" w:hAnsi="Times New Roman"/>
                <w:sz w:val="16"/>
                <w:szCs w:val="16"/>
                <w:b w:val="1"/>
                <w:bCs w:val="1"/>
                <w:color w:val="auto"/>
              </w:rPr>
              <w:t>Matthew Murphy</w:t>
            </w:r>
          </w:p>
        </w:tc>
      </w:tr>
      <w:tr>
        <w:trPr>
          <w:trHeight w:val="203"/>
        </w:trPr>
        <w:tc>
          <w:tcPr>
            <w:tcW w:w="306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Zachary B. Myers</w:t>
            </w:r>
          </w:p>
        </w:tc>
        <w:tc>
          <w:tcPr>
            <w:tcW w:w="4740" w:type="dxa"/>
            <w:vAlign w:val="bottom"/>
          </w:tcPr>
          <w:p>
            <w:pPr>
              <w:jc w:val="center"/>
              <w:ind w:left="2739"/>
              <w:spacing w:after="0"/>
              <w:rPr>
                <w:sz w:val="20"/>
                <w:szCs w:val="20"/>
                <w:color w:val="auto"/>
              </w:rPr>
            </w:pPr>
            <w:r>
              <w:rPr>
                <w:rFonts w:ascii="Times New Roman" w:cs="Times New Roman" w:eastAsia="Times New Roman" w:hAnsi="Times New Roman"/>
                <w:sz w:val="16"/>
                <w:szCs w:val="16"/>
                <w:b w:val="1"/>
                <w:bCs w:val="1"/>
                <w:color w:val="auto"/>
              </w:rPr>
              <w:t>General Counsel</w:t>
            </w:r>
          </w:p>
        </w:tc>
      </w:tr>
      <w:tr>
        <w:trPr>
          <w:trHeight w:val="189"/>
        </w:trPr>
        <w:tc>
          <w:tcPr>
            <w:tcW w:w="306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Wilson Sonsini Goodrich &amp; Rosati,</w:t>
            </w:r>
          </w:p>
        </w:tc>
        <w:tc>
          <w:tcPr>
            <w:tcW w:w="4740" w:type="dxa"/>
            <w:vAlign w:val="bottom"/>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rPr>
              <w:t>Nautilus Biotechnology, Inc.</w:t>
            </w:r>
          </w:p>
        </w:tc>
      </w:tr>
      <w:tr>
        <w:trPr>
          <w:trHeight w:val="203"/>
        </w:trPr>
        <w:tc>
          <w:tcPr>
            <w:tcW w:w="306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Professional Corporation</w:t>
            </w:r>
          </w:p>
        </w:tc>
        <w:tc>
          <w:tcPr>
            <w:tcW w:w="4740" w:type="dxa"/>
            <w:vAlign w:val="bottom"/>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rPr>
              <w:t>2701 Eastlake Avenue East</w:t>
            </w:r>
          </w:p>
        </w:tc>
      </w:tr>
      <w:tr>
        <w:trPr>
          <w:trHeight w:val="189"/>
        </w:trPr>
        <w:tc>
          <w:tcPr>
            <w:tcW w:w="306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650 Page Mill Road</w:t>
            </w:r>
          </w:p>
        </w:tc>
        <w:tc>
          <w:tcPr>
            <w:tcW w:w="4740" w:type="dxa"/>
            <w:vAlign w:val="bottom"/>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rPr>
              <w:t>Seattle, Washington 98102</w:t>
            </w:r>
          </w:p>
        </w:tc>
      </w:tr>
      <w:tr>
        <w:trPr>
          <w:trHeight w:val="189"/>
        </w:trPr>
        <w:tc>
          <w:tcPr>
            <w:tcW w:w="306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Palo Alto, CA 94304</w:t>
            </w:r>
          </w:p>
        </w:tc>
        <w:tc>
          <w:tcPr>
            <w:tcW w:w="4740" w:type="dxa"/>
            <w:vAlign w:val="bottom"/>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rPr>
              <w:t>(206) 333-2001</w:t>
            </w:r>
          </w:p>
        </w:tc>
      </w:tr>
      <w:tr>
        <w:trPr>
          <w:trHeight w:val="212"/>
        </w:trPr>
        <w:tc>
          <w:tcPr>
            <w:tcW w:w="306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(650) 493-9300</w:t>
            </w:r>
          </w:p>
        </w:tc>
        <w:tc>
          <w:tcPr>
            <w:tcW w:w="4740" w:type="dxa"/>
            <w:vAlign w:val="bottom"/>
          </w:tcPr>
          <w:p>
            <w:pPr>
              <w:spacing w:after="0"/>
              <w:rPr>
                <w:sz w:val="18"/>
                <w:szCs w:val="18"/>
                <w:color w:val="auto"/>
              </w:rPr>
            </w:pP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the effective date of the registration statement.</w:t>
      </w:r>
    </w:p>
    <w:p>
      <w:pPr>
        <w:spacing w:after="0" w:line="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5"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right="160"/>
        <w:spacing w:after="0" w:line="21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right="800"/>
        <w:spacing w:after="0" w:line="213"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160"/>
        <w:spacing w:after="0" w:line="21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60" w:type="dxa"/>
        <w:tblCellMar>
          <w:top w:w="0" w:type="dxa"/>
          <w:left w:w="0" w:type="dxa"/>
          <w:bottom w:w="0" w:type="dxa"/>
          <w:right w:w="0" w:type="dxa"/>
        </w:tblCellMar>
      </w:tblPr>
      <w:tr>
        <w:trPr>
          <w:trHeight w:val="21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4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4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58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4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7"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1" w:name="page2"/>
    <w:bookmarkEnd w:id="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71" w:lineRule="exact"/>
        <w:rPr>
          <w:sz w:val="20"/>
          <w:szCs w:val="20"/>
          <w:color w:val="auto"/>
        </w:rPr>
      </w:pPr>
    </w:p>
    <w:p>
      <w:pPr>
        <w:ind w:left="660" w:right="1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up to a maximum aggregate offering price of $300,000,000 of our common stock, preferred stock, debt securities, depositary shares, warrants, subscription rights, purchase contracts and/or units representing two or more of the foregoing securities; and</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covering the offering, issuance and sale by us of up to a maximum aggregate offering price of $125,000,000 of our common stock that may be issued and sold under a sales agreement (“Sales Agreement”) dated February 28, 2024 with Cowen and Company, LLC (“TD Cowen”).</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Sales Agreement prospectus supplement immediately follows the base prospectus. The $125,000,000 of common stock that may be offered, issued and sold under the Sales Agreement prospectus supplement is included in the $300,000,000 of securities that may be offered, issued and sold by us under the base prospectus. Any portion of the $125,000,000 included in the Sales Agreement prospectus supplement that is not sold pursuant to the Sales Agreement will be available for sale in other offerings pursuant to the base prospectus and a corresponding prospectus supplement, and if no shares are sold under the Sales Agreement, the full $125,000,000 of securities may be sold in other offerings pursuant to the base prospectus and a corresponding prospectus supplement.</w:t>
      </w:r>
    </w:p>
    <w:p>
      <w:pPr>
        <w:sectPr>
          <w:pgSz w:w="11900" w:h="16838" w:orient="portrait"/>
          <w:cols w:equalWidth="0" w:num="1">
            <w:col w:w="11220"/>
          </w:cols>
          <w:pgMar w:left="320" w:top="1440" w:right="359" w:bottom="1440" w:gutter="0" w:footer="0" w:header="0"/>
        </w:sectPr>
      </w:pPr>
    </w:p>
    <w:bookmarkStart w:id="2" w:name="page3"/>
    <w:bookmarkEnd w:id="2"/>
    <w:p>
      <w:pPr>
        <w:ind w:right="16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February 28,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122555</wp:posOffset>
            </wp:positionV>
            <wp:extent cx="2468880"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1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1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2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“NAUT.” Each prospectus supplement will indicate whether the securities offered thereby will be listed on any securities exchange.</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118"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Please carefully read the information under the headings “Risk Factors” beginning on page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auto"/>
        </w:rPr>
        <w:t xml:space="preserve"> of this prospectus and “Item 1A – Risk Factors” of our most recent report on Form 10-K or 10-Q that is incorporated by reference in this prospectus before you invest in our securities.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5" w:lineRule="exact"/>
        <w:rPr>
          <w:sz w:val="20"/>
          <w:szCs w:val="20"/>
          <w:color w:val="auto"/>
        </w:rPr>
      </w:pPr>
    </w:p>
    <w:tbl>
      <w:tblPr>
        <w:tblLayout w:type="fixed"/>
        <w:tblInd w:w="37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60" w:type="dxa"/>
            <w:vAlign w:val="bottom"/>
            <w:gridSpan w:val="2"/>
          </w:tcPr>
          <w:p>
            <w:pPr>
              <w:jc w:val="right"/>
              <w:ind w:right="4579"/>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8"/>
        </w:trPr>
        <w:tc>
          <w:tcPr>
            <w:tcW w:w="37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6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60" w:type="dxa"/>
            <w:vAlign w:val="bottom"/>
            <w:vMerge w:val="continue"/>
          </w:tcPr>
          <w:p>
            <w:pPr>
              <w:spacing w:after="0"/>
              <w:rPr>
                <w:sz w:val="18"/>
                <w:szCs w:val="18"/>
                <w:color w:val="auto"/>
              </w:rPr>
            </w:pPr>
          </w:p>
        </w:tc>
        <w:tc>
          <w:tcPr>
            <w:tcW w:w="6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ii</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Description of Depositary Shares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Description of Purchase Contracts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Experts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4" w:name="page5"/>
    <w:bookmarkEnd w:id="4"/>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up to $300,000,000.</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80"/>
          </w:cols>
          <w:pgMar w:left="320" w:top="1440"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“Nautilus Biotechnology, Inc.,” “we,” “our” and “us” refer, collectively, to Nautilus Biotechnology, Inc., a Delaware corporation, and its subsidiaries taken as a whole.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as a Cayman Islands exempted company in March 2020 as a blank check company under the name ARYA Sciences Acquisition Corp III (“ARYA”). On June 9, 2021, we consummated a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2701 Eastlake Avenue East Seattle, Washington, 98102, and our telephone number is (206) 333-2001. Our investor relations website is located at https://investors.nautilus.bio/.</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80"/>
          </w:cols>
          <w:pgMar w:left="1000" w:top="1440" w:right="10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13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contained on the website is not incorporated by reference into this prospectus or any other filings we make with the SEC.</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highlight w:val="white"/>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highlight w:val="white"/>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highlight w:val="white"/>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highlight w:val="white"/>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highlight w:val="white"/>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highlight w:val="white"/>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60"/>
          </w:cols>
          <w:pgMar w:left="1000" w:top="1440" w:right="10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624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462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highlight w:val="white"/>
        </w:rPr>
        <w:t>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highlight w:val="white"/>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highlight w:val="white"/>
        </w:rPr>
        <w:t>We may offer warrants for the purchase of common stock, preferred stock, debt securities or depositary shares. We may offer warrants independently or together with other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highlight w:val="white"/>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highlight w:val="white"/>
        </w:rPr>
        <w:t>We may offer purchase contracts, including contracts obligating holders or us to purchase from the other a specific or variable number of securities at a future date or dates.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highlight w:val="white"/>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860"/>
          </w:cols>
          <w:pgMar w:left="1000" w:top="1440" w:right="1039" w:bottom="1440" w:gutter="0" w:footer="0" w:header="0"/>
        </w:sectPr>
      </w:pPr>
    </w:p>
    <w:bookmarkStart w:id="8" w:name="page9"/>
    <w:bookmarkEnd w:id="8"/>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1440" w:right="499" w:bottom="1440" w:gutter="0" w:footer="0" w:header="0"/>
        </w:sectPr>
      </w:pPr>
    </w:p>
    <w:bookmarkStart w:id="9" w:name="page10"/>
    <w:bookmarkEnd w:id="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4.2 to our Annual Report on Form 10-K for the fiscal year ended December 31, 2022, filed with the SEC on 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1440" w:right="43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2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spacing w:after="0" w:line="12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 including the portion of the principal amount of such debt securities that is convertible into another security or the method by which any such portion will be determined, which may be sold at a discount below their stated principal amount;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defer payments of interest and the maximum length of such deferral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left="328" w:right="260"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21" w:lineRule="exact"/>
        <w:rPr>
          <w:rFonts w:ascii="Times New Roman" w:cs="Times New Roman" w:eastAsia="Times New Roman" w:hAnsi="Times New Roman"/>
          <w:sz w:val="18"/>
          <w:szCs w:val="18"/>
          <w:color w:val="auto"/>
        </w:rPr>
      </w:pPr>
    </w:p>
    <w:p>
      <w:pPr>
        <w:ind w:left="328" w:right="22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 in whole or in part, at our option, and the manner in which any election by us to redeem the debt securities will be evidenced;</w:t>
      </w:r>
    </w:p>
    <w:p>
      <w:pPr>
        <w:spacing w:after="0" w:line="107"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spacing w:after="0" w:line="121" w:lineRule="exact"/>
        <w:rPr>
          <w:rFonts w:ascii="Times New Roman" w:cs="Times New Roman" w:eastAsia="Times New Roman" w:hAnsi="Times New Roman"/>
          <w:sz w:val="18"/>
          <w:szCs w:val="18"/>
          <w:color w:val="auto"/>
        </w:rPr>
      </w:pPr>
    </w:p>
    <w:p>
      <w:pPr>
        <w:ind w:left="328" w:right="280" w:hanging="328"/>
        <w:spacing w:after="0" w:line="261"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71"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 (including the terms pertaining to the exchange of any such securities);</w:t>
      </w:r>
    </w:p>
    <w:p>
      <w:pPr>
        <w:spacing w:after="0" w:line="107" w:lineRule="exact"/>
        <w:rPr>
          <w:rFonts w:ascii="Times New Roman" w:cs="Times New Roman" w:eastAsia="Times New Roman" w:hAnsi="Times New Roman"/>
          <w:sz w:val="18"/>
          <w:szCs w:val="18"/>
          <w:color w:val="auto"/>
        </w:rPr>
      </w:pPr>
    </w:p>
    <w:p>
      <w:pPr>
        <w:ind w:left="328" w:right="46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07" w:lineRule="exact"/>
        <w:rPr>
          <w:rFonts w:ascii="Times New Roman" w:cs="Times New Roman" w:eastAsia="Times New Roman" w:hAnsi="Times New Roman"/>
          <w:sz w:val="18"/>
          <w:szCs w:val="18"/>
          <w:color w:val="auto"/>
        </w:rPr>
      </w:pPr>
    </w:p>
    <w:p>
      <w:pPr>
        <w:ind w:left="328" w:right="140"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spacing w:after="0" w:line="121"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71" w:lineRule="exact"/>
        <w:rPr>
          <w:rFonts w:ascii="Times New Roman" w:cs="Times New Roman" w:eastAsia="Times New Roman" w:hAnsi="Times New Roman"/>
          <w:sz w:val="18"/>
          <w:szCs w:val="18"/>
          <w:color w:val="auto"/>
        </w:rPr>
      </w:pPr>
    </w:p>
    <w:p>
      <w:pPr>
        <w:jc w:val="both"/>
        <w:ind w:left="328" w:right="320" w:hanging="328"/>
        <w:spacing w:after="0" w:line="312" w:lineRule="auto"/>
        <w:tabs>
          <w:tab w:leader="none" w:pos="3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spacing w:after="0" w:line="85"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71" w:lineRule="exact"/>
        <w:rPr>
          <w:rFonts w:ascii="Times New Roman" w:cs="Times New Roman" w:eastAsia="Times New Roman" w:hAnsi="Times New Roman"/>
          <w:sz w:val="18"/>
          <w:szCs w:val="18"/>
          <w:color w:val="auto"/>
        </w:rPr>
      </w:pPr>
    </w:p>
    <w:p>
      <w:pPr>
        <w:ind w:left="328" w:right="4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or a different trustee, the identity of the trustee and, if not the trustee, the identity of each security registrar, paying agent or authenticating agent with respect to such debt securities;</w:t>
      </w:r>
    </w:p>
    <w:p>
      <w:pPr>
        <w:spacing w:after="0" w:line="107"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07"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8"/>
          </w:cols>
          <w:pgMar w:left="652" w:top="1440" w:right="339" w:bottom="1440" w:gutter="0" w:footer="0" w:header="0"/>
        </w:sectPr>
      </w:pPr>
    </w:p>
    <w:bookmarkStart w:id="14" w:name="page15"/>
    <w:bookmarkEnd w:id="14"/>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“—Global Debt Securities and Book-Entry System,” book-entry debt securities will not be issuable in certificated 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or series of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440" w:right="37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108" w:lineRule="exact"/>
        <w:rPr>
          <w:sz w:val="20"/>
          <w:szCs w:val="20"/>
          <w:color w:val="auto"/>
        </w:rPr>
      </w:pPr>
    </w:p>
    <w:p>
      <w:pPr>
        <w:ind w:left="660" w:right="3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71" w:lineRule="exact"/>
        <w:rPr>
          <w:sz w:val="20"/>
          <w:szCs w:val="20"/>
          <w:color w:val="auto"/>
        </w:rPr>
      </w:pPr>
    </w:p>
    <w:p>
      <w:pPr>
        <w:ind w:left="660" w:right="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2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in the section titled “—Consolidation, Merger and Sale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40" w:right="379" w:bottom="1440" w:gutter="0" w:footer="0" w:header="0"/>
        </w:sectPr>
      </w:pPr>
    </w:p>
    <w:bookmarkStart w:id="17" w:name="page18"/>
    <w:bookmarkEnd w:id="17"/>
    <w:p>
      <w:pPr>
        <w:spacing w:after="0" w:line="14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2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36" w:lineRule="exact"/>
        <w:rPr>
          <w:sz w:val="20"/>
          <w:szCs w:val="20"/>
          <w:color w:val="auto"/>
        </w:rPr>
      </w:pPr>
    </w:p>
    <w:p>
      <w:pPr>
        <w:ind w:right="51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b w:val="1"/>
          <w:bCs w:val="1"/>
          <w:i w:val="1"/>
          <w:iCs w:val="1"/>
          <w:color w:val="auto"/>
        </w:rPr>
        <w:t>Legal Defeasance</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3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will provide that, unless otherwise provided by the terms of the applicable series of debt securities, upon compliance with certain conditions:</w:t>
      </w:r>
    </w:p>
    <w:p>
      <w:pPr>
        <w:spacing w:after="0" w:line="171" w:lineRule="exact"/>
        <w:rPr>
          <w:sz w:val="20"/>
          <w:szCs w:val="20"/>
          <w:color w:val="auto"/>
        </w:rPr>
      </w:pPr>
    </w:p>
    <w:p>
      <w:pPr>
        <w:ind w:left="660" w:right="44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omit to comply with the covenant described in the section titled “—Consolidation, Merger and Sale of Assets” and certain other covenants set forth in the indenture, as well as any additional covenants which may be set forth in the applicable prospectus supplement; and</w:t>
      </w:r>
    </w:p>
    <w:p>
      <w:pPr>
        <w:spacing w:after="0" w:line="85" w:lineRule="exact"/>
        <w:rPr>
          <w:rFonts w:ascii="Times New Roman" w:cs="Times New Roman" w:eastAsia="Times New Roman" w:hAnsi="Times New Roman"/>
          <w:sz w:val="17"/>
          <w:szCs w:val="17"/>
          <w:color w:val="auto"/>
        </w:rPr>
      </w:pPr>
    </w:p>
    <w:p>
      <w:pPr>
        <w:ind w:right="120" w:firstLine="332"/>
        <w:spacing w:after="0" w:line="438" w:lineRule="auto"/>
        <w:tabs>
          <w:tab w:leader="none" w:pos="6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We refer to this as covenant defeasance. The conditions include:</w:t>
      </w:r>
    </w:p>
    <w:p>
      <w:pPr>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107"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40"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12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offer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1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320" w:top="1440" w:right="399" w:bottom="1440" w:gutter="0" w:footer="0" w:header="0"/>
        </w:sectPr>
      </w:pPr>
    </w:p>
    <w:bookmarkStart w:id="24" w:name="page25"/>
    <w:bookmarkEnd w:id="2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108" w:lineRule="exact"/>
        <w:rPr>
          <w:sz w:val="20"/>
          <w:szCs w:val="20"/>
          <w:color w:val="auto"/>
        </w:rPr>
      </w:pPr>
    </w:p>
    <w:p>
      <w:pPr>
        <w:ind w:left="660" w:right="7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spacing w:after="0" w:line="13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108" w:lineRule="exact"/>
        <w:rPr>
          <w:sz w:val="20"/>
          <w:szCs w:val="20"/>
          <w:color w:val="auto"/>
        </w:rPr>
      </w:pPr>
    </w:p>
    <w:p>
      <w:pPr>
        <w:ind w:left="660" w:right="2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1440" w:right="459" w:bottom="1440" w:gutter="0" w:footer="0" w:header="0"/>
        </w:sectPr>
      </w:pPr>
    </w:p>
    <w:bookmarkStart w:id="28" w:name="page29"/>
    <w:bookmarkEnd w:id="28"/>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33" w:lineRule="exact"/>
        <w:rPr>
          <w:sz w:val="20"/>
          <w:szCs w:val="20"/>
          <w:color w:val="auto"/>
        </w:rPr>
      </w:pPr>
    </w:p>
    <w:p>
      <w:pPr>
        <w:ind w:left="660" w:right="4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60"/>
          </w:cols>
          <w:pgMar w:left="320" w:top="1440" w:right="419" w:bottom="1440" w:gutter="0" w:footer="0" w:header="0"/>
        </w:sectPr>
      </w:pPr>
    </w:p>
    <w:bookmarkStart w:id="30" w:name="page31"/>
    <w:bookmarkEnd w:id="3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 Certain members of, and investment partnerships comprised of members of, and persons associated with, Wilson Sonsini Goodrich &amp; Rosati, P.C. own less than 0.2% of our common stock.</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https://www.nautilus.bio/</w:t>
      </w:r>
      <w:r>
        <w:rPr>
          <w:rFonts w:ascii="Times New Roman" w:cs="Times New Roman" w:eastAsia="Times New Roman" w:hAnsi="Times New Roman"/>
          <w:sz w:val="18"/>
          <w:szCs w:val="18"/>
          <w:color w:val="auto"/>
        </w:rPr>
        <w:t>. Information accessible on or through our website is not a part of this prospectus.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14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28, 2024;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20">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with the SEC on August 6, 2020, including any amendment or report filed for the purpose of updating such description.</w:t>
      </w:r>
    </w:p>
    <w:p>
      <w:pPr>
        <w:spacing w:after="0" w:line="10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and telephone number:</w:t>
      </w:r>
    </w:p>
    <w:p>
      <w:pPr>
        <w:spacing w:after="0" w:line="17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2701 Eastlake Avenue East</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Seattle, Washington 98102</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333-2001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32" w:name="page33"/>
    <w:bookmarkEnd w:id="32"/>
    <w:p>
      <w:pPr>
        <w:ind w:right="12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supplement is not complete and may be changed. The securities may not be sold until the registration statement filed with the Securities and Exchange Commission is effective. This prospectus supplement is not an offer to sell these securities and it is not soliciting an offer to buy these securities in any state where the offer or sale is not permitted.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FEBRUARY 28,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19685</wp:posOffset>
            </wp:positionV>
            <wp:extent cx="205740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0574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Up to $125,000,000</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Cowen and Company, LLC (“TD Cowen”), dated February 28, 2024, relating to shares of our common stock, par value $0.0001 per share (“common stock”), offered by this prospectus supplement and the accompanying prospectus. In accordance with the terms of the sales agreement, we may offer and sell shares of our common stock having an aggregate offering price of up to $125,000,000 from time to time through TD Cowen acting as our agent or principal.</w:t>
      </w:r>
    </w:p>
    <w:p>
      <w:pPr>
        <w:spacing w:after="0" w:line="12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“NAUT.” On February 27, 2024, the last reported sale price of our common stock on Nasdaq was $2.94 per share.</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will be made in sales deemed to be an “at the market offering” as defined in Rule 415(a)(4) promulgated under the Securities Act of 1933, as amended (the “Securities Act”). TD Cowen is not required to sell any specific number of dollar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 See “</w:t>
      </w:r>
      <w:r>
        <w:rPr>
          <w:rFonts w:ascii="Times New Roman" w:cs="Times New Roman" w:eastAsia="Times New Roman" w:hAnsi="Times New Roman"/>
          <w:sz w:val="18"/>
          <w:szCs w:val="18"/>
          <w:u w:val="single" w:color="auto"/>
          <w:color w:val="0000FF"/>
        </w:rPr>
        <w:t>Plan of Distribution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S-15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regarding the compensation to be paid to TD Cowen.</w:t>
      </w:r>
    </w:p>
    <w:p>
      <w:pPr>
        <w:spacing w:after="0" w:line="1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“Prospectus Supplement Summary— Implications of Being an Emerging Growth Company and Smaller Reporting Company.”</w:t>
      </w:r>
    </w:p>
    <w:p>
      <w:pPr>
        <w:spacing w:after="0" w:line="122"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Our business and an investment in our common stock involve significant risks. Before making an investment decision, you should review carefully and consider all of the information set forth in this prospectus supplement and the documents incorporated by reference. These risks are described under the caption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S-7</w:t>
      </w:r>
      <w:r>
        <w:rPr>
          <w:rFonts w:ascii="Times New Roman" w:cs="Times New Roman" w:eastAsia="Times New Roman" w:hAnsi="Times New Roman"/>
          <w:sz w:val="18"/>
          <w:szCs w:val="18"/>
          <w:b w:val="1"/>
          <w:bCs w:val="1"/>
          <w:color w:val="auto"/>
        </w:rPr>
        <w:t xml:space="preserve"> of this prospectus supplement and in the documents incorporated by reference into this prospectus supplement.</w:t>
      </w:r>
    </w:p>
    <w:p>
      <w:pPr>
        <w:spacing w:after="0" w:line="122"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141" w:lineRule="exact"/>
        <w:rPr>
          <w:sz w:val="20"/>
          <w:szCs w:val="20"/>
          <w:color w:val="auto"/>
        </w:rPr>
      </w:pPr>
    </w:p>
    <w:tbl>
      <w:tblPr>
        <w:tblLayout w:type="fixed"/>
        <w:tblInd w:w="346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tc>
      </w:tr>
    </w:tbl>
    <w:p>
      <w:pPr>
        <w:sectPr>
          <w:pgSz w:w="11900" w:h="16838" w:orient="portrait"/>
          <w:cols w:equalWidth="0" w:num="1">
            <w:col w:w="11220"/>
          </w:cols>
          <w:pgMar w:left="320" w:top="927" w:right="359" w:bottom="1440" w:gutter="0" w:footer="0" w:header="0"/>
        </w:sectPr>
      </w:pPr>
    </w:p>
    <w:bookmarkStart w:id="33" w:name="page34"/>
    <w:bookmarkEnd w:id="3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54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360" w:type="dxa"/>
            <w:vAlign w:val="bottom"/>
            <w:gridSpan w:val="1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7"/>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MARKET, INDUSTRY AND OTHER DATA</w:t>
            </w:r>
          </w:p>
        </w:tc>
        <w:tc>
          <w:tcPr>
            <w:tcW w:w="140" w:type="dxa"/>
            <w:vAlign w:val="bottom"/>
          </w:tcPr>
          <w:p>
            <w:pPr>
              <w:spacing w:after="0"/>
              <w:rPr>
                <w:sz w:val="18"/>
                <w:szCs w:val="18"/>
                <w:color w:val="auto"/>
              </w:rPr>
            </w:pPr>
          </w:p>
        </w:tc>
        <w:tc>
          <w:tcPr>
            <w:tcW w:w="692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PROSPECTUS SUPPLEMENT SUMMARY</w:t>
            </w:r>
          </w:p>
        </w:tc>
        <w:tc>
          <w:tcPr>
            <w:tcW w:w="70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70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3760" w:type="dxa"/>
            <w:vAlign w:val="bottom"/>
            <w:gridSpan w:val="6"/>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87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DILUTION</w:t>
            </w:r>
          </w:p>
        </w:tc>
        <w:tc>
          <w:tcPr>
            <w:tcW w:w="87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830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3"/>
          </w:tcPr>
          <w:p>
            <w:pPr>
              <w:spacing w:after="0"/>
              <w:rPr>
                <w:sz w:val="18"/>
                <w:szCs w:val="18"/>
                <w:color w:val="auto"/>
              </w:rPr>
            </w:pPr>
          </w:p>
        </w:tc>
        <w:tc>
          <w:tcPr>
            <w:tcW w:w="890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S-17</w:t>
            </w:r>
          </w:p>
        </w:tc>
        <w:tc>
          <w:tcPr>
            <w:tcW w:w="0" w:type="dxa"/>
            <w:vAlign w:val="bottom"/>
          </w:tcPr>
          <w:p>
            <w:pPr>
              <w:spacing w:after="0"/>
              <w:rPr>
                <w:sz w:val="1"/>
                <w:szCs w:val="1"/>
                <w:color w:val="auto"/>
              </w:rPr>
            </w:pPr>
          </w:p>
        </w:tc>
      </w:tr>
      <w:tr>
        <w:trPr>
          <w:trHeight w:val="20"/>
        </w:trPr>
        <w:tc>
          <w:tcPr>
            <w:tcW w:w="3820" w:type="dxa"/>
            <w:vAlign w:val="bottom"/>
            <w:gridSpan w:val="9"/>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INCORPORATION OF CERTAIN DOCUMENTS BY REFERENCE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S-17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34" w:name="page35"/>
    <w:bookmarkEnd w:id="3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that we filed with the Securities and Exchange Commission (the “SEC”). Under this shelf registration process, we may sell any combination of the securities described in our base prospectus included in the shelf registration statement in one or more offerings up to a total aggregate offering price of $300,000,000. The $125,000,000 of common stock that may be offered, issued and sold under this prospectus is included in the $300,000,000 of securities that may be offered, issued and sold by us pursuant to our shelf registration statement.</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and in any free writing prospectus that we may authorize for use in connection with this offering. We have not, and TD Cowen has not, authorized any other person to provide you with different or additional information. If anyone provides you with different or inconsistent information, you should not rely on it. We are not, and TD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supplement entitled “Incorporation of Certain Documents by Reference” and in the section of the accompanying base prospectus entitled “Where You Can Find More Information.”</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requires, the terms “Nautilus Biotechnology,” “Nautilus,” “Company,” “we,” “us,” “our” and similar terms refer to Nautilus Biotechnology, Inc., a Delaware corporation, and where appropriate, our wholly-owned subsidiaries.</w:t>
      </w:r>
    </w:p>
    <w:p>
      <w:pPr>
        <w:spacing w:after="0" w:line="1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This prospectus supplement and the information incorporated herein or therein by reference include trademarks, service marks and trade names owned by us or other companies. Solely for convenience, trademarks, service marks, and trade names,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 this prospectus supplement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obtained the industry and market data used throughout this prospectus supplement, the accompanying prospectus and the documents incorporated by reference herein and therein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the accompanying prospectus and the documents incorporated by reference herein and therein is reliable and based on reasonable assumptions, such data involve material risks and other uncertainties and are subject to change based on various factors, including those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and other factors could cause results to differ materially from those expressed in the estimates made by the independent parties or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or incorporated by reference in this prospectus supplement, and does not contain all of the information that you need to consider in making your investment decision. You should carefully read this entire prospectus supplement, the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the accompanying base prospectus. You should also carefully read the information incorporated by reference into this prospectus supplement, including our financial statements, and the exhibits to the registration statement of which this prospectus supplement is a part.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2025 or until we otherwise no longer qualify as an “emerging growth company,” whichever is earlier. We will cease to be an emerging growth company prior to the end of such period if certain earlier events occur, including if we become a “large accelerated filer”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Rule 12b-2 under the Securities Exchange Act of 1934, as amended, or Exchange Act, our annual gross revenues exceed $1.235 billion or we issue more than $1.0 billion of non-convertible debt in any three-year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w:t>
      </w:r>
    </w:p>
    <w:p>
      <w:pPr>
        <w:spacing w:after="0" w:line="27" w:lineRule="exact"/>
        <w:rPr>
          <w:sz w:val="20"/>
          <w:szCs w:val="20"/>
          <w:color w:val="auto"/>
        </w:rPr>
      </w:pPr>
    </w:p>
    <w:p>
      <w:pPr>
        <w:ind w:right="40" w:firstLine="8"/>
        <w:spacing w:after="0" w:line="252" w:lineRule="auto"/>
        <w:tabs>
          <w:tab w:leader="none" w:pos="2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3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as a Cayman Islands exempted company in March 2020 as a blank check company under the name ARYA Sciences Acquisition Corp III (“ARYA”). On June 9, 2021, we consummated a business combination (the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prospectus supplement or any other filings we make with the SEC.</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840" w:type="dxa"/>
            <w:vAlign w:val="bottom"/>
            <w:gridSpan w:val="13"/>
          </w:tcPr>
          <w:p>
            <w:pPr>
              <w:ind w:left="8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6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Shares of common stock having an aggregate offering price of up to</w:t>
            </w:r>
          </w:p>
        </w:tc>
      </w:tr>
      <w:tr>
        <w:trPr>
          <w:trHeight w:val="234"/>
        </w:trPr>
        <w:tc>
          <w:tcPr>
            <w:tcW w:w="4280" w:type="dxa"/>
            <w:vAlign w:val="bottom"/>
          </w:tcPr>
          <w:p>
            <w:pPr>
              <w:spacing w:after="0"/>
              <w:rPr>
                <w:sz w:val="20"/>
                <w:szCs w:val="20"/>
                <w:color w:val="auto"/>
              </w:rPr>
            </w:pPr>
          </w:p>
        </w:tc>
        <w:tc>
          <w:tcPr>
            <w:tcW w:w="20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$125,000,000.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Up to 42,517,006 shares, assuming sales at a price of $2.94 per share, which was</w:t>
            </w:r>
          </w:p>
        </w:tc>
      </w:tr>
      <w:tr>
        <w:trPr>
          <w:trHeight w:val="216"/>
        </w:trPr>
        <w:tc>
          <w:tcPr>
            <w:tcW w:w="4280" w:type="dxa"/>
            <w:vAlign w:val="bottom"/>
          </w:tcPr>
          <w:p>
            <w:pPr>
              <w:spacing w:after="0"/>
              <w:rPr>
                <w:sz w:val="18"/>
                <w:szCs w:val="18"/>
                <w:color w:val="auto"/>
              </w:rPr>
            </w:pP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the closing price of our common stock on Nasdaq on February 27, 2024. The</w:t>
            </w:r>
          </w:p>
        </w:tc>
      </w:tr>
      <w:tr>
        <w:trPr>
          <w:trHeight w:val="216"/>
        </w:trPr>
        <w:tc>
          <w:tcPr>
            <w:tcW w:w="4280" w:type="dxa"/>
            <w:vAlign w:val="bottom"/>
          </w:tcPr>
          <w:p>
            <w:pPr>
              <w:spacing w:after="0"/>
              <w:rPr>
                <w:sz w:val="18"/>
                <w:szCs w:val="18"/>
                <w:color w:val="auto"/>
              </w:rPr>
            </w:pP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actual number of shares issued will vary depending on the sales price under this</w:t>
            </w:r>
          </w:p>
        </w:tc>
      </w:tr>
      <w:tr>
        <w:trPr>
          <w:trHeight w:val="234"/>
        </w:trPr>
        <w:tc>
          <w:tcPr>
            <w:tcW w:w="4280" w:type="dxa"/>
            <w:vAlign w:val="bottom"/>
          </w:tcPr>
          <w:p>
            <w:pPr>
              <w:spacing w:after="0"/>
              <w:rPr>
                <w:sz w:val="20"/>
                <w:szCs w:val="20"/>
                <w:color w:val="auto"/>
              </w:rPr>
            </w:pP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offering.</w:t>
            </w:r>
          </w:p>
        </w:tc>
      </w:tr>
      <w:tr>
        <w:trPr>
          <w:trHeight w:val="41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Manner of Offering</w:t>
            </w: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w:t>
            </w:r>
          </w:p>
        </w:tc>
      </w:tr>
      <w:tr>
        <w:trPr>
          <w:trHeight w:val="189"/>
        </w:trPr>
        <w:tc>
          <w:tcPr>
            <w:tcW w:w="4280" w:type="dxa"/>
            <w:vAlign w:val="bottom"/>
          </w:tcPr>
          <w:p>
            <w:pPr>
              <w:spacing w:after="0"/>
              <w:rPr>
                <w:sz w:val="16"/>
                <w:szCs w:val="16"/>
                <w:color w:val="auto"/>
              </w:rPr>
            </w:pPr>
          </w:p>
        </w:tc>
        <w:tc>
          <w:tcPr>
            <w:tcW w:w="6840" w:type="dxa"/>
            <w:vAlign w:val="bottom"/>
            <w:gridSpan w:val="13"/>
          </w:tcPr>
          <w:p>
            <w:pPr>
              <w:ind w:left="960"/>
              <w:spacing w:after="0" w:line="189" w:lineRule="exact"/>
              <w:rPr>
                <w:sz w:val="20"/>
                <w:szCs w:val="20"/>
                <w:color w:val="auto"/>
              </w:rPr>
            </w:pPr>
            <w:r>
              <w:rPr>
                <w:rFonts w:ascii="Times New Roman" w:cs="Times New Roman" w:eastAsia="Times New Roman" w:hAnsi="Times New Roman"/>
                <w:sz w:val="18"/>
                <w:szCs w:val="18"/>
                <w:color w:val="auto"/>
              </w:rPr>
              <w:t>agent, TD Cowen. See “</w:t>
            </w:r>
            <w:r>
              <w:rPr>
                <w:rFonts w:ascii="Times New Roman" w:cs="Times New Roman" w:eastAsia="Times New Roman" w:hAnsi="Times New Roman"/>
                <w:sz w:val="18"/>
                <w:szCs w:val="18"/>
                <w:color w:val="0000FF"/>
              </w:rPr>
              <w:t>Plan of Distribution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FF"/>
              </w:rPr>
              <w:t>S-15</w:t>
            </w:r>
            <w:r>
              <w:rPr>
                <w:rFonts w:ascii="Times New Roman" w:cs="Times New Roman" w:eastAsia="Times New Roman" w:hAnsi="Times New Roman"/>
                <w:sz w:val="18"/>
                <w:szCs w:val="18"/>
                <w:color w:val="auto"/>
              </w:rPr>
              <w:t xml:space="preserve"> of this prospectus</w:t>
            </w:r>
          </w:p>
        </w:tc>
      </w:tr>
      <w:tr>
        <w:trPr>
          <w:trHeight w:val="214"/>
        </w:trPr>
        <w:tc>
          <w:tcPr>
            <w:tcW w:w="4280" w:type="dxa"/>
            <w:vAlign w:val="bottom"/>
          </w:tcPr>
          <w:p>
            <w:pPr>
              <w:spacing w:after="0"/>
              <w:rPr>
                <w:sz w:val="18"/>
                <w:szCs w:val="18"/>
                <w:color w:val="auto"/>
              </w:rPr>
            </w:pPr>
          </w:p>
        </w:tc>
        <w:tc>
          <w:tcPr>
            <w:tcW w:w="27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supplement.</w:t>
            </w:r>
          </w:p>
        </w:tc>
        <w:tc>
          <w:tcPr>
            <w:tcW w:w="5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Our management will retain broad discretion regarding the allocation and use of</w:t>
            </w:r>
          </w:p>
        </w:tc>
      </w:tr>
      <w:tr>
        <w:trPr>
          <w:trHeight w:val="184"/>
        </w:trPr>
        <w:tc>
          <w:tcPr>
            <w:tcW w:w="4280" w:type="dxa"/>
            <w:vAlign w:val="bottom"/>
          </w:tcPr>
          <w:p>
            <w:pPr>
              <w:spacing w:after="0"/>
              <w:rPr>
                <w:sz w:val="16"/>
                <w:szCs w:val="16"/>
                <w:color w:val="auto"/>
              </w:rPr>
            </w:pPr>
          </w:p>
        </w:tc>
        <w:tc>
          <w:tcPr>
            <w:tcW w:w="6840" w:type="dxa"/>
            <w:vAlign w:val="bottom"/>
            <w:gridSpan w:val="13"/>
          </w:tcPr>
          <w:p>
            <w:pPr>
              <w:ind w:left="960"/>
              <w:spacing w:after="0" w:line="184" w:lineRule="exact"/>
              <w:rPr>
                <w:sz w:val="20"/>
                <w:szCs w:val="20"/>
                <w:color w:val="auto"/>
              </w:rPr>
            </w:pPr>
            <w:r>
              <w:rPr>
                <w:rFonts w:ascii="Times New Roman" w:cs="Times New Roman" w:eastAsia="Times New Roman" w:hAnsi="Times New Roman"/>
                <w:sz w:val="18"/>
                <w:szCs w:val="18"/>
                <w:color w:val="auto"/>
              </w:rPr>
              <w:t>the net proceeds from this offering. We currently intend to use the net proceeds</w:t>
            </w:r>
          </w:p>
        </w:tc>
      </w:tr>
      <w:tr>
        <w:trPr>
          <w:trHeight w:val="180"/>
        </w:trPr>
        <w:tc>
          <w:tcPr>
            <w:tcW w:w="4280" w:type="dxa"/>
            <w:vAlign w:val="bottom"/>
          </w:tcPr>
          <w:p>
            <w:pPr>
              <w:spacing w:after="0"/>
              <w:rPr>
                <w:sz w:val="15"/>
                <w:szCs w:val="15"/>
                <w:color w:val="auto"/>
              </w:rPr>
            </w:pPr>
          </w:p>
        </w:tc>
        <w:tc>
          <w:tcPr>
            <w:tcW w:w="6840" w:type="dxa"/>
            <w:vAlign w:val="bottom"/>
            <w:gridSpan w:val="13"/>
          </w:tcPr>
          <w:p>
            <w:pPr>
              <w:ind w:left="960"/>
              <w:spacing w:after="0" w:line="181" w:lineRule="exact"/>
              <w:rPr>
                <w:sz w:val="20"/>
                <w:szCs w:val="20"/>
                <w:color w:val="auto"/>
              </w:rPr>
            </w:pPr>
            <w:r>
              <w:rPr>
                <w:rFonts w:ascii="Times New Roman" w:cs="Times New Roman" w:eastAsia="Times New Roman" w:hAnsi="Times New Roman"/>
                <w:sz w:val="18"/>
                <w:szCs w:val="18"/>
                <w:color w:val="auto"/>
              </w:rPr>
              <w:t>from this offering, if any, for general corporate purposes and working capital,</w:t>
            </w:r>
          </w:p>
        </w:tc>
      </w:tr>
      <w:tr>
        <w:trPr>
          <w:trHeight w:val="175"/>
        </w:trPr>
        <w:tc>
          <w:tcPr>
            <w:tcW w:w="4280" w:type="dxa"/>
            <w:vAlign w:val="bottom"/>
          </w:tcPr>
          <w:p>
            <w:pPr>
              <w:spacing w:after="0"/>
              <w:rPr>
                <w:sz w:val="15"/>
                <w:szCs w:val="15"/>
                <w:color w:val="auto"/>
              </w:rPr>
            </w:pPr>
          </w:p>
        </w:tc>
        <w:tc>
          <w:tcPr>
            <w:tcW w:w="6840" w:type="dxa"/>
            <w:vAlign w:val="bottom"/>
            <w:gridSpan w:val="13"/>
          </w:tcPr>
          <w:p>
            <w:pPr>
              <w:ind w:left="960"/>
              <w:spacing w:after="0" w:line="176" w:lineRule="exact"/>
              <w:rPr>
                <w:sz w:val="20"/>
                <w:szCs w:val="20"/>
                <w:color w:val="auto"/>
              </w:rPr>
            </w:pPr>
            <w:r>
              <w:rPr>
                <w:rFonts w:ascii="Times New Roman" w:cs="Times New Roman" w:eastAsia="Times New Roman" w:hAnsi="Times New Roman"/>
                <w:sz w:val="18"/>
                <w:szCs w:val="18"/>
                <w:color w:val="auto"/>
              </w:rPr>
              <w:t>including for continued product development of our proteomics platform, other</w:t>
            </w:r>
          </w:p>
        </w:tc>
      </w:tr>
      <w:tr>
        <w:trPr>
          <w:trHeight w:val="184"/>
        </w:trPr>
        <w:tc>
          <w:tcPr>
            <w:tcW w:w="4280" w:type="dxa"/>
            <w:vAlign w:val="bottom"/>
          </w:tcPr>
          <w:p>
            <w:pPr>
              <w:spacing w:after="0"/>
              <w:rPr>
                <w:sz w:val="16"/>
                <w:szCs w:val="16"/>
                <w:color w:val="auto"/>
              </w:rPr>
            </w:pPr>
          </w:p>
        </w:tc>
        <w:tc>
          <w:tcPr>
            <w:tcW w:w="6840" w:type="dxa"/>
            <w:vAlign w:val="bottom"/>
            <w:gridSpan w:val="13"/>
          </w:tcPr>
          <w:p>
            <w:pPr>
              <w:ind w:left="960"/>
              <w:spacing w:after="0" w:line="184" w:lineRule="exact"/>
              <w:rPr>
                <w:sz w:val="20"/>
                <w:szCs w:val="20"/>
                <w:color w:val="auto"/>
              </w:rPr>
            </w:pPr>
            <w:r>
              <w:rPr>
                <w:rFonts w:ascii="Times New Roman" w:cs="Times New Roman" w:eastAsia="Times New Roman" w:hAnsi="Times New Roman"/>
                <w:sz w:val="18"/>
                <w:szCs w:val="18"/>
                <w:color w:val="auto"/>
              </w:rPr>
              <w:t>research and development activities, and commercialization of our proteomics</w:t>
            </w:r>
          </w:p>
        </w:tc>
      </w:tr>
      <w:tr>
        <w:trPr>
          <w:trHeight w:val="194"/>
        </w:trPr>
        <w:tc>
          <w:tcPr>
            <w:tcW w:w="4280" w:type="dxa"/>
            <w:vAlign w:val="bottom"/>
          </w:tcPr>
          <w:p>
            <w:pPr>
              <w:spacing w:after="0"/>
              <w:rPr>
                <w:sz w:val="16"/>
                <w:szCs w:val="16"/>
                <w:color w:val="auto"/>
              </w:rPr>
            </w:pPr>
          </w:p>
        </w:tc>
        <w:tc>
          <w:tcPr>
            <w:tcW w:w="6840" w:type="dxa"/>
            <w:vAlign w:val="bottom"/>
            <w:gridSpan w:val="13"/>
          </w:tcPr>
          <w:p>
            <w:pPr>
              <w:ind w:left="960"/>
              <w:spacing w:after="0" w:line="194" w:lineRule="exact"/>
              <w:rPr>
                <w:sz w:val="20"/>
                <w:szCs w:val="20"/>
                <w:color w:val="auto"/>
              </w:rPr>
            </w:pPr>
            <w:r>
              <w:rPr>
                <w:rFonts w:ascii="Times New Roman" w:cs="Times New Roman" w:eastAsia="Times New Roman" w:hAnsi="Times New Roman"/>
                <w:sz w:val="18"/>
                <w:szCs w:val="18"/>
                <w:color w:val="auto"/>
              </w:rPr>
              <w:t>platform. See “</w:t>
            </w:r>
            <w:r>
              <w:rPr>
                <w:rFonts w:ascii="Times New Roman" w:cs="Times New Roman" w:eastAsia="Times New Roman" w:hAnsi="Times New Roman"/>
                <w:sz w:val="18"/>
                <w:szCs w:val="18"/>
                <w:color w:val="0000FF"/>
              </w:rPr>
              <w:t>Use of Proceeds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FF"/>
              </w:rPr>
              <w:t>S-</w:t>
            </w:r>
            <w:r>
              <w:rPr>
                <w:rFonts w:ascii="Times New Roman" w:cs="Times New Roman" w:eastAsia="Times New Roman" w:hAnsi="Times New Roman"/>
                <w:sz w:val="18"/>
                <w:szCs w:val="18"/>
                <w:color w:val="0000FF"/>
                <w:highlight w:val="white"/>
              </w:rPr>
              <w:t>11</w:t>
            </w:r>
            <w:r>
              <w:rPr>
                <w:rFonts w:ascii="Times New Roman" w:cs="Times New Roman" w:eastAsia="Times New Roman" w:hAnsi="Times New Roman"/>
                <w:sz w:val="18"/>
                <w:szCs w:val="18"/>
                <w:color w:val="auto"/>
              </w:rPr>
              <w:t xml:space="preserve"> of this prospectus supplement.</w:t>
            </w:r>
          </w:p>
        </w:tc>
      </w:tr>
      <w:tr>
        <w:trPr>
          <w:trHeight w:val="20"/>
        </w:trPr>
        <w:tc>
          <w:tcPr>
            <w:tcW w:w="4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w w:val="99"/>
              </w:rPr>
              <w:t>Investing in our common stock involves a high degree of risk. See “</w:t>
            </w:r>
            <w:r>
              <w:rPr>
                <w:rFonts w:ascii="Times New Roman" w:cs="Times New Roman" w:eastAsia="Times New Roman" w:hAnsi="Times New Roman"/>
                <w:sz w:val="18"/>
                <w:szCs w:val="18"/>
                <w:color w:val="0000FF"/>
                <w:w w:val="99"/>
              </w:rPr>
              <w:t>Risk Factors</w:t>
            </w:r>
            <w:r>
              <w:rPr>
                <w:rFonts w:ascii="Times New Roman" w:cs="Times New Roman" w:eastAsia="Times New Roman" w:hAnsi="Times New Roman"/>
                <w:sz w:val="18"/>
                <w:szCs w:val="18"/>
                <w:color w:val="auto"/>
                <w:w w:val="99"/>
              </w:rPr>
              <w:t>”</w:t>
            </w:r>
          </w:p>
        </w:tc>
      </w:tr>
      <w:tr>
        <w:trPr>
          <w:trHeight w:val="156"/>
        </w:trPr>
        <w:tc>
          <w:tcPr>
            <w:tcW w:w="4280" w:type="dxa"/>
            <w:vAlign w:val="bottom"/>
          </w:tcPr>
          <w:p>
            <w:pPr>
              <w:spacing w:after="0"/>
              <w:rPr>
                <w:sz w:val="13"/>
                <w:szCs w:val="13"/>
                <w:color w:val="auto"/>
              </w:rPr>
            </w:pPr>
          </w:p>
        </w:tc>
        <w:tc>
          <w:tcPr>
            <w:tcW w:w="5860" w:type="dxa"/>
            <w:vAlign w:val="bottom"/>
            <w:gridSpan w:val="11"/>
          </w:tcPr>
          <w:p>
            <w:pPr>
              <w:ind w:left="960"/>
              <w:spacing w:after="0" w:line="156" w:lineRule="exact"/>
              <w:rPr>
                <w:sz w:val="20"/>
                <w:szCs w:val="20"/>
                <w:color w:val="auto"/>
              </w:rPr>
            </w:pP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color w:val="0000FF"/>
              </w:rPr>
              <w:t>S-7</w:t>
            </w:r>
            <w:r>
              <w:rPr>
                <w:rFonts w:ascii="Times New Roman" w:cs="Times New Roman" w:eastAsia="Times New Roman" w:hAnsi="Times New Roman"/>
                <w:sz w:val="18"/>
                <w:szCs w:val="18"/>
                <w:color w:val="auto"/>
              </w:rPr>
              <w:t xml:space="preserve"> of this prospectus supplement and the other</w:t>
            </w:r>
          </w:p>
        </w:tc>
        <w:tc>
          <w:tcPr>
            <w:tcW w:w="900" w:type="dxa"/>
            <w:vAlign w:val="bottom"/>
            <w:tcBorders>
              <w:top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auto"/>
              </w:rPr>
              <w:t>information</w:t>
            </w:r>
          </w:p>
        </w:tc>
        <w:tc>
          <w:tcPr>
            <w:tcW w:w="80" w:type="dxa"/>
            <w:vAlign w:val="bottom"/>
          </w:tcPr>
          <w:p>
            <w:pPr>
              <w:spacing w:after="0"/>
              <w:rPr>
                <w:sz w:val="13"/>
                <w:szCs w:val="13"/>
                <w:color w:val="auto"/>
              </w:rPr>
            </w:pPr>
          </w:p>
        </w:tc>
      </w:tr>
      <w:tr>
        <w:trPr>
          <w:trHeight w:val="20"/>
        </w:trPr>
        <w:tc>
          <w:tcPr>
            <w:tcW w:w="42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r>
      <w:tr>
        <w:trPr>
          <w:trHeight w:val="155"/>
        </w:trPr>
        <w:tc>
          <w:tcPr>
            <w:tcW w:w="4280" w:type="dxa"/>
            <w:vAlign w:val="bottom"/>
          </w:tcPr>
          <w:p>
            <w:pPr>
              <w:spacing w:after="0"/>
              <w:rPr>
                <w:sz w:val="13"/>
                <w:szCs w:val="13"/>
                <w:color w:val="auto"/>
              </w:rPr>
            </w:pPr>
          </w:p>
        </w:tc>
        <w:tc>
          <w:tcPr>
            <w:tcW w:w="6840" w:type="dxa"/>
            <w:vAlign w:val="bottom"/>
            <w:gridSpan w:val="13"/>
          </w:tcPr>
          <w:p>
            <w:pPr>
              <w:ind w:left="960"/>
              <w:spacing w:after="0" w:line="156" w:lineRule="exact"/>
              <w:rPr>
                <w:sz w:val="20"/>
                <w:szCs w:val="20"/>
                <w:color w:val="auto"/>
              </w:rPr>
            </w:pPr>
            <w:r>
              <w:rPr>
                <w:rFonts w:ascii="Times New Roman" w:cs="Times New Roman" w:eastAsia="Times New Roman" w:hAnsi="Times New Roman"/>
                <w:sz w:val="18"/>
                <w:szCs w:val="18"/>
                <w:color w:val="auto"/>
              </w:rPr>
              <w:t>included in, or incorporated by reference into, this prospectus supplement for a</w:t>
            </w:r>
          </w:p>
        </w:tc>
      </w:tr>
      <w:tr>
        <w:trPr>
          <w:trHeight w:val="176"/>
        </w:trPr>
        <w:tc>
          <w:tcPr>
            <w:tcW w:w="4280" w:type="dxa"/>
            <w:vAlign w:val="bottom"/>
          </w:tcPr>
          <w:p>
            <w:pPr>
              <w:spacing w:after="0"/>
              <w:rPr>
                <w:sz w:val="15"/>
                <w:szCs w:val="15"/>
                <w:color w:val="auto"/>
              </w:rPr>
            </w:pPr>
          </w:p>
        </w:tc>
        <w:tc>
          <w:tcPr>
            <w:tcW w:w="6840" w:type="dxa"/>
            <w:vAlign w:val="bottom"/>
            <w:gridSpan w:val="13"/>
          </w:tcPr>
          <w:p>
            <w:pPr>
              <w:ind w:left="960"/>
              <w:spacing w:after="0" w:line="176" w:lineRule="exact"/>
              <w:rPr>
                <w:sz w:val="20"/>
                <w:szCs w:val="20"/>
                <w:color w:val="auto"/>
              </w:rPr>
            </w:pPr>
            <w:r>
              <w:rPr>
                <w:rFonts w:ascii="Times New Roman" w:cs="Times New Roman" w:eastAsia="Times New Roman" w:hAnsi="Times New Roman"/>
                <w:sz w:val="18"/>
                <w:szCs w:val="18"/>
                <w:color w:val="auto"/>
                <w:w w:val="99"/>
              </w:rPr>
              <w:t>discussion of certain factors that you should carefully consider before deciding to</w:t>
            </w:r>
          </w:p>
        </w:tc>
      </w:tr>
      <w:tr>
        <w:trPr>
          <w:trHeight w:val="234"/>
        </w:trPr>
        <w:tc>
          <w:tcPr>
            <w:tcW w:w="4280" w:type="dxa"/>
            <w:vAlign w:val="bottom"/>
          </w:tcPr>
          <w:p>
            <w:pPr>
              <w:spacing w:after="0"/>
              <w:rPr>
                <w:sz w:val="20"/>
                <w:szCs w:val="20"/>
                <w:color w:val="auto"/>
              </w:rPr>
            </w:pP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invest in shares of our common stock.</w:t>
            </w:r>
          </w:p>
        </w:tc>
      </w:tr>
      <w:tr>
        <w:trPr>
          <w:trHeight w:val="29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6840" w:type="dxa"/>
            <w:vAlign w:val="bottom"/>
            <w:gridSpan w:val="13"/>
          </w:tcPr>
          <w:p>
            <w:pPr>
              <w:ind w:left="960"/>
              <w:spacing w:after="0"/>
              <w:rPr>
                <w:sz w:val="20"/>
                <w:szCs w:val="20"/>
                <w:color w:val="auto"/>
              </w:rPr>
            </w:pPr>
            <w:r>
              <w:rPr>
                <w:rFonts w:ascii="Times New Roman" w:cs="Times New Roman" w:eastAsia="Times New Roman" w:hAnsi="Times New Roman"/>
                <w:sz w:val="18"/>
                <w:szCs w:val="18"/>
                <w:color w:val="auto"/>
              </w:rPr>
              <w:t>“NAUT”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-959485</wp:posOffset>
            </wp:positionV>
            <wp:extent cx="8655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865505" cy="128905"/>
                    </a:xfrm>
                    <a:prstGeom prst="rect">
                      <a:avLst/>
                    </a:prstGeom>
                    <a:noFill/>
                  </pic:spPr>
                </pic:pic>
              </a:graphicData>
            </a:graphic>
          </wp:anchor>
        </w:drawing>
      </w:r>
    </w:p>
    <w:p>
      <w:pPr>
        <w:spacing w:after="0" w:line="2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125,068,601 shares of common stock outstanding as of December 31, 2023 and excludes, in each case as of December 31, 2023:</w:t>
      </w:r>
    </w:p>
    <w:p>
      <w:pPr>
        <w:spacing w:after="0" w:line="108" w:lineRule="exact"/>
        <w:rPr>
          <w:sz w:val="20"/>
          <w:szCs w:val="20"/>
          <w:color w:val="auto"/>
        </w:rPr>
      </w:pPr>
    </w:p>
    <w:p>
      <w:pPr>
        <w:ind w:left="660" w:right="560" w:hanging="328"/>
        <w:spacing w:after="0" w:line="282"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5,678,766 shares of our common stock issuable upon the exercise of stock options to purchase shares of common stock under the Nautilus Subsidiary, Inc. 2017 Equity Incentive Plan (the “2017 Plan”), with a weighted average exercise price of $3.56 per share;</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8,997,569 shares of our common stock issuable upon the exercise of stock options to purchase shares of common stock under our 2021 Equity Incentive Plan (the “2021 Plan”), with a weighted average exercise price of $3.67 per share;</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97,800 shares of common stock issuable upon the exercise of stock options granted subsequent to December 31, 2023, with a weighted average exercise price of $2.82 per share;</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20,279,560 shares of common stock reserved for future issuance under our 2021 Plan, and any future automatic increase in shares reserved for issuance under such plan;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3,505,138 shares of common stock reserved for future issuance under our 2021 Employee Stock Purchase Plan (the “2021 ESPP”), and any future automatic increase in shares reserved for issuance under such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after December 31, 2023.</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share numbers set forth above also exclude (i) the automatic increases in the shares reserved under the 2021 Plan and the 2021 ESPP that were effective January 1, 2024, and (ii) 1,890,000 shares issuable upon the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60"/>
          </w:cols>
          <w:pgMar w:left="320" w:top="1440" w:right="419" w:bottom="1440" w:gutter="0" w:footer="0" w:header="0"/>
        </w:sectPr>
      </w:pPr>
    </w:p>
    <w:bookmarkStart w:id="39" w:name="page40"/>
    <w:bookmarkEnd w:id="3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 options under our 2021 Plan that will be effective on March 4, 2024, with a per share exercise price equal to the last reported sale price of our common stock on Nasdaq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620"/>
          </w:cols>
          <w:pgMar w:left="320" w:top="1440" w:right="959" w:bottom="1440" w:gutter="0" w:footer="0" w:header="0"/>
        </w:sectPr>
      </w:pPr>
    </w:p>
    <w:bookmarkStart w:id="40" w:name="page41"/>
    <w:bookmarkEnd w:id="4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 You should carefully consider the specific risks discussed below, together with all the other information contained in the prospectus supplement, accompanying prospectus or incorporated by reference into this prospectus supplement. You should also consider the risks, uncertainties and assumptions discussed under the caption “Risk Factors” included in our Annual Report on Form 10-K for the year ended December 31, 2023, and in subsequent filings, which are incorporated by reference into this prospectus supplement. These risk factors may be amended, supplemented or superseded from time to time by other reports we file with the SEC in the future.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the Company.</w:t>
      </w:r>
    </w:p>
    <w:p>
      <w:pPr>
        <w:spacing w:after="0" w:line="12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in this offering may experience immediate and substantial dilution in the net tangible book value per share of the common stock they purchase.</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The price per share of our common stock being offered may be higher than the net tangible book value per share of our common stock, and as such, you may suffer substantial dilution in the net tangible book value of the common stock you purchase in this offering. In addition, we have a number of options outstanding. If the holders of these options exercise such options, you may incur further dilution.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significant dilution as a result of future equity offerings and exercise of outstanding options.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we have a number of securities outstanding allowing the purchase of our common stock. As of December 31, 2023, 20,279,560 shares of our common stock were reserved for future issuance under our 2021 Plan and 3,505,138 shares of our common stock were reserved for future issuance under our 2021 ESPP. As of December 31, 2023, there were also options to purchase 14,676,335 shares of our common stock outstanding. The exercise of outstanding options having an exercise price per share that is less than the offering price per share in this offering will result in dilution to investors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aggregate proceeds resulting from sales made under the sales agreement.</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through or to TD Cowen after delivering a placement notice will fluctuate based on a number of factors, including the market price of our common stock during the sales period, any limits we may set with TD Cowen in any applicable placement notice and the demand for our common stock. Because the price per share of each share sold pursuant to the sales agreement will fluctuate over time, it is not currently possible to predict the actual number of shares that will be sold or the aggregate proceeds to be raised in connection with sales under the sales agreement.</w:t>
      </w:r>
    </w:p>
    <w:p>
      <w:pPr>
        <w:spacing w:after="0" w:line="12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 and investors who buy shares at different times will likely pay different prices.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shares of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This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Any statements contained herein that are not statements of historical facts may be deemed to be forward-looking statements.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about the following:</w:t>
      </w:r>
    </w:p>
    <w:p>
      <w:pPr>
        <w:spacing w:after="0" w:line="122" w:lineRule="exact"/>
        <w:rPr>
          <w:sz w:val="20"/>
          <w:szCs w:val="20"/>
          <w:color w:val="auto"/>
        </w:rPr>
      </w:pPr>
    </w:p>
    <w:p>
      <w:pPr>
        <w:ind w:left="660" w:right="4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 and any commercialization timeline;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platform;</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including the COVID-19 pandemic, the conflicts in Eastern Europe and the Middle East, increasing interest rates, instability in the global financial markets and general economic downturns, on the foregoing;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actual results, levels of activity, performance or achievements to be materially different from those anticipated by the forward-looking statements. We discuss many of these risks in greater detail in the section entitled “Risk Factors” and elsewhere in this prospectus supplement. You should read these factors and the other cautionary statements made in this prospectus supplement as being applicable to all related forward-looking statements wherever they appear herein or therein.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prospectus supplement, whether as a result of new information, future events or otherwise, except as required by law.</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80"/>
          </w:cols>
          <w:pgMar w:left="320" w:top="1440" w:right="399" w:bottom="1440" w:gutter="0" w:footer="0" w:header="0"/>
        </w:sectPr>
      </w:pPr>
    </w:p>
    <w:bookmarkStart w:id="44" w:name="page45"/>
    <w:bookmarkEnd w:id="4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an aggregate sales proceeds of up to $125,000,000 from time to time under this prospectus supplement. The amount of proceeds from this offering will depend upon the number of shares of our common stock sold and the market price at which they are sold. There can be no assurance that we will be able to sell any shares under, or fully utilize, the sales agreement with TD Cowen as a source of financing.</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supplement, we cannot predict with certainty all of the particular uses for the net proceeds to be received. We currently intend to use the net proceeds from this offering, if any, for general corporate purposes and working capital, including for continued product development of our proteomics platform, other research and development activities, and commercialization of our proteomics platform. The amounts and timing of our actual expenditures and the extent of our research and development activities may vary significantly depending on numerous factors, including the actual net proceeds from this offering (which will depend on the market price of our common stock during the sales period, any limits we may set with TD Cowen in any applicable placement notice and the demand for our common stock), the progress of our development efforts, the timing and costs associated with the manufacture and supply of any of our product candidates and any unforeseen cash needs, including the factors described under “Risk Factors” in this prospectus supplement and in the documents incorporated by reference herein. As a result, our management will have broad discretion over the use of the net proceeds from this offering.</w:t>
      </w:r>
    </w:p>
    <w:p>
      <w:pPr>
        <w:spacing w:after="0" w:line="1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Pending the uses described above, we intend to invest the net proceeds from this offering in interest-bearing, investment-grade securities, certificates of deposit or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shares of our common stock. We anticipate that we will retain all of our future earnings to advance the development of expansion of our business, and do not anticipate paying any cash dividends on shares of our common stock in the foreseeable future. Any future determination to declare cash dividends on shares of our common stock will be made at the discretion of our board of directors, subject to applicable law and contractual restrictions and will depend on its financial condition, results of operations,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60"/>
          </w:cols>
          <w:pgMar w:left="320" w:top="1440" w:right="519" w:bottom="1440" w:gutter="0" w:footer="0" w:header="0"/>
        </w:sectPr>
      </w:pPr>
    </w:p>
    <w:bookmarkStart w:id="46" w:name="page47"/>
    <w:bookmarkEnd w:id="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December 31, 2023, was approximately $265.4 million, or $2.12 per share. Net tangible book value per share is determined by dividing our total tangible assets, less total liabilities, by the number of shares of our common stock outstanding as of December 31, 2023.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$125.0 million in this offering at an assumed offering price of $2.94, the last reported sale price of our common stock on Nasdaq on February 27, 2024, and after deducting commissions and estimated aggregate offering expenses payable by us, our as adjusted net tangible book value as of December 31, 2023, would have been approximately $385.9 million, or $2.30 per share. This represents an immediate increase in net tangible book value of $0.18 per share to existing stockholders and immediate dilution in net tangible book value of $0.64 per share to new investors purchasing our common stock in this offering. The following table illustrates this dilution on a per share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6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2023</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2.12</w:t>
            </w:r>
          </w:p>
        </w:tc>
        <w:tc>
          <w:tcPr>
            <w:tcW w:w="920" w:type="dxa"/>
            <w:vAlign w:val="bottom"/>
          </w:tcPr>
          <w:p>
            <w:pPr>
              <w:spacing w:after="0"/>
              <w:rPr>
                <w:sz w:val="19"/>
                <w:szCs w:val="19"/>
                <w:color w:val="auto"/>
              </w:rPr>
            </w:pPr>
          </w:p>
        </w:tc>
      </w:tr>
      <w:tr>
        <w:trPr>
          <w:trHeight w:val="176"/>
        </w:trPr>
        <w:tc>
          <w:tcPr>
            <w:tcW w:w="8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 shares of common stock</w:t>
            </w:r>
          </w:p>
        </w:tc>
        <w:tc>
          <w:tcPr>
            <w:tcW w:w="6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this offering</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0.18</w:t>
            </w:r>
          </w:p>
        </w:tc>
        <w:tc>
          <w:tcPr>
            <w:tcW w:w="920" w:type="dxa"/>
            <w:vAlign w:val="bottom"/>
            <w:shd w:val="clear" w:color="auto" w:fill="CCEEFF"/>
          </w:tcPr>
          <w:p>
            <w:pPr>
              <w:spacing w:after="0"/>
              <w:rPr>
                <w:sz w:val="21"/>
                <w:szCs w:val="2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as of December 31, 2023, after giving effect to this offering</w:t>
            </w:r>
          </w:p>
        </w:tc>
        <w:tc>
          <w:tcPr>
            <w:tcW w:w="660" w:type="dxa"/>
            <w:vAlign w:val="bottom"/>
          </w:tcPr>
          <w:p>
            <w:pPr>
              <w:spacing w:after="0"/>
              <w:rPr>
                <w:sz w:val="19"/>
                <w:szCs w:val="19"/>
                <w:color w:val="auto"/>
              </w:rPr>
            </w:pP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6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bl>
    <w:p>
      <w:pPr>
        <w:spacing w:after="0" w:line="2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dilution per share in the table above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An increase of $1.00 per share in the price at which the shares are sold from the assumed offering price of $2.94 per share shown in the table above, assuming all of our common stock in the aggregate amount of $125.0 million is sold at that price, would cause our as adjusted net tangible book value per share after the offering to be $2.46 per share and would increase the dilution in net tangible book value per share to new investors to $1.48 per share, after deducting commissions and estimated aggregate offering expenses payable by us. A decrease of $1.00 per share in the price at which the shares are sold from the assumed offering price of $2.94 per share shown in the table above, assuming all of our common stock in the aggregate amount of $125.0 million is sold at that price, would cause our as adjusted net tangible book value per share after the offering to be $2.04 per share and would decrease the dilution in net tangible book value per share to new investors to $0.10 per share, after deducting commissions and estimated aggregate offering expenses payable by us.</w:t>
      </w:r>
    </w:p>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the extent that outstanding options are exercised, investors purchasing our common stock in this offering will experience further dilution. In addition, to the extent that we raise additional capital through the sale of equity or convertible debt securities, the issuance of these securities could result in further dilution to our stockholders.</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above table and discussion of shares of our common stock that will be outstanding after this offering is based on 125,068,601 shares of our common stock outstanding as of December 31, 2023, and excludes, in each case as of December 31, 2023:</w:t>
      </w:r>
    </w:p>
    <w:p>
      <w:pPr>
        <w:spacing w:after="0" w:line="108" w:lineRule="exact"/>
        <w:rPr>
          <w:sz w:val="20"/>
          <w:szCs w:val="20"/>
          <w:color w:val="auto"/>
        </w:rPr>
      </w:pPr>
    </w:p>
    <w:p>
      <w:pPr>
        <w:ind w:left="660" w:right="120" w:hanging="328"/>
        <w:spacing w:after="0" w:line="282" w:lineRule="auto"/>
        <w:tabs>
          <w:tab w:leader="none" w:pos="6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5,678,766 shares of our common stock issuable upon the exercise of stock options to purchase shares of common stock under the 2017 Plan, with a weighted average exercise price of $3.56 per share;</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8,997,569 shares of our common stock issuable upon the exercise of stock options to purchase shares of common stock under our 2021 Plan, with a weighted average exercise price of $3.67 per share;</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97,800 shares of common stock issuable upon the exercise of stock options granted subsequent to December 31, 2023, with a weighted average exercise price of $2.82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ind w:left="660" w:right="160" w:hanging="328"/>
        <w:spacing w:after="0" w:line="282" w:lineRule="auto"/>
        <w:tabs>
          <w:tab w:leader="none" w:pos="6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20,279,560 shares of common stock reserved for future issuance under our 2021 Plan, and any future automatic increase in shares reserved for issuance under such plan;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3,505,138 shares of common stock reserved for future issuance under our 2021 ESPP, and any future automatic increase in shares reserved for issuance under such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after December 31, 2023.</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 numbers set forth above also exclude (i) the automatic increases in the shares reserved under the 2021 Plan and the 2021 ESPP that were effective January 1, 2024, and (ii) 1,890,000 shares issuable upon the exercise of stock options granted under our 2021 Plan that will become effective on March 4, 2024, with a per share exercise price equal to the last reported sale price of our common stock on Nasdaq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60"/>
          </w:cols>
          <w:pgMar w:left="320" w:top="1440" w:right="519" w:bottom="1440" w:gutter="0" w:footer="0" w:header="0"/>
        </w:sectPr>
      </w:pPr>
    </w:p>
    <w:bookmarkStart w:id="48" w:name="page49"/>
    <w:bookmarkEnd w:id="4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up to $125,000,000 of our common stock through or to TD Cowen as our sales agent or principal. Sales of our common stock, if any, will be made at market prices by any method that is deemed to be an “at the market offering” as defined in Rule 415 under the Securities Act.</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3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$0.7 million.</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the net proceeds to us and the compensation paid by us to TD Cowen in connection with the sales of common stock.</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Until May 28, 2024, settlement for sales of common stock will occur, unless the parties agree otherwise, on the second business day that is also a trading day following the date on which any sales were made in return for payment of the net proceeds to us. After May 28, 2024, 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trades under the symbol “NAUT.” The transfer agent of our common stock is Continental Stock Transfer &amp; Trust Company.</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00"/>
          </w:cols>
          <w:pgMar w:left="320" w:top="1440" w:right="379" w:bottom="1440" w:gutter="0" w:footer="0" w:header="0"/>
        </w:sectPr>
      </w:pPr>
    </w:p>
    <w:bookmarkStart w:id="49" w:name="page50"/>
    <w:bookmarkEnd w:id="49"/>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the shares of common stock offered hereby will be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0.2% of the outstanding shares of our common stock. TD Cowen is being represented in connection with this offering by Goodwin Procter LLP, New York, New York.</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80"/>
          </w:cols>
          <w:pgMar w:left="320" w:top="1440" w:right="399" w:bottom="1440" w:gutter="0" w:footer="0" w:header="0"/>
        </w:sectPr>
      </w:pPr>
    </w:p>
    <w:bookmarkStart w:id="50" w:name="page51"/>
    <w:bookmarkEnd w:id="5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https://www.nautilus.bio/. Information accessible on or through our website is not incorporated by reference into this prospectus supplement.</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supplement forms a part or under cover of a Current Report on Form 8-K and incorporated in this prospectus supplement by reference. Statements in this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14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28, 2024;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20">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with the SEC on August 6, 2020, including any amendment or report filed for the purpose of updating such description.</w:t>
      </w:r>
    </w:p>
    <w:p>
      <w:pPr>
        <w:spacing w:after="0" w:line="10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and telephone number:</w:t>
      </w:r>
    </w:p>
    <w:p>
      <w:pPr>
        <w:spacing w:after="0" w:line="17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2701 Eastlake Avenue East</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Seattle, Washington 98102</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333-2001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S-17</w:t>
      </w:r>
    </w:p>
    <w:p>
      <w:pPr>
        <w:sectPr>
          <w:pgSz w:w="11900" w:h="16838" w:orient="portrait"/>
          <w:cols w:equalWidth="0" w:num="1">
            <w:col w:w="11200"/>
          </w:cols>
          <w:pgMar w:left="320" w:top="1440" w:right="3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2917190</wp:posOffset>
            </wp:positionH>
            <wp:positionV relativeFrom="page">
              <wp:posOffset>1657985</wp:posOffset>
            </wp:positionV>
            <wp:extent cx="171450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Up to $125,000,000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701675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278130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395605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1005840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842645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Other Expenses of Issuance and Distribution</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fees and expenses to be paid by us in connection with the issuance and distribution of the securities being registered, other than discounts and commissions to be paid to agents or underwriters. All amounts shown are estimates except for the Securities and Exchange Commission, or the SEC, registration fee.</w:t>
      </w:r>
    </w:p>
    <w:p>
      <w:pPr>
        <w:spacing w:after="0" w:line="156"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Trustee’s fees and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are calculated based on the securities offered and the number of issuances and accordingly cannot be estimated at this time.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240" w:hanging="1231"/>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44,280</w:t>
      </w:r>
    </w:p>
    <w:p>
      <w:pPr>
        <w:spacing w:after="0" w:line="2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45"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45"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45"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45"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45"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45"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1487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8860" w:space="580"/>
            <w:col w:w="1780"/>
          </w:cols>
          <w:pgMar w:left="320" w:top="1440" w:right="359" w:bottom="1440" w:gutter="0" w:footer="0" w:header="0"/>
          <w:type w:val="continuous"/>
        </w:sect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0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2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us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20"/>
          </w:cols>
          <w:pgMar w:left="320" w:top="1440" w:right="359" w:bottom="1440" w:gutter="0" w:footer="0" w:header="0"/>
          <w:type w:val="continuous"/>
        </w:sectPr>
      </w:pPr>
    </w:p>
    <w:bookmarkStart w:id="53" w:name="page54"/>
    <w:bookmarkEnd w:id="53"/>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underwriting agreement to be filed as Exhibit 1.1 to this registration statement may provide for indemnification by the underwriters of us and our directors and officers for certain liabilities arising under the Securities Act of 1933, as amended, or the Securities Act, the Securities Exchange Act of 1934, as amended, or the Exchange 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4620" w:type="dxa"/>
            <w:vAlign w:val="bottom"/>
            <w:gridSpan w:val="25"/>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gridSpan w:val="1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18"/>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Sales Agreement, dated February 28, 2024 by and between</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the Registrant and Cowen and Company, LLC</w:t>
            </w:r>
          </w:p>
        </w:tc>
        <w:tc>
          <w:tcPr>
            <w:tcW w:w="920" w:type="dxa"/>
            <w:vAlign w:val="bottom"/>
            <w:tcBorders>
              <w:top w:val="single" w:sz="8" w:color="0000FF"/>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Certificate of Incorporation</w:t>
              </w:r>
            </w:hyperlink>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001-39434</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Amended and Restated Bylaws</w:t>
              </w:r>
            </w:hyperlink>
          </w:p>
        </w:tc>
        <w:tc>
          <w:tcPr>
            <w:tcW w:w="2140" w:type="dxa"/>
            <w:vAlign w:val="bottom"/>
            <w:gridSpan w:val="14"/>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001-39434</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8/2/2023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Description of Securities</w:t>
              </w:r>
            </w:hyperlink>
          </w:p>
        </w:tc>
        <w:tc>
          <w:tcPr>
            <w:tcW w:w="2600" w:type="dxa"/>
            <w:vAlign w:val="bottom"/>
            <w:gridSpan w:val="16"/>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001-39434</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2/23/2023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2"/>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Specimen Common Stock Certificate</w:t>
              </w:r>
            </w:hyperlink>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001-39434</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1720" w:type="dxa"/>
            <w:vAlign w:val="bottom"/>
            <w:gridSpan w:val="12"/>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Form of Indenture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Deposit Agreement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Subscription Agreement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22"/>
          </w:tcPr>
          <w:p>
            <w:pPr>
              <w:spacing w:after="0" w:line="194"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Form of Amended and Restated Registration Rights and</w:t>
              </w:r>
            </w:hyperlink>
          </w:p>
        </w:tc>
        <w:tc>
          <w:tcPr>
            <w:tcW w:w="11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001-39434</w:t>
            </w:r>
          </w:p>
        </w:tc>
        <w:tc>
          <w:tcPr>
            <w:tcW w:w="10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2/8/2021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43">
              <w:r>
                <w:rPr>
                  <w:rFonts w:ascii="Times New Roman" w:cs="Times New Roman" w:eastAsia="Times New Roman" w:hAnsi="Times New Roman"/>
                  <w:sz w:val="18"/>
                  <w:szCs w:val="18"/>
                  <w:color w:val="0000FF"/>
                  <w:w w:val="98"/>
                </w:rPr>
                <w:t>Lock-Up Agreement</w:t>
              </w:r>
            </w:hyperlink>
          </w:p>
        </w:tc>
        <w:tc>
          <w:tcPr>
            <w:tcW w:w="2540" w:type="dxa"/>
            <w:vAlign w:val="bottom"/>
            <w:tcBorders>
              <w:top w:val="single" w:sz="8" w:color="0000FF"/>
            </w:tcBorders>
            <w:gridSpan w:val="1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Amendment No. 1 to Amended and Restated Registration</w:t>
              </w:r>
            </w:hyperlink>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001-39434</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2/28/2024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Rights and Lock-Up Agreement</w:t>
              </w:r>
            </w:hyperlink>
          </w:p>
        </w:tc>
        <w:tc>
          <w:tcPr>
            <w:tcW w:w="1860" w:type="dxa"/>
            <w:vAlign w:val="bottom"/>
            <w:tcBorders>
              <w:top w:val="single" w:sz="8" w:color="0000FF"/>
            </w:tcBorders>
            <w:gridSpan w:val="10"/>
          </w:tcPr>
          <w:p>
            <w:pPr>
              <w:spacing w:after="0"/>
              <w:rPr>
                <w:sz w:val="13"/>
                <w:szCs w:val="13"/>
                <w:color w:val="auto"/>
              </w:rPr>
            </w:pPr>
          </w:p>
        </w:tc>
        <w:tc>
          <w:tcPr>
            <w:tcW w:w="220" w:type="dxa"/>
            <w:vAlign w:val="bottom"/>
            <w:gridSpan w:val="3"/>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Professional Corporation</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Firm</w:t>
            </w:r>
          </w:p>
        </w:tc>
        <w:tc>
          <w:tcPr>
            <w:tcW w:w="3560" w:type="dxa"/>
            <w:vAlign w:val="bottom"/>
            <w:tcBorders>
              <w:top w:val="single" w:sz="8" w:color="0000FF"/>
            </w:tcBorders>
            <w:gridSpan w:val="14"/>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Consent of Wilson Sonsini Goodrich &amp; Rosati,</w:t>
            </w:r>
          </w:p>
        </w:tc>
        <w:tc>
          <w:tcPr>
            <w:tcW w:w="980" w:type="dxa"/>
            <w:vAlign w:val="bottom"/>
            <w:gridSpan w:val="8"/>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Professional Corporation (included in the opinion filed as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Exhibit 5.1 to this Registration Statement)</w:t>
            </w:r>
          </w:p>
        </w:tc>
        <w:tc>
          <w:tcPr>
            <w:tcW w:w="240" w:type="dxa"/>
            <w:vAlign w:val="bottom"/>
            <w:gridSpan w:val="4"/>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to this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Registration Statement)</w:t>
            </w:r>
          </w:p>
        </w:tc>
        <w:tc>
          <w:tcPr>
            <w:tcW w:w="260" w:type="dxa"/>
            <w:vAlign w:val="bottom"/>
            <w:gridSpan w:val="5"/>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700" w:type="dxa"/>
            <w:vAlign w:val="bottom"/>
            <w:gridSpan w:val="1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under the Trust Indenture Act of 1939</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22"/>
          </w:tcPr>
          <w:p>
            <w:pPr>
              <w:spacing w:after="0" w:line="198" w:lineRule="exact"/>
              <w:rPr>
                <w:sz w:val="20"/>
                <w:szCs w:val="20"/>
                <w:color w:val="auto"/>
              </w:rPr>
            </w:pPr>
            <w:r>
              <w:rPr>
                <w:rFonts w:ascii="Times New Roman" w:cs="Times New Roman" w:eastAsia="Times New Roman" w:hAnsi="Times New Roman"/>
                <w:sz w:val="18"/>
                <w:szCs w:val="18"/>
                <w:color w:val="0000FF"/>
              </w:rPr>
              <w:t>Filing Fee Table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right="4620" w:firstLine="8"/>
        <w:spacing w:after="0" w:line="278" w:lineRule="auto"/>
        <w:tabs>
          <w:tab w:leader="none" w:pos="31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applicable, by amendment or as an exhibit to a Form 8-K and incorporated by reference herein. ** To be filed pursuant to Section 305(b)(2) of the Trust Indenture Act of 1939, as amended.</w:t>
      </w:r>
    </w:p>
    <w:p>
      <w:pPr>
        <w:spacing w:after="0" w:line="1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7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left="1300" w:right="20" w:hanging="320"/>
        <w:spacing w:after="0" w:line="255" w:lineRule="auto"/>
        <w:tabs>
          <w:tab w:leader="none" w:pos="12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34"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28" w:lineRule="exact"/>
        <w:rPr>
          <w:sz w:val="20"/>
          <w:szCs w:val="20"/>
          <w:color w:val="auto"/>
        </w:rPr>
      </w:pPr>
    </w:p>
    <w:p>
      <w:pPr>
        <w:ind w:left="980" w:right="80" w:hanging="324"/>
        <w:spacing w:after="0" w:line="266" w:lineRule="auto"/>
        <w:tabs>
          <w:tab w:leader="none" w:pos="9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21"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71"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w:t>
      </w:r>
    </w:p>
    <w:p>
      <w:pPr>
        <w:spacing w:after="0" w:line="27" w:lineRule="exact"/>
        <w:rPr>
          <w:rFonts w:ascii="Times New Roman" w:cs="Times New Roman" w:eastAsia="Times New Roman" w:hAnsi="Times New Roman"/>
          <w:sz w:val="18"/>
          <w:szCs w:val="18"/>
          <w:color w:val="auto"/>
        </w:rPr>
      </w:pPr>
    </w:p>
    <w:p>
      <w:pPr>
        <w:ind w:left="1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8" w:lineRule="exact"/>
        <w:rPr>
          <w:rFonts w:ascii="Times New Roman" w:cs="Times New Roman" w:eastAsia="Times New Roman" w:hAnsi="Times New Roman"/>
          <w:sz w:val="18"/>
          <w:szCs w:val="18"/>
          <w:color w:val="auto"/>
        </w:rPr>
      </w:pPr>
    </w:p>
    <w:p>
      <w:pPr>
        <w:ind w:left="980" w:right="240" w:hanging="324"/>
        <w:spacing w:after="0" w:line="289" w:lineRule="auto"/>
        <w:tabs>
          <w:tab w:leader="none" w:pos="9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40" w:lineRule="exact"/>
        <w:rPr>
          <w:sz w:val="20"/>
          <w:szCs w:val="20"/>
          <w:color w:val="auto"/>
        </w:rPr>
      </w:pPr>
    </w:p>
    <w:p>
      <w:pPr>
        <w:ind w:left="648" w:right="200"/>
        <w:spacing w:after="0" w:line="282" w:lineRule="auto"/>
        <w:rPr>
          <w:sz w:val="20"/>
          <w:szCs w:val="20"/>
          <w:color w:val="auto"/>
        </w:rPr>
      </w:pPr>
      <w:r>
        <w:rPr>
          <w:rFonts w:ascii="Times New Roman" w:cs="Times New Roman" w:eastAsia="Times New Roman" w:hAnsi="Times New Roman"/>
          <w:sz w:val="18"/>
          <w:szCs w:val="18"/>
          <w:color w:val="auto"/>
        </w:rPr>
        <w:t>to such purchaser by means of any of the following communications, the undersigned registrant will be a seller to the purchaser and will be considered to offer or sell such securities to such purchaser:</w:t>
      </w:r>
    </w:p>
    <w:p>
      <w:pPr>
        <w:spacing w:after="0" w:line="108" w:lineRule="exact"/>
        <w:rPr>
          <w:sz w:val="20"/>
          <w:szCs w:val="20"/>
          <w:color w:val="auto"/>
        </w:rPr>
      </w:pPr>
    </w:p>
    <w:p>
      <w:pPr>
        <w:ind w:left="968" w:hanging="320"/>
        <w:spacing w:after="0"/>
        <w:tabs>
          <w:tab w:leader="none" w:pos="96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968" w:right="300" w:hanging="320"/>
        <w:spacing w:after="0" w:line="282" w:lineRule="auto"/>
        <w:tabs>
          <w:tab w:leader="none" w:pos="95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968" w:right="140" w:hanging="320"/>
        <w:spacing w:after="0" w:line="282" w:lineRule="auto"/>
        <w:tabs>
          <w:tab w:leader="none" w:pos="96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648" w:hanging="324"/>
        <w:spacing w:after="0" w:line="261" w:lineRule="auto"/>
        <w:tabs>
          <w:tab w:leader="none" w:pos="64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5" w:lineRule="exact"/>
        <w:rPr>
          <w:rFonts w:ascii="Times New Roman" w:cs="Times New Roman" w:eastAsia="Times New Roman" w:hAnsi="Times New Roman"/>
          <w:sz w:val="18"/>
          <w:szCs w:val="18"/>
          <w:color w:val="auto"/>
        </w:rPr>
      </w:pPr>
    </w:p>
    <w:p>
      <w:pPr>
        <w:ind w:left="648" w:right="240" w:hanging="324"/>
        <w:spacing w:after="0" w:line="266" w:lineRule="auto"/>
        <w:tabs>
          <w:tab w:leader="none" w:pos="64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as amended, or the Trust Indenture Act, in accordance with the rules and regulations prescribed by the Commission under Section 305(b)(2) of the Trust Indenture Act.</w:t>
      </w:r>
    </w:p>
    <w:p>
      <w:pPr>
        <w:spacing w:after="0" w:line="121" w:lineRule="exact"/>
        <w:rPr>
          <w:rFonts w:ascii="Times New Roman" w:cs="Times New Roman" w:eastAsia="Times New Roman" w:hAnsi="Times New Roman"/>
          <w:sz w:val="18"/>
          <w:szCs w:val="18"/>
          <w:color w:val="auto"/>
        </w:rPr>
      </w:pPr>
    </w:p>
    <w:p>
      <w:pPr>
        <w:ind w:left="328" w:right="40" w:hanging="328"/>
        <w:spacing w:after="0" w:line="254"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868"/>
          </w:cols>
          <w:pgMar w:left="652" w:top="1440" w:right="379" w:bottom="1440" w:gutter="0" w:footer="0" w:header="0"/>
        </w:sectPr>
      </w:pPr>
    </w:p>
    <w:bookmarkStart w:id="57" w:name="page58"/>
    <w:bookmarkEnd w:id="5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Seattle, State of Washington, on February 28, 2024.</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81" w:lineRule="exact"/>
        <w:rPr>
          <w:sz w:val="20"/>
          <w:szCs w:val="20"/>
          <w:color w:val="auto"/>
        </w:rPr>
      </w:pPr>
    </w:p>
    <w:p>
      <w:pPr>
        <w:ind w:left="556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18415</wp:posOffset>
            </wp:positionV>
            <wp:extent cx="32404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Sujal Patel</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Sujal Patel and Anna Mowry,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0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Sujal Patel</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Anna Mowry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Anna Mowry</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Matthew L.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Matthew L. Posard</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Michael Altman</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Melissa Epperly</w:t>
      </w:r>
    </w:p>
    <w:p>
      <w:pPr>
        <w:spacing w:after="0" w:line="1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Parag Mallick</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/s/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Matthew McIlwain</w:t>
      </w:r>
    </w:p>
    <w:p>
      <w:pPr>
        <w:spacing w:after="0" w:line="10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Farzad Nazem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Farzad Nazem</w:t>
      </w:r>
    </w:p>
    <w:p>
      <w:pPr>
        <w:spacing w:after="0" w:line="1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 Karen Akinsanya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Karen Akinsanya</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Vijay Pande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Vijay Pande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96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9"/>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33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38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56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56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56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56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56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56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56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bl>
    <w:p>
      <w:pPr>
        <w:spacing w:after="0" w:line="456" w:lineRule="exact"/>
        <w:rPr>
          <w:sz w:val="20"/>
          <w:szCs w:val="20"/>
          <w:color w:val="auto"/>
        </w:rPr>
      </w:pPr>
    </w:p>
    <w:p>
      <w:pPr>
        <w:sectPr>
          <w:pgSz w:w="11900" w:h="16838" w:orient="portrait"/>
          <w:cols w:equalWidth="0" w:num="2">
            <w:col w:w="3320" w:space="720"/>
            <w:col w:w="72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240"/>
          </w:cols>
          <w:pgMar w:left="320" w:top="1440" w:right="339" w:bottom="1440" w:gutter="0" w:footer="0" w:header="0"/>
          <w:type w:val="continuous"/>
        </w:sectPr>
      </w:pPr>
    </w:p>
    <w:bookmarkStart w:id="59" w:name="page60"/>
    <w:bookmarkEnd w:id="59"/>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u w:val="single" w:color="auto"/>
          <w:color w:val="auto"/>
        </w:rPr>
        <w:t>Table 1: Newly Registered Securities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600" w:type="dxa"/>
            <w:vAlign w:val="bottom"/>
            <w:tcBorders>
              <w:top w:val="single" w:sz="8" w:color="auto"/>
              <w:left w:val="single" w:sz="8" w:color="auto"/>
              <w:right w:val="single" w:sz="8" w:color="auto"/>
            </w:tcBorders>
          </w:tcPr>
          <w:p>
            <w:pPr>
              <w:spacing w:after="0"/>
              <w:rPr>
                <w:sz w:val="13"/>
                <w:szCs w:val="13"/>
                <w:color w:val="auto"/>
              </w:rPr>
            </w:pPr>
          </w:p>
        </w:tc>
        <w:tc>
          <w:tcPr>
            <w:tcW w:w="1300" w:type="dxa"/>
            <w:vAlign w:val="bottom"/>
            <w:tcBorders>
              <w:top w:val="single" w:sz="8" w:color="auto"/>
              <w:right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4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100" w:type="dxa"/>
            <w:vAlign w:val="bottom"/>
            <w:tcBorders>
              <w:top w:val="single" w:sz="8" w:color="auto"/>
              <w:right w:val="single" w:sz="8" w:color="auto"/>
            </w:tcBorders>
          </w:tcPr>
          <w:p>
            <w:pPr>
              <w:spacing w:after="0"/>
              <w:rPr>
                <w:sz w:val="13"/>
                <w:szCs w:val="13"/>
                <w:color w:val="auto"/>
              </w:rPr>
            </w:pPr>
          </w:p>
        </w:tc>
        <w:tc>
          <w:tcPr>
            <w:tcW w:w="110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tcBorders>
              <w:top w:val="single" w:sz="8" w:color="auto"/>
              <w:right w:val="single" w:sz="8" w:color="auto"/>
            </w:tcBorders>
          </w:tcPr>
          <w:p>
            <w:pPr>
              <w:spacing w:after="0"/>
              <w:rPr>
                <w:sz w:val="13"/>
                <w:szCs w:val="13"/>
                <w:color w:val="auto"/>
              </w:rPr>
            </w:pPr>
          </w:p>
        </w:tc>
        <w:tc>
          <w:tcPr>
            <w:tcW w:w="11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800" w:type="dxa"/>
            <w:vAlign w:val="bottom"/>
            <w:vMerge w:val="restart"/>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11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right w:val="single" w:sz="8" w:color="auto"/>
            </w:tcBorders>
          </w:tcPr>
          <w:p>
            <w:pPr>
              <w:spacing w:after="0"/>
              <w:rPr>
                <w:sz w:val="5"/>
                <w:szCs w:val="5"/>
                <w:color w:val="auto"/>
              </w:rPr>
            </w:pPr>
          </w:p>
        </w:tc>
        <w:tc>
          <w:tcPr>
            <w:tcW w:w="1300" w:type="dxa"/>
            <w:vAlign w:val="bottom"/>
            <w:tcBorders>
              <w:right w:val="single" w:sz="8" w:color="auto"/>
            </w:tcBorders>
            <w:vMerge w:val="restart"/>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80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40" w:type="dxa"/>
            <w:vAlign w:val="bottom"/>
            <w:tcBorders>
              <w:right w:val="single" w:sz="8" w:color="auto"/>
            </w:tcBorders>
            <w:vMerge w:val="restart"/>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800" w:type="dxa"/>
            <w:vAlign w:val="bottom"/>
            <w:vMerge w:val="restart"/>
          </w:tcPr>
          <w:p>
            <w:pPr>
              <w:jc w:val="center"/>
              <w:ind w:left="48"/>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p>
        </w:tc>
        <w:tc>
          <w:tcPr>
            <w:tcW w:w="1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79"/>
        </w:trPr>
        <w:tc>
          <w:tcPr>
            <w:tcW w:w="1600" w:type="dxa"/>
            <w:vAlign w:val="bottom"/>
            <w:tcBorders>
              <w:left w:val="single" w:sz="8" w:color="auto"/>
              <w:right w:val="single" w:sz="8" w:color="auto"/>
            </w:tcBorders>
          </w:tcPr>
          <w:p>
            <w:pPr>
              <w:spacing w:after="0"/>
              <w:rPr>
                <w:sz w:val="6"/>
                <w:szCs w:val="6"/>
                <w:color w:val="auto"/>
              </w:rPr>
            </w:pPr>
          </w:p>
        </w:tc>
        <w:tc>
          <w:tcPr>
            <w:tcW w:w="1300" w:type="dxa"/>
            <w:vAlign w:val="bottom"/>
            <w:tcBorders>
              <w:right w:val="single" w:sz="8" w:color="auto"/>
            </w:tcBorders>
            <w:vMerge w:val="restart"/>
          </w:tcPr>
          <w:p>
            <w:pPr>
              <w:ind w:left="480"/>
              <w:spacing w:after="0" w:line="160" w:lineRule="exact"/>
              <w:rPr>
                <w:sz w:val="20"/>
                <w:szCs w:val="20"/>
                <w:color w:val="auto"/>
              </w:rPr>
            </w:pPr>
            <w:r>
              <w:rPr>
                <w:rFonts w:ascii="Times New Roman" w:cs="Times New Roman" w:eastAsia="Times New Roman" w:hAnsi="Times New Roman"/>
                <w:sz w:val="14"/>
                <w:szCs w:val="14"/>
                <w:b w:val="1"/>
                <w:bCs w:val="1"/>
                <w:color w:val="auto"/>
              </w:rPr>
              <w:t>Type</w:t>
            </w:r>
          </w:p>
        </w:tc>
        <w:tc>
          <w:tcPr>
            <w:tcW w:w="180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11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40" w:type="dxa"/>
            <w:vAlign w:val="bottom"/>
            <w:tcBorders>
              <w:right w:val="single" w:sz="8" w:color="auto"/>
            </w:tcBorders>
            <w:vMerge w:val="restart"/>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8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Rule</w:t>
            </w:r>
          </w:p>
        </w:tc>
        <w:tc>
          <w:tcPr>
            <w:tcW w:w="11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1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80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8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1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w:t>
            </w:r>
          </w:p>
        </w:tc>
        <w:tc>
          <w:tcPr>
            <w:tcW w:w="1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ind w:right="368"/>
              <w:spacing w:after="0" w:line="139" w:lineRule="exact"/>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right w:val="single" w:sz="8" w:color="auto"/>
            </w:tcBorders>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auto"/>
            </w:tcBorders>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$0.0001 per share</w:t>
            </w:r>
          </w:p>
        </w:tc>
        <w:tc>
          <w:tcPr>
            <w:tcW w:w="1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00" w:type="dxa"/>
            <w:vAlign w:val="bottom"/>
            <w:tcBorders>
              <w:left w:val="single" w:sz="8" w:color="auto"/>
              <w:right w:val="single" w:sz="8" w:color="auto"/>
            </w:tcBorders>
          </w:tcPr>
          <w:p>
            <w:pPr>
              <w:ind w:left="40"/>
              <w:spacing w:after="0" w:line="138" w:lineRule="exact"/>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Equity</w:t>
            </w:r>
          </w:p>
        </w:tc>
        <w:tc>
          <w:tcPr>
            <w:tcW w:w="18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Preferred Stock, par value</w:t>
            </w: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8"/>
              <w:spacing w:after="0" w:line="138" w:lineRule="exact"/>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right w:val="single" w:sz="8" w:color="auto"/>
            </w:tcBorders>
          </w:tcPr>
          <w:p>
            <w:pPr>
              <w:jc w:val="right"/>
              <w:ind w:right="8"/>
              <w:spacing w:after="0" w:line="138"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auto"/>
            </w:tcBorders>
          </w:tcPr>
          <w:p>
            <w:pPr>
              <w:jc w:val="right"/>
              <w:ind w:right="8"/>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$0.0001 per share</w:t>
            </w:r>
          </w:p>
        </w:tc>
        <w:tc>
          <w:tcPr>
            <w:tcW w:w="1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Debt</w:t>
            </w: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Equity</w:t>
            </w: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Depositary Shares</w:t>
            </w:r>
          </w:p>
        </w:tc>
        <w:tc>
          <w:tcPr>
            <w:tcW w:w="1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Equity</w:t>
            </w: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Subscription Rights</w:t>
            </w:r>
          </w:p>
        </w:tc>
        <w:tc>
          <w:tcPr>
            <w:tcW w:w="1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Purchase Contracts</w:t>
            </w:r>
          </w:p>
        </w:tc>
        <w:tc>
          <w:tcPr>
            <w:tcW w:w="1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Fees to Be Paid</w:t>
            </w:r>
          </w:p>
        </w:tc>
        <w:tc>
          <w:tcPr>
            <w:tcW w:w="130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Unallocated</w:t>
            </w:r>
          </w:p>
        </w:tc>
        <w:tc>
          <w:tcPr>
            <w:tcW w:w="1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Unallocated (Universal) Shelf</w:t>
            </w:r>
          </w:p>
        </w:tc>
        <w:tc>
          <w:tcPr>
            <w:tcW w:w="1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ind w:right="368"/>
              <w:spacing w:after="0" w:line="139" w:lineRule="exact"/>
              <w:rPr>
                <w:sz w:val="20"/>
                <w:szCs w:val="20"/>
                <w:color w:val="auto"/>
              </w:rPr>
            </w:pPr>
            <w:r>
              <w:rPr>
                <w:rFonts w:ascii="Times New Roman" w:cs="Times New Roman" w:eastAsia="Times New Roman" w:hAnsi="Times New Roman"/>
                <w:sz w:val="14"/>
                <w:szCs w:val="14"/>
                <w:color w:val="auto"/>
              </w:rPr>
              <w:t>Rule 457(o)</w:t>
            </w:r>
          </w:p>
        </w:tc>
        <w:tc>
          <w:tcPr>
            <w:tcW w:w="11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w:t>
            </w:r>
          </w:p>
        </w:tc>
        <w:tc>
          <w:tcPr>
            <w:tcW w:w="1120" w:type="dxa"/>
            <w:vAlign w:val="bottom"/>
            <w:tcBorders>
              <w:right w:val="single" w:sz="8" w:color="auto"/>
            </w:tcBorders>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$300,000,000</w:t>
            </w:r>
          </w:p>
        </w:tc>
        <w:tc>
          <w:tcPr>
            <w:tcW w:w="840" w:type="dxa"/>
            <w:vAlign w:val="bottom"/>
            <w:tcBorders>
              <w:right w:val="single" w:sz="8" w:color="auto"/>
            </w:tcBorders>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$0.00014760</w:t>
            </w:r>
          </w:p>
        </w:tc>
        <w:tc>
          <w:tcPr>
            <w:tcW w:w="1100" w:type="dxa"/>
            <w:vAlign w:val="bottom"/>
            <w:tcBorders>
              <w:right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$44,280</w:t>
            </w: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(Universal) Shelf</w:t>
            </w:r>
          </w:p>
        </w:tc>
        <w:tc>
          <w:tcPr>
            <w:tcW w:w="180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0" w:type="dxa"/>
            <w:vAlign w:val="bottom"/>
            <w:tcBorders>
              <w:left w:val="single" w:sz="8" w:color="auto"/>
              <w:right w:val="single" w:sz="8" w:color="auto"/>
            </w:tcBorders>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$300,000,000</w:t>
            </w: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$44,280</w:t>
            </w:r>
          </w:p>
        </w:tc>
        <w:tc>
          <w:tcPr>
            <w:tcW w:w="0" w:type="dxa"/>
            <w:vAlign w:val="bottom"/>
          </w:tcPr>
          <w:p>
            <w:pPr>
              <w:spacing w:after="0"/>
              <w:rPr>
                <w:sz w:val="1"/>
                <w:szCs w:val="1"/>
                <w:color w:val="auto"/>
              </w:rPr>
            </w:pP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right w:val="single" w:sz="8" w:color="auto"/>
            </w:tcBorders>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right w:val="single" w:sz="8" w:color="auto"/>
            </w:tcBorders>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right w:val="single" w:sz="8" w:color="auto"/>
            </w:tcBorders>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$44,280</w:t>
            </w:r>
          </w:p>
        </w:tc>
        <w:tc>
          <w:tcPr>
            <w:tcW w:w="0" w:type="dxa"/>
            <w:vAlign w:val="bottom"/>
          </w:tcPr>
          <w:p>
            <w:pPr>
              <w:spacing w:after="0"/>
              <w:rPr>
                <w:sz w:val="1"/>
                <w:szCs w:val="1"/>
                <w:color w:val="auto"/>
              </w:rPr>
            </w:pP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340" w:right="220" w:hanging="332"/>
        <w:spacing w:after="0" w:line="281" w:lineRule="auto"/>
        <w:tabs>
          <w:tab w:leader="none" w:pos="33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w:t>
      </w:r>
    </w:p>
    <w:p>
      <w:pPr>
        <w:spacing w:after="0" w:line="123" w:lineRule="exact"/>
        <w:rPr>
          <w:rFonts w:ascii="Times New Roman" w:cs="Times New Roman" w:eastAsia="Times New Roman" w:hAnsi="Times New Roman"/>
          <w:sz w:val="13"/>
          <w:szCs w:val="13"/>
          <w:color w:val="auto"/>
        </w:rPr>
      </w:pPr>
    </w:p>
    <w:p>
      <w:pPr>
        <w:jc w:val="both"/>
        <w:ind w:left="340" w:right="220" w:hanging="332"/>
        <w:spacing w:after="0" w:line="272" w:lineRule="auto"/>
        <w:tabs>
          <w:tab w:leader="none" w:pos="33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 or that are issued in units.</w:t>
      </w:r>
    </w:p>
    <w:p>
      <w:pPr>
        <w:sectPr>
          <w:pgSz w:w="11900" w:h="16838" w:orient="portrait"/>
          <w:cols w:equalWidth="0" w:num="1">
            <w:col w:w="11260"/>
          </w:cols>
          <w:pgMar w:left="320" w:top="117"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$125,000,000.00</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OF COMMON STOCK, PAR VALUE $0.0001 PER SHARE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28,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Cowen and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Lexington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Nautilus Biotechnology, Inc.,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confirms its agreement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with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Cowen and Company, LLC (“</w:t>
      </w:r>
      <w:r>
        <w:rPr>
          <w:rFonts w:ascii="Times New Roman" w:cs="Times New Roman" w:eastAsia="Times New Roman" w:hAnsi="Times New Roman"/>
          <w:sz w:val="22"/>
          <w:szCs w:val="22"/>
          <w:b w:val="1"/>
          <w:bCs w:val="1"/>
          <w:u w:val="single" w:color="auto"/>
          <w:color w:val="auto"/>
        </w:rPr>
        <w:t>TD Cowen</w:t>
      </w:r>
      <w:r>
        <w:rPr>
          <w:rFonts w:ascii="Times New Roman" w:cs="Times New Roman" w:eastAsia="Times New Roman" w:hAnsi="Times New Roman"/>
          <w:sz w:val="22"/>
          <w:szCs w:val="22"/>
          <w:color w:val="auto"/>
        </w:rPr>
        <w:t>”), as follows:</w:t>
      </w:r>
    </w:p>
    <w:p>
      <w:pPr>
        <w:spacing w:after="0" w:line="196" w:lineRule="exact"/>
        <w:rPr>
          <w:sz w:val="20"/>
          <w:szCs w:val="20"/>
          <w:color w:val="auto"/>
        </w:rPr>
      </w:pPr>
    </w:p>
    <w:p>
      <w:pPr>
        <w:jc w:val="both"/>
        <w:ind w:firstLine="656"/>
        <w:spacing w:after="0" w:line="262" w:lineRule="auto"/>
        <w:tabs>
          <w:tab w:leader="none" w:pos="129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and Sale of Shares</w:t>
      </w:r>
      <w:r>
        <w:rPr>
          <w:rFonts w:ascii="Times New Roman" w:cs="Times New Roman" w:eastAsia="Times New Roman" w:hAnsi="Times New Roman"/>
          <w:sz w:val="21"/>
          <w:szCs w:val="21"/>
          <w:color w:val="auto"/>
        </w:rPr>
        <w:t>. The Company agrees that, from time to time during the term of this Agreement, on the terms and subject to the conditions set forth herein, it may issue and sell through TD Cowen, acting as agent and/or principal, shares (the “</w:t>
      </w:r>
      <w:r>
        <w:rPr>
          <w:rFonts w:ascii="Times New Roman" w:cs="Times New Roman" w:eastAsia="Times New Roman" w:hAnsi="Times New Roman"/>
          <w:sz w:val="21"/>
          <w:szCs w:val="21"/>
          <w:b w:val="1"/>
          <w:bCs w:val="1"/>
          <w:u w:val="single" w:color="auto"/>
          <w:color w:val="auto"/>
        </w:rPr>
        <w:t>Placement Shares</w:t>
      </w:r>
      <w:r>
        <w:rPr>
          <w:rFonts w:ascii="Times New Roman" w:cs="Times New Roman" w:eastAsia="Times New Roman" w:hAnsi="Times New Roman"/>
          <w:sz w:val="21"/>
          <w:szCs w:val="21"/>
          <w:color w:val="auto"/>
        </w:rPr>
        <w:t>”) of the Company’s common stock, par value $0.0001 per share (the “</w:t>
      </w:r>
      <w:r>
        <w:rPr>
          <w:rFonts w:ascii="Times New Roman" w:cs="Times New Roman" w:eastAsia="Times New Roman" w:hAnsi="Times New Roman"/>
          <w:sz w:val="21"/>
          <w:szCs w:val="21"/>
          <w:b w:val="1"/>
          <w:bCs w:val="1"/>
          <w:u w:val="single" w:color="auto"/>
          <w:color w:val="auto"/>
        </w:rPr>
        <w:t>Common Stock</w:t>
      </w:r>
      <w:r>
        <w:rPr>
          <w:rFonts w:ascii="Times New Roman" w:cs="Times New Roman" w:eastAsia="Times New Roman" w:hAnsi="Times New Roman"/>
          <w:sz w:val="21"/>
          <w:szCs w:val="21"/>
          <w:color w:val="auto"/>
        </w:rPr>
        <w:t>”), having an aggregate offering price of up to $125,000,000.00 (the “</w:t>
      </w:r>
      <w:r>
        <w:rPr>
          <w:rFonts w:ascii="Times New Roman" w:cs="Times New Roman" w:eastAsia="Times New Roman" w:hAnsi="Times New Roman"/>
          <w:sz w:val="21"/>
          <w:szCs w:val="21"/>
          <w:b w:val="1"/>
          <w:bCs w:val="1"/>
          <w:u w:val="single" w:color="auto"/>
          <w:color w:val="auto"/>
        </w:rPr>
        <w:t>Maximum Amount</w:t>
      </w:r>
      <w:r>
        <w:rPr>
          <w:rFonts w:ascii="Times New Roman" w:cs="Times New Roman" w:eastAsia="Times New Roman" w:hAnsi="Times New Roman"/>
          <w:sz w:val="21"/>
          <w:szCs w:val="21"/>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been declared effective by the Securities and Exchange Commission (the “</w:t>
      </w:r>
      <w:r>
        <w:rPr>
          <w:rFonts w:ascii="Times New Roman" w:cs="Times New Roman" w:eastAsia="Times New Roman" w:hAnsi="Times New Roman"/>
          <w:sz w:val="21"/>
          <w:szCs w:val="21"/>
          <w:b w:val="1"/>
          <w:bCs w:val="1"/>
          <w:u w:val="single" w:color="auto"/>
          <w:color w:val="auto"/>
        </w:rPr>
        <w:t>Commission</w:t>
      </w:r>
      <w:r>
        <w:rPr>
          <w:rFonts w:ascii="Times New Roman" w:cs="Times New Roman" w:eastAsia="Times New Roman" w:hAnsi="Times New Roman"/>
          <w:sz w:val="21"/>
          <w:szCs w:val="21"/>
          <w:color w:val="auto"/>
        </w:rPr>
        <w:t>”), although nothing in this Agreement shall be construed as requiring the Company to use the Registration Statement (as defined below) to issue the Placement Shares.</w:t>
      </w:r>
    </w:p>
    <w:p>
      <w:pPr>
        <w:spacing w:after="0" w:line="17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Company has filed or will file, in accordance with the provisions of the Securities Act of 1933, as amended, and the rules and regulations promulgated thereunder (collectively,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with the Commission a registration statement on Form S-3, including (a) a base prospectus, relating to certain securities, including the Common Stock, to be issued from time to time by the Company, and (b) a prospectus supplement specifically relating to the Placement Shares (the “</w:t>
      </w:r>
      <w:r>
        <w:rPr>
          <w:rFonts w:ascii="Times New Roman" w:cs="Times New Roman" w:eastAsia="Times New Roman" w:hAnsi="Times New Roman"/>
          <w:sz w:val="22"/>
          <w:szCs w:val="22"/>
          <w:b w:val="1"/>
          <w:bCs w:val="1"/>
          <w:u w:val="single" w:color="auto"/>
          <w:color w:val="auto"/>
        </w:rPr>
        <w:t>ATM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Supplement</w:t>
      </w:r>
      <w:r>
        <w:rPr>
          <w:rFonts w:ascii="Times New Roman" w:cs="Times New Roman" w:eastAsia="Times New Roman" w:hAnsi="Times New Roman"/>
          <w:sz w:val="22"/>
          <w:szCs w:val="22"/>
          <w:color w:val="auto"/>
        </w:rPr>
        <w:t>”) to the base prospectus included as part of such registration statement, each of which incorporate by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that the Company has filed or will file in accordance with the provisions of the Securities Exchange Act of 1934, as amended, and the rules and regulations promulgated thereunder (collectively,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As soon as practicable following the date that such registration statement is declared effective, the Company shall furnish to TD Cowen, for use by TD Cowen, copies of the prospectus included as part of such registration statement, as supplemented by the ATM</w:t>
      </w:r>
    </w:p>
    <w:p>
      <w:pPr>
        <w:sectPr>
          <w:pgSz w:w="11900" w:h="16838" w:orient="portrait"/>
          <w:cols w:equalWidth="0" w:num="1">
            <w:col w:w="11240"/>
          </w:cols>
          <w:pgMar w:left="320" w:top="104" w:right="339" w:bottom="1440" w:gutter="0" w:footer="0" w:header="0"/>
        </w:sectPr>
      </w:pPr>
    </w:p>
    <w:bookmarkStart w:id="61" w:name="page62"/>
    <w:bookmarkEnd w:id="61"/>
    <w:p>
      <w:pPr>
        <w:jc w:val="both"/>
        <w:spacing w:after="0" w:line="246" w:lineRule="auto"/>
        <w:rPr>
          <w:sz w:val="20"/>
          <w:szCs w:val="20"/>
          <w:color w:val="auto"/>
        </w:rPr>
      </w:pPr>
      <w:r>
        <w:rPr>
          <w:rFonts w:ascii="Times New Roman" w:cs="Times New Roman" w:eastAsia="Times New Roman" w:hAnsi="Times New Roman"/>
          <w:sz w:val="22"/>
          <w:szCs w:val="22"/>
          <w:color w:val="auto"/>
        </w:rPr>
        <w:t>Prospectus Supplement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(a “</w:t>
      </w:r>
      <w:r>
        <w:rPr>
          <w:rFonts w:ascii="Times New Roman" w:cs="Times New Roman" w:eastAsia="Times New Roman" w:hAnsi="Times New Roman"/>
          <w:sz w:val="22"/>
          <w:szCs w:val="22"/>
          <w:b w:val="1"/>
          <w:bCs w:val="1"/>
          <w:u w:val="single" w:color="auto"/>
          <w:color w:val="auto"/>
        </w:rPr>
        <w:t>Rule 462(b)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Statement</w:t>
      </w:r>
      <w:r>
        <w:rPr>
          <w:rFonts w:ascii="Times New Roman" w:cs="Times New Roman" w:eastAsia="Times New Roman" w:hAnsi="Times New Roman"/>
          <w:sz w:val="22"/>
          <w:szCs w:val="22"/>
          <w:color w:val="auto"/>
        </w:rPr>
        <w:t>”) or deemed to be a part of such registration statement pursuant to Rule 430B or 462(b) of the Securities Act,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subsequent registration statement on Form S-3 filed pursuant to Rule 415(a)(6) under the Securities Act by the Company with respect to the Placement Shares, is herein called the “</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The base prospectus, including all documents incorporated therein by reference, included in the Registration Statement, as it may be supplemented by the ATM Prospectus Supplement or any additional prospectus supplement, in the form in which such base prospectus and ATM Prospectus Supplement and/or additional prospectus supplement have most recently been filed by the Company with the Commission pursuant to Rule 424(b) under the Securities Act, together with any “issuer free writing prospectus,” as defined in Rule 433 under the Securities Act (“</w:t>
      </w:r>
      <w:r>
        <w:rPr>
          <w:rFonts w:ascii="Times New Roman" w:cs="Times New Roman" w:eastAsia="Times New Roman" w:hAnsi="Times New Roman"/>
          <w:sz w:val="22"/>
          <w:szCs w:val="22"/>
          <w:b w:val="1"/>
          <w:bCs w:val="1"/>
          <w:u w:val="single" w:color="auto"/>
          <w:color w:val="auto"/>
        </w:rPr>
        <w:t>Rule 433</w:t>
      </w:r>
      <w:r>
        <w:rPr>
          <w:rFonts w:ascii="Times New Roman" w:cs="Times New Roman" w:eastAsia="Times New Roman" w:hAnsi="Times New Roman"/>
          <w:sz w:val="22"/>
          <w:szCs w:val="22"/>
          <w:color w:val="auto"/>
        </w:rPr>
        <w:t>”), relating to the Placement Shares that (i) is consented to by TD Cowen, hereinafter referred to as a “</w:t>
      </w:r>
      <w:r>
        <w:rPr>
          <w:rFonts w:ascii="Times New Roman" w:cs="Times New Roman" w:eastAsia="Times New Roman" w:hAnsi="Times New Roman"/>
          <w:sz w:val="22"/>
          <w:szCs w:val="22"/>
          <w:b w:val="1"/>
          <w:bCs w:val="1"/>
          <w:u w:val="single" w:color="auto"/>
          <w:color w:val="auto"/>
        </w:rPr>
        <w:t>Permitted Free Writing Prospectus</w:t>
      </w:r>
      <w:r>
        <w:rPr>
          <w:rFonts w:ascii="Times New Roman" w:cs="Times New Roman" w:eastAsia="Times New Roman" w:hAnsi="Times New Roman"/>
          <w:sz w:val="22"/>
          <w:szCs w:val="22"/>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22"/>
          <w:szCs w:val="22"/>
          <w:b w:val="1"/>
          <w:bCs w:val="1"/>
          <w:u w:val="single" w:color="auto"/>
          <w:color w:val="auto"/>
        </w:rPr>
        <w:t>Prospectus</w:t>
      </w:r>
      <w:r>
        <w:rPr>
          <w:rFonts w:ascii="Times New Roman" w:cs="Times New Roman" w:eastAsia="Times New Roman" w:hAnsi="Times New Roman"/>
          <w:sz w:val="22"/>
          <w:szCs w:val="22"/>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or any successor thereto (“</w:t>
      </w:r>
      <w:r>
        <w:rPr>
          <w:rFonts w:ascii="Times New Roman" w:cs="Times New Roman" w:eastAsia="Times New Roman" w:hAnsi="Times New Roman"/>
          <w:sz w:val="22"/>
          <w:szCs w:val="22"/>
          <w:b w:val="1"/>
          <w:bCs w:val="1"/>
          <w:u w:val="single" w:color="auto"/>
          <w:color w:val="auto"/>
        </w:rPr>
        <w:t>EDGAR</w:t>
      </w:r>
      <w:r>
        <w:rPr>
          <w:rFonts w:ascii="Times New Roman" w:cs="Times New Roman" w:eastAsia="Times New Roman" w:hAnsi="Times New Roman"/>
          <w:sz w:val="22"/>
          <w:szCs w:val="22"/>
          <w:color w:val="auto"/>
        </w:rPr>
        <w:t>”). The Company’s obligations under this Agreement to furnish, provide, deliver or make available (and all other similar references or obligations) copies of any document or other information shall be deemed satisfied if the same is filed with the Commission through EDGAR.</w:t>
      </w:r>
    </w:p>
    <w:p>
      <w:pPr>
        <w:spacing w:after="0" w:line="216" w:lineRule="exact"/>
        <w:rPr>
          <w:sz w:val="20"/>
          <w:szCs w:val="20"/>
          <w:color w:val="auto"/>
        </w:rPr>
      </w:pPr>
    </w:p>
    <w:p>
      <w:pPr>
        <w:jc w:val="both"/>
        <w:ind w:firstLine="656"/>
        <w:spacing w:after="0" w:line="248"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Placements</w:t>
      </w:r>
      <w:r>
        <w:rPr>
          <w:rFonts w:ascii="Times New Roman" w:cs="Times New Roman" w:eastAsia="Times New Roman" w:hAnsi="Times New Roman"/>
          <w:sz w:val="22"/>
          <w:szCs w:val="22"/>
          <w:color w:val="auto"/>
        </w:rPr>
        <w:t>. Each time that the Company wishes, in its sole discretion, to issue and sell the Placement Shares hereunder (each, a “</w:t>
      </w:r>
      <w:r>
        <w:rPr>
          <w:rFonts w:ascii="Times New Roman" w:cs="Times New Roman" w:eastAsia="Times New Roman" w:hAnsi="Times New Roman"/>
          <w:sz w:val="22"/>
          <w:szCs w:val="22"/>
          <w:b w:val="1"/>
          <w:bCs w:val="1"/>
          <w:u w:val="single" w:color="auto"/>
          <w:color w:val="auto"/>
        </w:rPr>
        <w:t>Placement</w:t>
      </w:r>
      <w:r>
        <w:rPr>
          <w:rFonts w:ascii="Times New Roman" w:cs="Times New Roman" w:eastAsia="Times New Roman" w:hAnsi="Times New Roman"/>
          <w:sz w:val="22"/>
          <w:szCs w:val="22"/>
          <w:color w:val="auto"/>
        </w:rPr>
        <w:t>”), it will notify TD Cowen by email notice (or other method mutually agreed to in writing by the parties) (a “</w:t>
      </w:r>
      <w:r>
        <w:rPr>
          <w:rFonts w:ascii="Times New Roman" w:cs="Times New Roman" w:eastAsia="Times New Roman" w:hAnsi="Times New Roman"/>
          <w:sz w:val="22"/>
          <w:szCs w:val="22"/>
          <w:b w:val="1"/>
          <w:bCs w:val="1"/>
          <w:u w:val="single" w:color="auto"/>
          <w:color w:val="auto"/>
        </w:rPr>
        <w:t>Placement Notice</w:t>
      </w:r>
      <w:r>
        <w:rPr>
          <w:rFonts w:ascii="Times New Roman" w:cs="Times New Roman" w:eastAsia="Times New Roman" w:hAnsi="Times New Roman"/>
          <w:sz w:val="22"/>
          <w:szCs w:val="22"/>
          <w:color w:val="auto"/>
        </w:rPr>
        <w:t xml:space="preserve">”) containing the parameters in accordance with which it desires the Placement Shares to be sold, which shall at a minimum include the number or dollar amount of Placement Shares to be issued, the time period during which sales are requested to be made, any limitation on the number or dollar amount of Placement Shares that may be sold in any one Trading Day (as defined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22"/>
          <w:szCs w:val="22"/>
          <w:b w:val="1"/>
          <w:bCs w:val="1"/>
          <w:u w:val="single" w:color="auto"/>
          <w:color w:val="auto"/>
        </w:rPr>
        <w:t>Schedule 1</w:t>
      </w:r>
      <w:r>
        <w:rPr>
          <w:rFonts w:ascii="Times New Roman" w:cs="Times New Roman" w:eastAsia="Times New Roman" w:hAnsi="Times New Roman"/>
          <w:sz w:val="22"/>
          <w:szCs w:val="22"/>
          <w:color w:val="auto"/>
        </w:rPr>
        <w:t xml:space="preserve">. The Placement Notice shall originate from any of the individuals from the Company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(with a copy to each of the other individuals from the Company listed on such schedule), and shall be addressed to each of the individuals from TD Cowen set forth 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65" w:lineRule="auto"/>
        <w:rPr>
          <w:sz w:val="20"/>
          <w:szCs w:val="20"/>
          <w:color w:val="auto"/>
        </w:rPr>
      </w:pP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as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amended from time to time. The Placement Notice shall be effective upon receipt by TD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Cowen unless and until (i) 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TD Cowen declines to accept the terms contained therein for any reason, in its sole discretion, provided that any such declination must occur within two (2) Business Days of the receipt of the Placement Notice, (ii) the entire amount of the Placement Shares thereunder have been sold,</w:t>
      </w:r>
    </w:p>
    <w:p>
      <w:pPr>
        <w:spacing w:after="0" w:line="1"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the Company suspends or terminates the Placement Notice,</w:t>
      </w:r>
    </w:p>
    <w:p>
      <w:pPr>
        <w:spacing w:after="0" w:line="15" w:lineRule="exact"/>
        <w:rPr>
          <w:rFonts w:ascii="Times New Roman" w:cs="Times New Roman" w:eastAsia="Times New Roman" w:hAnsi="Times New Roman"/>
          <w:sz w:val="21"/>
          <w:szCs w:val="21"/>
          <w:color w:val="auto"/>
        </w:rPr>
      </w:pPr>
    </w:p>
    <w:p>
      <w:pPr>
        <w:jc w:val="both"/>
        <w:ind w:firstLine="8"/>
        <w:spacing w:after="0" w:line="245" w:lineRule="auto"/>
        <w:tabs>
          <w:tab w:leader="none" w:pos="39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issues a subsequent Placement Notice with parameters superseding or amending those on the earlier dated Placement Notice for any reason in its sole discretion, or (v) this Agreement has been terminated under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cs="Times New Roman" w:eastAsia="Times New Roman" w:hAnsi="Times New Roman"/>
          <w:sz w:val="22"/>
          <w:szCs w:val="22"/>
          <w:b w:val="1"/>
          <w:bCs w:val="1"/>
          <w:u w:val="single" w:color="auto"/>
          <w:color w:val="auto"/>
        </w:rPr>
        <w:t>Schedule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203"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 by TD Cowen.</w:t>
      </w:r>
      <w:r>
        <w:rPr>
          <w:rFonts w:ascii="Times New Roman" w:cs="Times New Roman" w:eastAsia="Times New Roman" w:hAnsi="Times New Roman"/>
          <w:sz w:val="22"/>
          <w:szCs w:val="22"/>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 w:cs="Times New Roman" w:eastAsia="Times New Roman" w:hAnsi="Times New Roman"/>
          <w:sz w:val="22"/>
          <w:szCs w:val="22"/>
          <w:b w:val="1"/>
          <w:bCs w:val="1"/>
          <w:u w:val="single" w:color="auto"/>
          <w:color w:val="auto"/>
        </w:rPr>
        <w:t>Nasdaq</w:t>
      </w:r>
      <w:r>
        <w:rPr>
          <w:rFonts w:ascii="Times New Roman" w:cs="Times New Roman" w:eastAsia="Times New Roman" w:hAnsi="Times New Roman"/>
          <w:sz w:val="22"/>
          <w:szCs w:val="22"/>
          <w:color w:val="auto"/>
        </w:rPr>
        <w:t xml:space="preserve">”) to sell such Placement Shares up to the amount specified in such Placement Notice, and otherwise in accordance with the terms of such Placement Notice. TD Cowen will provide written confirmation to the Company (including by email correspondence to each of the individuals of the Company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cs="Times New Roman" w:eastAsia="Times New Roman" w:hAnsi="Times New Roman"/>
          <w:sz w:val="22"/>
          <w:szCs w:val="22"/>
          <w:b w:val="1"/>
          <w:bCs w:val="1"/>
          <w:u w:val="single" w:color="auto"/>
          <w:color w:val="auto"/>
        </w:rPr>
        <w:t>Block Sale</w:t>
      </w:r>
      <w:r>
        <w:rPr>
          <w:rFonts w:ascii="Times New Roman" w:cs="Times New Roman" w:eastAsia="Times New Roman" w:hAnsi="Times New Roman"/>
          <w:sz w:val="22"/>
          <w:szCs w:val="22"/>
          <w:color w:val="auto"/>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each dated the Settlement Date, and such other documents and information as TD Cowen shall reasonably request. Subject to the terms and conditions of the applicable Placement Notice, TD Cowen may sell Placement Shares by any method permitted by law deemed to be an “at the market” offering as defined in Rule 415 of the Securities Act, including without limitation sales made through Nasdaq or on any other existing trading market for the Common Stock. TD Cowen shall not purchase Placement Shares for its own account as principal unless expressly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18" w:right="339" w:bottom="1440" w:gutter="0" w:footer="0" w:header="0"/>
        </w:sectPr>
      </w:pPr>
    </w:p>
    <w:bookmarkStart w:id="63" w:name="page64"/>
    <w:bookmarkEnd w:id="63"/>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For the purposes hereof, “</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any day on which the Company’s Common Stock is purchased and sold on the principal market on which the Common Stock is listed or quoted.</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reasonably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22"/>
          <w:szCs w:val="22"/>
          <w:b w:val="1"/>
          <w:bCs w:val="1"/>
          <w:u w:val="single" w:color="auto"/>
          <w:color w:val="auto"/>
        </w:rPr>
        <w:t>Earnings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Announcement</w:t>
      </w:r>
      <w:r>
        <w:rPr>
          <w:rFonts w:ascii="Times New Roman" w:cs="Times New Roman" w:eastAsia="Times New Roman" w:hAnsi="Times New Roman"/>
          <w:sz w:val="22"/>
          <w:szCs w:val="22"/>
          <w:color w:val="auto"/>
        </w:rPr>
        <w:t>”) through and including the time that the Company files a Quarterly Report on Form 10-Q or an Annual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Form 10-K that includes consolidated financial statements as of and for the same period or periods, as the case may be, covered by such Earnings Announcement.</w:t>
      </w:r>
    </w:p>
    <w:p>
      <w:pPr>
        <w:spacing w:after="0" w:line="180"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9" w:lineRule="auto"/>
        <w:tabs>
          <w:tab w:leader="none" w:pos="129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or TD Cowen may, upon notice to the other party in writing (including by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suspend any sale of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suspension shall not affect or impair either party’s obligations with respect to any Placement Shares sold hereunder prior to the receipt of such notice. While a suspension is in effect, any obligation under Sections 7(m), 7(n), 7(o), 7(p) and 7(q) with respect to the delivery of certificates, opinions, or comfort letters to TD Cowen,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the other unless it is made to one of the individuals named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hereto, as such schedule may be amended in writing from time to time.</w:t>
      </w:r>
    </w:p>
    <w:p>
      <w:pPr>
        <w:spacing w:after="0" w:line="18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22" w:right="339" w:bottom="1440" w:gutter="0" w:footer="0" w:header="0"/>
        </w:sectPr>
      </w:pPr>
    </w:p>
    <w:bookmarkStart w:id="64" w:name="page65"/>
    <w:bookmarkEnd w:id="64"/>
    <w:p>
      <w:pPr>
        <w:ind w:left="644" w:hanging="644"/>
        <w:spacing w:after="0"/>
        <w:tabs>
          <w:tab w:leader="none" w:pos="6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p>
    <w:p>
      <w:pPr>
        <w:spacing w:after="0" w:line="220" w:lineRule="exact"/>
        <w:rPr>
          <w:sz w:val="20"/>
          <w:szCs w:val="20"/>
          <w:color w:val="auto"/>
        </w:rPr>
      </w:pPr>
    </w:p>
    <w:p>
      <w:pPr>
        <w:jc w:val="both"/>
        <w:ind w:left="-656" w:firstLine="656"/>
        <w:spacing w:after="0" w:line="241" w:lineRule="auto"/>
        <w:tabs>
          <w:tab w:leader="none" w:pos="63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 settlement for sales of Placement Shares will occur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Trading Day (or such earlier day as is industry practice for regular-way trading or required under Rule 15c6-1 under Exchange Act) following the trade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and the first such Settlement Date, the “</w:t>
      </w:r>
      <w:r>
        <w:rPr>
          <w:rFonts w:ascii="Times New Roman" w:cs="Times New Roman" w:eastAsia="Times New Roman" w:hAnsi="Times New Roman"/>
          <w:sz w:val="22"/>
          <w:szCs w:val="22"/>
          <w:b w:val="1"/>
          <w:bCs w:val="1"/>
          <w:u w:val="single" w:color="auto"/>
          <w:color w:val="auto"/>
        </w:rPr>
        <w:t>First Delivery Date</w:t>
      </w:r>
      <w:r>
        <w:rPr>
          <w:rFonts w:ascii="Times New Roman" w:cs="Times New Roman" w:eastAsia="Times New Roman" w:hAnsi="Times New Roman"/>
          <w:sz w:val="22"/>
          <w:szCs w:val="22"/>
          <w:color w:val="auto"/>
        </w:rPr>
        <w:t>”). The amount of proceeds to be delivered to the Company on a Settlement Date against receipt of the Placement Shares sold (the “</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(ii) any other amounts due and payable by the Company to TD Cowen hereunder pursuant to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hereof, and (iii) any transaction fees imposed by any governmental or self-regulatory organization in respect of such sales.</w:t>
      </w:r>
    </w:p>
    <w:p>
      <w:pPr>
        <w:spacing w:after="0" w:line="195" w:lineRule="exact"/>
        <w:rPr>
          <w:rFonts w:ascii="Times New Roman" w:cs="Times New Roman" w:eastAsia="Times New Roman" w:hAnsi="Times New Roman"/>
          <w:sz w:val="22"/>
          <w:szCs w:val="22"/>
          <w:color w:val="auto"/>
        </w:rPr>
      </w:pPr>
    </w:p>
    <w:p>
      <w:pPr>
        <w:jc w:val="both"/>
        <w:ind w:left="-656" w:firstLine="656"/>
        <w:spacing w:after="0" w:line="260" w:lineRule="auto"/>
        <w:tabs>
          <w:tab w:leader="none" w:pos="63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Placement Shares</w:t>
      </w:r>
      <w:r>
        <w:rPr>
          <w:rFonts w:ascii="Times New Roman" w:cs="Times New Roman" w:eastAsia="Times New Roman" w:hAnsi="Times New Roman"/>
          <w:sz w:val="21"/>
          <w:szCs w:val="21"/>
          <w:color w:val="auto"/>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will be responsible for providing DWAC instructions or instructions for delivery by other means with regard to the transfer of the Placement Shares being sold. The Company agrees that if the Company, or its transfer agent (if applicable), defaults in its obligation to deliver duly authorized Placement Shares on a Settlement Date through no fault of TD Cowen, in addition to and in no way limiting the rights and obligations set forth in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spacing w:after="0" w:line="185" w:lineRule="exact"/>
        <w:rPr>
          <w:sz w:val="20"/>
          <w:szCs w:val="20"/>
          <w:color w:val="auto"/>
        </w:rPr>
      </w:pPr>
    </w:p>
    <w:p>
      <w:pPr>
        <w:jc w:val="both"/>
        <w:ind w:left="-656" w:firstLine="656"/>
        <w:spacing w:after="0" w:line="250" w:lineRule="auto"/>
        <w:tabs>
          <w:tab w:leader="none" w:pos="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Except as disclosed in the Registration Statement or the Prospectus,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22"/>
          <w:szCs w:val="22"/>
          <w:b w:val="1"/>
          <w:bCs w:val="1"/>
          <w:u w:val="single" w:color="auto"/>
          <w:color w:val="auto"/>
        </w:rPr>
        <w:t>Representation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656" w:firstLine="656"/>
        <w:spacing w:after="0" w:line="263" w:lineRule="auto"/>
        <w:tabs>
          <w:tab w:leader="none" w:pos="63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Registration Requirements</w:t>
      </w:r>
      <w:r>
        <w:rPr>
          <w:rFonts w:ascii="Times New Roman" w:cs="Times New Roman" w:eastAsia="Times New Roman" w:hAnsi="Times New Roman"/>
          <w:sz w:val="22"/>
          <w:szCs w:val="22"/>
          <w:color w:val="auto"/>
        </w:rPr>
        <w:t>. Prior to the issuance of any Placement Notice by the Company, the Registration Statement and any Rule 462(b) Registration Statement with respect to the Registration Statement will have been filed and declared effective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0584"/>
          </w:cols>
          <w:pgMar w:left="976" w:top="1422" w:right="339" w:bottom="1440" w:gutter="0" w:footer="0" w:header="0"/>
        </w:sectPr>
      </w:pPr>
    </w:p>
    <w:bookmarkStart w:id="65" w:name="page66"/>
    <w:bookmarkEnd w:id="65"/>
    <w:p>
      <w:pPr>
        <w:jc w:val="both"/>
        <w:spacing w:after="0" w:line="251" w:lineRule="auto"/>
        <w:rPr>
          <w:sz w:val="20"/>
          <w:szCs w:val="20"/>
          <w:color w:val="auto"/>
        </w:rPr>
      </w:pPr>
      <w:r>
        <w:rPr>
          <w:rFonts w:ascii="Times New Roman" w:cs="Times New Roman" w:eastAsia="Times New Roman" w:hAnsi="Times New Roman"/>
          <w:sz w:val="22"/>
          <w:szCs w:val="22"/>
          <w:color w:val="auto"/>
        </w:rPr>
        <w:t>by the Commission under the Securities Act. The Company has complied, or will comply, to the Commission’s satisfaction, with all requests of the Commission for additional or supplemental information related to the Registration Statement. No stop order suspending the effectiveness of the Registration Statement or any Rule 462(b) Registration Statement is in effect and no proceedings for such purpose have been instituted or are pending or, to the knowledge of the Company, threatened by the Commission. The Company meets the requirements for use of Form S-3 under the Securities Act. The sale of the Placement Shares hereunder meets the requirements of General Instruction I.B.1 of Form S-3.</w:t>
      </w:r>
    </w:p>
    <w:p>
      <w:pPr>
        <w:spacing w:after="0" w:line="181" w:lineRule="exact"/>
        <w:rPr>
          <w:sz w:val="20"/>
          <w:szCs w:val="20"/>
          <w:color w:val="auto"/>
        </w:rPr>
      </w:pPr>
    </w:p>
    <w:p>
      <w:pPr>
        <w:jc w:val="both"/>
        <w:ind w:firstLine="656"/>
        <w:spacing w:after="0" w:line="260" w:lineRule="auto"/>
        <w:tabs>
          <w:tab w:leader="none" w:pos="129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Misstatement or Omission</w:t>
      </w:r>
      <w:r>
        <w:rPr>
          <w:rFonts w:ascii="Times New Roman" w:cs="Times New Roman" w:eastAsia="Times New Roman" w:hAnsi="Times New Roman"/>
          <w:sz w:val="21"/>
          <w:szCs w:val="21"/>
          <w:color w:val="auto"/>
        </w:rPr>
        <w:t>. The Prospectus, when filed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will comply and as of each Representation Date, the date on which a Placement Notice is given and any date on which Placement Shares are sold hereunder (each, an “</w:t>
      </w:r>
      <w:r>
        <w:rPr>
          <w:rFonts w:ascii="Times New Roman" w:cs="Times New Roman" w:eastAsia="Times New Roman" w:hAnsi="Times New Roman"/>
          <w:sz w:val="21"/>
          <w:szCs w:val="21"/>
          <w:b w:val="1"/>
          <w:bCs w:val="1"/>
          <w:u w:val="single" w:color="auto"/>
          <w:color w:val="auto"/>
        </w:rPr>
        <w:t>Applicable Time</w:t>
      </w:r>
      <w:r>
        <w:rPr>
          <w:rFonts w:ascii="Times New Roman" w:cs="Times New Roman" w:eastAsia="Times New Roman" w:hAnsi="Times New Roman"/>
          <w:sz w:val="21"/>
          <w:szCs w:val="21"/>
          <w:color w:val="auto"/>
        </w:rPr>
        <w:t>”), will comply in all material respects with the Securities Act and, as of each Applicable Time, will not contain any untrue statement of a material fact or omit to state a material fact required to be stated therein or necessary to make the statements therein not misleading. The Prospectus, as amended or supplemented, as of its date, and, as of each Applicable Time,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21"/>
          <w:szCs w:val="21"/>
          <w:b w:val="1"/>
          <w:bCs w:val="1"/>
          <w:u w:val="single" w:color="auto"/>
          <w:color w:val="auto"/>
        </w:rPr>
        <w:t>Time of Sale</w:t>
      </w:r>
      <w:r>
        <w:rPr>
          <w:rFonts w:ascii="Times New Roman" w:cs="Times New Roman" w:eastAsia="Times New Roman" w:hAnsi="Times New Roman"/>
          <w:sz w:val="21"/>
          <w:szCs w:val="21"/>
          <w:color w:val="auto"/>
        </w:rPr>
        <w:t>” means with respect to each offering of Placement Shares pursuant to this Agreement, the time of TD Cowen’s initial entry into contracts with purchasers for the sale of such Placement Shares.</w:t>
      </w:r>
    </w:p>
    <w:p>
      <w:pPr>
        <w:spacing w:after="0" w:line="174"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Materials Furnished to TD Cowen</w:t>
      </w:r>
      <w:r>
        <w:rPr>
          <w:rFonts w:ascii="Times New Roman" w:cs="Times New Roman" w:eastAsia="Times New Roman" w:hAnsi="Times New Roman"/>
          <w:sz w:val="22"/>
          <w:szCs w:val="22"/>
          <w:color w:val="auto"/>
        </w:rPr>
        <w:t>.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95"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w:t>
      </w:r>
      <w:r>
        <w:rPr>
          <w:rFonts w:ascii="Times New Roman" w:cs="Times New Roman" w:eastAsia="Times New Roman" w:hAnsi="Times New Roman"/>
          <w:sz w:val="22"/>
          <w:szCs w:val="22"/>
          <w:color w:val="auto"/>
        </w:rPr>
        <w:t>. The Company is an “emerging growth company,” as defined in Section 2(a) of the Securities Act. The Company agrees to notify TD Cowen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promptly upon the Company ceasing to be an emerging growth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not be required to notify TD Cowen when it ceases to be an emerging growth company on December 31, 2025 (i.e., the last day of the fiscal year of the Company following the fifth anniversary of the date of the first sale of common equity securities of the Company pursuant to an effective registration statement under the Securities Act).</w:t>
      </w:r>
    </w:p>
    <w:p>
      <w:pPr>
        <w:spacing w:after="0" w:line="172" w:lineRule="exact"/>
        <w:rPr>
          <w:sz w:val="20"/>
          <w:szCs w:val="20"/>
          <w:color w:val="auto"/>
        </w:rPr>
      </w:pPr>
    </w:p>
    <w:p>
      <w:pPr>
        <w:jc w:val="both"/>
        <w:ind w:firstLine="656"/>
        <w:spacing w:after="0" w:line="257" w:lineRule="auto"/>
        <w:tabs>
          <w:tab w:leader="none" w:pos="129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Ineligible Issuer</w:t>
      </w:r>
      <w:r>
        <w:rPr>
          <w:rFonts w:ascii="Times New Roman" w:cs="Times New Roman" w:eastAsia="Times New Roman" w:hAnsi="Times New Roman"/>
          <w:sz w:val="22"/>
          <w:szCs w:val="22"/>
          <w:color w:val="auto"/>
        </w:rPr>
        <w:t>. The Company has not prepared, used or referred to, and for so long as the Company is an “ineligible issuer” as defined in Rule 405 of the Securities Act, the Company will not use or refer to, any free writing prospectus as defined in Rule 405 of the Securities Act.</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Offering Material By the Company</w:t>
      </w:r>
      <w:r>
        <w:rPr>
          <w:rFonts w:ascii="Times New Roman" w:cs="Times New Roman" w:eastAsia="Times New Roman" w:hAnsi="Times New Roman"/>
          <w:sz w:val="22"/>
          <w:szCs w:val="22"/>
          <w:color w:val="auto"/>
        </w:rPr>
        <w:t>. The Company has not distributed and will not distribute, prior to the completion of TD Cowen’s distribution of the Placement Shares, any offering material in connection with the offering and sale of the Placement Shares other than the Prospectus or the Registration Statement.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68" w:lineRule="auto"/>
        <w:tabs>
          <w:tab w:leader="none" w:pos="129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Sales Agreement</w:t>
      </w:r>
      <w:r>
        <w:rPr>
          <w:rFonts w:ascii="Times New Roman" w:cs="Times New Roman" w:eastAsia="Times New Roman" w:hAnsi="Times New Roman"/>
          <w:sz w:val="21"/>
          <w:szCs w:val="21"/>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76"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the Common Stock</w:t>
      </w:r>
      <w:r>
        <w:rPr>
          <w:rFonts w:ascii="Times New Roman" w:cs="Times New Roman" w:eastAsia="Times New Roman" w:hAnsi="Times New Roman"/>
          <w:sz w:val="22"/>
          <w:szCs w:val="22"/>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of its subsidiaries is a party or otherwise.</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 or otherwise complied with.</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Except as otherwise disclosed in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 w:cs="Times New Roman" w:eastAsia="Times New Roman" w:hAnsi="Times New Roman"/>
          <w:sz w:val="22"/>
          <w:szCs w:val="22"/>
          <w:b w:val="1"/>
          <w:bCs w:val="1"/>
          <w:u w:val="single" w:color="auto"/>
          <w:color w:val="auto"/>
        </w:rPr>
        <w:t>Material Adverse Change</w:t>
      </w:r>
      <w:r>
        <w:rPr>
          <w:rFonts w:ascii="Times New Roman" w:cs="Times New Roman" w:eastAsia="Times New Roman" w:hAnsi="Times New Roman"/>
          <w:sz w:val="22"/>
          <w:szCs w:val="22"/>
          <w:color w:val="auto"/>
        </w:rPr>
        <w:t>”); (ii) the Company and its subsidiaries, considered as one entity, have not incurred any material liability or obligation, indirect, direct or contingent, not in the ordinary course of business nor entered into any material transaction or agreement not in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18"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22"/>
          <w:szCs w:val="22"/>
          <w:color w:val="auto"/>
        </w:rPr>
        <w:t>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spacing w:after="0" w:line="176" w:lineRule="exact"/>
        <w:rPr>
          <w:sz w:val="20"/>
          <w:szCs w:val="20"/>
          <w:color w:val="auto"/>
        </w:rPr>
      </w:pPr>
    </w:p>
    <w:p>
      <w:pPr>
        <w:jc w:val="both"/>
        <w:ind w:firstLine="656"/>
        <w:spacing w:after="0" w:line="252"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PricewaterhouseCoopers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w:t>
      </w:r>
    </w:p>
    <w:p>
      <w:pPr>
        <w:spacing w:after="0" w:line="192" w:lineRule="exact"/>
        <w:rPr>
          <w:rFonts w:ascii="Times New Roman" w:cs="Times New Roman" w:eastAsia="Times New Roman" w:hAnsi="Times New Roman"/>
          <w:sz w:val="22"/>
          <w:szCs w:val="22"/>
          <w:color w:val="auto"/>
        </w:rPr>
      </w:pPr>
    </w:p>
    <w:p>
      <w:pPr>
        <w:jc w:val="both"/>
        <w:ind w:firstLine="656"/>
        <w:spacing w:after="0" w:line="247" w:lineRule="auto"/>
        <w:tabs>
          <w:tab w:leader="none" w:pos="128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Preparation of the Financial Statements</w:t>
      </w:r>
      <w:r>
        <w:rPr>
          <w:rFonts w:ascii="Times New Roman" w:cs="Times New Roman" w:eastAsia="Times New Roman" w:hAnsi="Times New Roman"/>
          <w:sz w:val="22"/>
          <w:szCs w:val="22"/>
          <w:color w:val="auto"/>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other financial information included in each of the Registration Statement and the Prospectus has been derived from the accounting records of the Company and its consolidated subsidiaries and presents fairly in all material respects the information shown thereby. The statistical, industry-related and market-related data included in the Registration Statement and the Prospectus are based on or derived from sources which the Company reasonably and in good faith believes are reliable and accurate and such data is consistent with the sources from which they are derived, in each case in all material respects. No other financial statements or supporting schedules are required to be included in or incorporated in the Registration Statement.</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XBRL</w:t>
      </w:r>
      <w:r>
        <w:rPr>
          <w:rFonts w:ascii="Times New Roman" w:cs="Times New Roman" w:eastAsia="Times New Roman" w:hAnsi="Times New Roman"/>
          <w:sz w:val="22"/>
          <w:szCs w:val="22"/>
          <w:color w:val="auto"/>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95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and Good Standing of the Company and its Subsidiaries</w:t>
      </w:r>
      <w:r>
        <w:rPr>
          <w:rFonts w:ascii="Times New Roman" w:cs="Times New Roman" w:eastAsia="Times New Roman" w:hAnsi="Times New Roman"/>
          <w:sz w:val="22"/>
          <w:szCs w:val="22"/>
          <w:color w:val="auto"/>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except where the failure to be in good standing or have such power or authority would not, individually or in the aggregate, result in a Material Adverse Change. Each subsidiary of the Company has been duly organized and is validly existing as a corporation or limited liability company in good standing under the laws of the jurisdiction of its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60" w:lineRule="auto"/>
        <w:rPr>
          <w:sz w:val="20"/>
          <w:szCs w:val="20"/>
          <w:color w:val="auto"/>
        </w:rPr>
      </w:pPr>
      <w:r>
        <w:rPr>
          <w:rFonts w:ascii="Times New Roman" w:cs="Times New Roman" w:eastAsia="Times New Roman" w:hAnsi="Times New Roman"/>
          <w:sz w:val="21"/>
          <w:szCs w:val="21"/>
          <w:color w:val="auto"/>
        </w:rPr>
        <w:t>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Company’s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77" w:lineRule="exact"/>
        <w:rPr>
          <w:sz w:val="20"/>
          <w:szCs w:val="20"/>
          <w:color w:val="auto"/>
        </w:rPr>
      </w:pPr>
    </w:p>
    <w:p>
      <w:pPr>
        <w:jc w:val="both"/>
        <w:ind w:firstLine="656"/>
        <w:spacing w:after="0" w:line="249" w:lineRule="auto"/>
        <w:tabs>
          <w:tab w:leader="none" w:pos="129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Stock Matters</w:t>
      </w:r>
      <w:r>
        <w:rPr>
          <w:rFonts w:ascii="Times New Roman" w:cs="Times New Roman" w:eastAsia="Times New Roman" w:hAnsi="Times New Roman"/>
          <w:sz w:val="22"/>
          <w:szCs w:val="22"/>
          <w:color w:val="auto"/>
        </w:rPr>
        <w:t>.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spacing w:after="0" w:line="183"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1"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Non-Contravention of Existing Instruments; No Further Authorizations or Approvals Required</w:t>
      </w:r>
      <w:r>
        <w:rPr>
          <w:rFonts w:ascii="Times New Roman" w:cs="Times New Roman" w:eastAsia="Times New Roman" w:hAnsi="Times New Roman"/>
          <w:sz w:val="21"/>
          <w:szCs w:val="21"/>
          <w:color w:val="auto"/>
        </w:rPr>
        <w:t>. Neither the Company nor any of its subsidiaries is in violation of its charter or bylaws or is in default (or, with the giving of notice or lapse of time, would be in default) (“</w:t>
      </w:r>
      <w:r>
        <w:rPr>
          <w:rFonts w:ascii="Times New Roman" w:cs="Times New Roman" w:eastAsia="Times New Roman" w:hAnsi="Times New Roman"/>
          <w:sz w:val="21"/>
          <w:szCs w:val="21"/>
          <w:b w:val="1"/>
          <w:bCs w:val="1"/>
          <w:u w:val="single" w:color="auto"/>
          <w:color w:val="auto"/>
        </w:rPr>
        <w:t>Default</w:t>
      </w:r>
      <w:r>
        <w:rPr>
          <w:rFonts w:ascii="Times New Roman" w:cs="Times New Roman" w:eastAsia="Times New Roman" w:hAnsi="Times New Roman"/>
          <w:sz w:val="21"/>
          <w:szCs w:val="21"/>
          <w:color w:val="auto"/>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cs="Times New Roman" w:eastAsia="Times New Roman" w:hAnsi="Times New Roman"/>
          <w:sz w:val="21"/>
          <w:szCs w:val="21"/>
          <w:b w:val="1"/>
          <w:bCs w:val="1"/>
          <w:u w:val="single" w:color="auto"/>
          <w:color w:val="auto"/>
        </w:rPr>
        <w:t>Existing Instrument</w:t>
      </w:r>
      <w:r>
        <w:rPr>
          <w:rFonts w:ascii="Times New Roman" w:cs="Times New Roman" w:eastAsia="Times New Roman" w:hAnsi="Times New Roman"/>
          <w:sz w:val="21"/>
          <w:szCs w:val="21"/>
          <w:color w:val="auto"/>
        </w:rPr>
        <w:t>”), except for such Defaults as would not, individually or in the aggregate, result in a Material Adverse Change. The Company’s execution, delivery and performance of this Agreement and consummation of the transactions contemplated hereby and by the Prospectus</w:t>
      </w:r>
    </w:p>
    <w:p>
      <w:pPr>
        <w:spacing w:after="0" w:line="3"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been duly authorized by all necessary corporate action and will not result in any violation of the provisions of the charter</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48" w:lineRule="auto"/>
        <w:rPr>
          <w:sz w:val="20"/>
          <w:szCs w:val="20"/>
          <w:color w:val="auto"/>
        </w:rPr>
      </w:pPr>
      <w:r>
        <w:rPr>
          <w:rFonts w:ascii="Times New Roman" w:cs="Times New Roman" w:eastAsia="Times New Roman" w:hAnsi="Times New Roman"/>
          <w:sz w:val="22"/>
          <w:szCs w:val="22"/>
          <w:color w:val="auto"/>
        </w:rPr>
        <w:t>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for such violations as would not, individually or in the aggregate,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 w:cs="Times New Roman" w:eastAsia="Times New Roman" w:hAnsi="Times New Roman"/>
          <w:sz w:val="22"/>
          <w:szCs w:val="22"/>
          <w:b w:val="1"/>
          <w:bCs w:val="1"/>
          <w:u w:val="single" w:color="auto"/>
          <w:color w:val="auto"/>
        </w:rPr>
        <w:t>FINRA</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56"/>
        <w:spacing w:after="0" w:line="262" w:lineRule="auto"/>
        <w:tabs>
          <w:tab w:leader="none" w:pos="129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Actions or Proceedings</w:t>
      </w:r>
      <w:r>
        <w:rPr>
          <w:rFonts w:ascii="Times New Roman" w:cs="Times New Roman" w:eastAsia="Times New Roman" w:hAnsi="Times New Roman"/>
          <w:sz w:val="21"/>
          <w:szCs w:val="21"/>
          <w:color w:val="auto"/>
        </w:rPr>
        <w:t>. Except as disclosed in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any of its subsidiaries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w:t>
      </w:r>
    </w:p>
    <w:p>
      <w:pPr>
        <w:spacing w:after="0" w:line="186" w:lineRule="exact"/>
        <w:rPr>
          <w:rFonts w:ascii="Times New Roman" w:cs="Times New Roman" w:eastAsia="Times New Roman" w:hAnsi="Times New Roman"/>
          <w:sz w:val="21"/>
          <w:szCs w:val="21"/>
          <w:color w:val="auto"/>
        </w:rPr>
      </w:pPr>
    </w:p>
    <w:p>
      <w:pPr>
        <w:jc w:val="both"/>
        <w:ind w:firstLine="656"/>
        <w:spacing w:after="0" w:line="265" w:lineRule="auto"/>
        <w:tabs>
          <w:tab w:leader="none" w:pos="129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 Necessary Permits, etc</w:t>
      </w:r>
      <w:r>
        <w:rPr>
          <w:rFonts w:ascii="Times New Roman" w:cs="Times New Roman" w:eastAsia="Times New Roman" w:hAnsi="Times New Roman"/>
          <w:sz w:val="21"/>
          <w:szCs w:val="21"/>
          <w:color w:val="auto"/>
        </w:rPr>
        <w:t>. The Company and each of its subsidiaries possess such valid and current certificates, authorizations or permits issued by the appropriate state, federal or foreign regulatory agencies or bodies necessary to conduct their respective businesses and as required by applicable law, other than those the failure to possess or own would not result in a Material Adverse Change, and neither the Company nor any of its subsidiaries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w:t>
      </w:r>
    </w:p>
    <w:p>
      <w:pPr>
        <w:spacing w:after="0" w:line="168" w:lineRule="exact"/>
        <w:rPr>
          <w:rFonts w:ascii="Times New Roman" w:cs="Times New Roman" w:eastAsia="Times New Roman" w:hAnsi="Times New Roman"/>
          <w:sz w:val="21"/>
          <w:szCs w:val="21"/>
          <w:color w:val="auto"/>
        </w:rPr>
      </w:pPr>
    </w:p>
    <w:p>
      <w:pPr>
        <w:jc w:val="both"/>
        <w:ind w:firstLine="656"/>
        <w:spacing w:after="0" w:line="250" w:lineRule="auto"/>
        <w:tabs>
          <w:tab w:leader="none" w:pos="129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Law Compliance</w:t>
      </w:r>
      <w:r>
        <w:rPr>
          <w:rFonts w:ascii="Times New Roman" w:cs="Times New Roman" w:eastAsia="Times New Roman" w:hAnsi="Times New Roman"/>
          <w:sz w:val="22"/>
          <w:szCs w:val="22"/>
          <w:color w:val="auto"/>
        </w:rPr>
        <w:t xml:space="preserve">. The Company and its consolidated subsidiaries have filed all necessary federal, state and foreign income, property and franchise tax returns other than those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the failure to pay would not result in a Material Adverse Change. The Company has made charges, accruals and reserves in accordance with GAAP in the applicable financial statements referred to in </w:t>
      </w:r>
      <w:r>
        <w:rPr>
          <w:rFonts w:ascii="Times New Roman" w:cs="Times New Roman" w:eastAsia="Times New Roman" w:hAnsi="Times New Roman"/>
          <w:sz w:val="22"/>
          <w:szCs w:val="22"/>
          <w:u w:val="single" w:color="auto"/>
          <w:color w:val="auto"/>
        </w:rPr>
        <w:t>Section 1(l)</w:t>
      </w:r>
      <w:r>
        <w:rPr>
          <w:rFonts w:ascii="Times New Roman" w:cs="Times New Roman" w:eastAsia="Times New Roman" w:hAnsi="Times New Roman"/>
          <w:sz w:val="22"/>
          <w:szCs w:val="22"/>
          <w:color w:val="auto"/>
        </w:rPr>
        <w:t xml:space="preserve"> above in respect of all material federal, state and foreign income, property and franchise taxes for all periods as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which the tax liability of the Company or any of its consolidated subsidiaries has not been finally determined.</w:t>
      </w:r>
    </w:p>
    <w:p>
      <w:pPr>
        <w:spacing w:after="0" w:line="220" w:lineRule="exact"/>
        <w:rPr>
          <w:sz w:val="20"/>
          <w:szCs w:val="20"/>
          <w:color w:val="auto"/>
        </w:rPr>
      </w:pPr>
    </w:p>
    <w:p>
      <w:pPr>
        <w:jc w:val="both"/>
        <w:ind w:firstLine="656"/>
        <w:spacing w:after="0" w:line="263" w:lineRule="auto"/>
        <w:tabs>
          <w:tab w:leader="none" w:pos="128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Not an “Investment Company</w:t>
      </w:r>
      <w:r>
        <w:rPr>
          <w:rFonts w:ascii="Times New Roman" w:cs="Times New Roman" w:eastAsia="Times New Roman" w:hAnsi="Times New Roman"/>
          <w:sz w:val="22"/>
          <w:szCs w:val="22"/>
          <w:color w:val="auto"/>
        </w:rPr>
        <w:t>”. The Company has been advised of the rules and requirements under the Investment Company Act of 1940, as amended (the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 The Company is not, and after receipt of payment for the Common Stock will not be, an “investment company” within the meaning of Investment Company Act.</w:t>
      </w:r>
    </w:p>
    <w:p>
      <w:pPr>
        <w:spacing w:after="0" w:line="16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Except as otherwise described in the Prospectus, each of the Company and its subsidiaries are insured by insurers of recognized financial responsibility with policies in such amounts and with such deductibles and covering such risks as the Company or such subsidiary reasonably believe to be prudent and customary for the business for which it is engaged including, but not limited to, policies covering real and personal property owned or leased by the Company and its subsidiaries against theft, damage, destruction, and acts of vandalism.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Price Stabilization or Manipulation</w:t>
      </w:r>
      <w:r>
        <w:rPr>
          <w:rFonts w:ascii="Times New Roman" w:cs="Times New Roman" w:eastAsia="Times New Roman" w:hAnsi="Times New Roman"/>
          <w:sz w:val="22"/>
          <w:szCs w:val="22"/>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There are no business relationships or related-party transactions involving the Company or any subsidiary of the Company or any other person required to be described in the Prospectus which have not been described as required.</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Unlawful Contributions or Other Payments</w:t>
      </w:r>
      <w:r>
        <w:rPr>
          <w:rFonts w:ascii="Times New Roman" w:cs="Times New Roman" w:eastAsia="Times New Roman" w:hAnsi="Times New Roman"/>
          <w:sz w:val="22"/>
          <w:szCs w:val="22"/>
          <w:color w:val="auto"/>
        </w:rPr>
        <w:t>. (i) None of the Company or any of its subsidiaries, or any director, officer, or employee thereof, or, to the Company’s knowledge, any affiliate, agent or representative of the Company or of any of its subsidiaries, while acting on behalf of the Company or any of its subsidiaries, has taken or will take, and will not permit any affiliate, agent or representative, while acting on behalf of the Company or any of its subsidiaries, to take, any action in furtherance of an offer, payment, promise to pay, or authorization or approval of the payment, giving or receipt of money, property, gifts or anything else of value, directly or indirectly, (1) to any government official (including any officer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49" w:lineRule="auto"/>
        <w:rPr>
          <w:sz w:val="20"/>
          <w:szCs w:val="20"/>
          <w:color w:val="auto"/>
        </w:rPr>
      </w:pPr>
      <w:r>
        <w:rPr>
          <w:rFonts w:ascii="Times New Roman" w:cs="Times New Roman" w:eastAsia="Times New Roman" w:hAnsi="Times New Roman"/>
          <w:sz w:val="22"/>
          <w:szCs w:val="22"/>
          <w:color w:val="auto"/>
        </w:rPr>
        <w:t>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(2) to any other person, in the case of each of (1) and (2) in violation of any applicable anti-corruption laws; (ii) the Company and each of its subsidiaries and, to the Company’s knowledge, its affiliates have conducted their businesses in compliance with applicable anti-corruption laws, including the U.S. Foreign Corrupt Practices Act of 1977,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83" w:lineRule="exact"/>
        <w:rPr>
          <w:sz w:val="20"/>
          <w:szCs w:val="20"/>
          <w:color w:val="auto"/>
        </w:rPr>
      </w:pPr>
    </w:p>
    <w:p>
      <w:pPr>
        <w:jc w:val="both"/>
        <w:ind w:firstLine="656"/>
        <w:spacing w:after="0" w:line="249"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Money Laundering Laws</w:t>
      </w:r>
      <w:r>
        <w:rPr>
          <w:rFonts w:ascii="Times New Roman" w:cs="Times New Roman" w:eastAsia="Times New Roman" w:hAnsi="Times New Roman"/>
          <w:sz w:val="22"/>
          <w:szCs w:val="22"/>
          <w:color w:val="auto"/>
        </w:rPr>
        <w:t>. The operations of the Company and its subsidiaries are and have been conducted at all times in material compliance with all applicable financial recordkeeping and reporting requirements, which may include those of the U.S. Bank Secrecy Act, as amended by Title III of the Uniting and Strengthening America by Providing Appropriate Tools Required to Intercept and Obstruct Terrorism Act of 2001 (USA PATRIOT Act), the criminal money laundering laws at 18 U.S.C. §§ 1956, 1957,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u w:val="single" w:color="auto"/>
          <w:color w:val="auto"/>
        </w:rPr>
        <w:t>Anti-Money Laundering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Laws</w:t>
      </w:r>
      <w:r>
        <w:rPr>
          <w:rFonts w:ascii="Times New Roman" w:cs="Times New Roman" w:eastAsia="Times New Roman" w:hAnsi="Times New Roman"/>
          <w:sz w:val="22"/>
          <w:szCs w:val="22"/>
          <w:color w:val="auto"/>
        </w:rPr>
        <w:t>”). No action, suit or proceeding by or before any court or governmental agency, authority, body or any arbitrator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any of its subsidiaries with respect to Anti-Money Laundering Laws is pending, or to the knowledge of the Company, threatened.</w:t>
      </w:r>
    </w:p>
    <w:p>
      <w:pPr>
        <w:spacing w:after="0" w:line="183"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OFAC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620" w:hanging="316"/>
        <w:spacing w:after="0" w:line="262" w:lineRule="auto"/>
        <w:tabs>
          <w:tab w:leader="none" w:pos="188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that is, or is 50% or more owned or otherwise controlled by one or more Persons that are: (i) the subject of any applicable sanctions administered or enforced by the U.S. Department of the Treasury’s Office of Foreign Assets Control (“</w:t>
      </w:r>
      <w:r>
        <w:rPr>
          <w:rFonts w:ascii="Times New Roman" w:cs="Times New Roman" w:eastAsia="Times New Roman" w:hAnsi="Times New Roman"/>
          <w:sz w:val="21"/>
          <w:szCs w:val="21"/>
          <w:b w:val="1"/>
          <w:bCs w:val="1"/>
          <w:u w:val="single" w:color="auto"/>
          <w:color w:val="auto"/>
        </w:rPr>
        <w:t>OFAC</w:t>
      </w:r>
      <w:r>
        <w:rPr>
          <w:rFonts w:ascii="Times New Roman" w:cs="Times New Roman" w:eastAsia="Times New Roman" w:hAnsi="Times New Roman"/>
          <w:sz w:val="21"/>
          <w:szCs w:val="21"/>
          <w:color w:val="auto"/>
        </w:rPr>
        <w:t>”), the United Nations Security Council, the European Union (“</w:t>
      </w:r>
      <w:r>
        <w:rPr>
          <w:rFonts w:ascii="Times New Roman" w:cs="Times New Roman" w:eastAsia="Times New Roman" w:hAnsi="Times New Roman"/>
          <w:sz w:val="21"/>
          <w:szCs w:val="21"/>
          <w:b w:val="1"/>
          <w:bCs w:val="1"/>
          <w:u w:val="single" w:color="auto"/>
          <w:color w:val="auto"/>
        </w:rPr>
        <w:t>EU</w:t>
      </w:r>
      <w:r>
        <w:rPr>
          <w:rFonts w:ascii="Times New Roman" w:cs="Times New Roman" w:eastAsia="Times New Roman" w:hAnsi="Times New Roman"/>
          <w:sz w:val="21"/>
          <w:szCs w:val="21"/>
          <w:color w:val="auto"/>
        </w:rPr>
        <w:t>”), His Majesty’s Treasury, or other relevant sanctions authority (collectively, “</w:t>
      </w:r>
      <w:r>
        <w:rPr>
          <w:rFonts w:ascii="Times New Roman" w:cs="Times New Roman" w:eastAsia="Times New Roman" w:hAnsi="Times New Roman"/>
          <w:sz w:val="21"/>
          <w:szCs w:val="21"/>
          <w:b w:val="1"/>
          <w:bCs w:val="1"/>
          <w:u w:val="single" w:color="auto"/>
          <w:color w:val="auto"/>
        </w:rPr>
        <w:t>Sanctions</w:t>
      </w:r>
      <w:r>
        <w:rPr>
          <w:rFonts w:ascii="Times New Roman" w:cs="Times New Roman" w:eastAsia="Times New Roman" w:hAnsi="Times New Roman"/>
          <w:sz w:val="21"/>
          <w:szCs w:val="21"/>
          <w:color w:val="auto"/>
        </w:rPr>
        <w:t>”), nor (ii) located, organized, or resident in a country or territory that is the subject of Sanctions (including, without limitation, the so-called Donetsk People’s Republic, the so-called Luhansk People’s Republic, the Crimea Region and the non-government controlled areas of the Zaporizhzhia and Kherson Regions of Ukraine, Cuba, Iran, North Korea and Syria) (“</w:t>
      </w:r>
      <w:r>
        <w:rPr>
          <w:rFonts w:ascii="Times New Roman" w:cs="Times New Roman" w:eastAsia="Times New Roman" w:hAnsi="Times New Roman"/>
          <w:sz w:val="21"/>
          <w:szCs w:val="21"/>
          <w:b w:val="1"/>
          <w:bCs w:val="1"/>
          <w:u w:val="single" w:color="auto"/>
          <w:color w:val="auto"/>
        </w:rPr>
        <w:t>Sanctioned Countries</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2" w:right="339" w:bottom="1440" w:gutter="0" w:footer="0" w:header="0"/>
        </w:sectPr>
      </w:pPr>
    </w:p>
    <w:bookmarkStart w:id="72" w:name="page73"/>
    <w:bookmarkEnd w:id="72"/>
    <w:p>
      <w:pPr>
        <w:jc w:val="both"/>
        <w:ind w:left="964" w:hanging="316"/>
        <w:spacing w:after="0" w:line="251" w:lineRule="auto"/>
        <w:tabs>
          <w:tab w:leader="none" w:pos="131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directly or indirectly, use the proceeds of the offering, or lend, contribute or otherwise make available such proceeds to any of its subsidiaries, joint venture partners or other Person: (i) to fund or facilitate any activities or business of or with any Person, or in any country or territory that, at the time of such funding or facilitation, is the subject of Sanctions or is located, organized or resident in a Sanctioned Country; or (ii) in any other manner that will result in a violation of Sanctions by any Person (including any Person participating in the offering, whether as underwriter, advisor, investor or otherwise).</w:t>
      </w:r>
    </w:p>
    <w:p>
      <w:pPr>
        <w:spacing w:after="0" w:line="181" w:lineRule="exact"/>
        <w:rPr>
          <w:rFonts w:ascii="Times New Roman" w:cs="Times New Roman" w:eastAsia="Times New Roman" w:hAnsi="Times New Roman"/>
          <w:sz w:val="22"/>
          <w:szCs w:val="22"/>
          <w:color w:val="auto"/>
        </w:rPr>
      </w:pPr>
    </w:p>
    <w:p>
      <w:pPr>
        <w:jc w:val="both"/>
        <w:ind w:left="964" w:hanging="316"/>
        <w:spacing w:after="0" w:line="256" w:lineRule="auto"/>
        <w:tabs>
          <w:tab w:leader="none" w:pos="115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in the past five (5) years, have not knowingly engaged in, are not now knowingly engaged in, and will not engage in, any dealings or transactions with any Person, or in any country or territory, that at the time of the dealing or transaction is or was the subject of Sanctions or is located, organized or resident in a Sanctioned Country.</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63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Accounting System</w:t>
      </w:r>
      <w:r>
        <w:rPr>
          <w:rFonts w:ascii="Times New Roman" w:cs="Times New Roman" w:eastAsia="Times New Roman" w:hAnsi="Times New Roman"/>
          <w:sz w:val="22"/>
          <w:szCs w:val="22"/>
          <w:color w:val="auto"/>
        </w:rPr>
        <w:t>. The Company maintains a system of “internal control over financial reporting” (as such term is defined in Rule 13a-15(f) of the General Rules and Regulations under the Exchange Act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Rules</w:t>
      </w:r>
      <w:r>
        <w:rPr>
          <w:rFonts w:ascii="Times New Roman" w:cs="Times New Roman" w:eastAsia="Times New Roman" w:hAnsi="Times New Roman"/>
          <w:sz w:val="22"/>
          <w:szCs w:val="22"/>
          <w:color w:val="auto"/>
        </w:rPr>
        <w:t>”)) that complies with the requirements of the Exchange Act and has been designed by their respective principal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Prospectus,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92"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63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0584"/>
          </w:cols>
          <w:pgMar w:left="976" w:top="1422" w:right="339" w:bottom="1440" w:gutter="0" w:footer="0" w:header="0"/>
        </w:sectPr>
      </w:pPr>
    </w:p>
    <w:bookmarkStart w:id="73" w:name="page74"/>
    <w:bookmarkEnd w:id="73"/>
    <w:p>
      <w:pPr>
        <w:jc w:val="both"/>
        <w:ind w:left="-8" w:firstLine="656"/>
        <w:spacing w:after="0" w:line="258" w:lineRule="auto"/>
        <w:tabs>
          <w:tab w:leader="none" w:pos="1283"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Except as otherwise described in the Prospectus, and except as would not, individually or in the aggregate, result in a Material Adverse Change (i) neither the Company nor any of its subsidiaries are, and at all times since January 1, 2019 were not,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21"/>
          <w:szCs w:val="21"/>
          <w:b w:val="1"/>
          <w:bCs w:val="1"/>
          <w:u w:val="single" w:color="auto"/>
          <w:color w:val="auto"/>
        </w:rPr>
        <w:t>Materials of Environmental Concern</w:t>
      </w:r>
      <w:r>
        <w:rPr>
          <w:rFonts w:ascii="Times New Roman" w:cs="Times New Roman" w:eastAsia="Times New Roman" w:hAnsi="Times New Roman"/>
          <w:sz w:val="21"/>
          <w:szCs w:val="21"/>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21"/>
          <w:szCs w:val="21"/>
          <w:b w:val="1"/>
          <w:bCs w:val="1"/>
          <w:u w:val="single" w:color="auto"/>
          <w:color w:val="auto"/>
        </w:rPr>
        <w:t>Environmental Laws</w:t>
      </w:r>
      <w:r>
        <w:rPr>
          <w:rFonts w:ascii="Times New Roman" w:cs="Times New Roman" w:eastAsia="Times New Roman" w:hAnsi="Times New Roman"/>
          <w:sz w:val="21"/>
          <w:szCs w:val="21"/>
          <w:color w:val="auto"/>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cs="Times New Roman" w:eastAsia="Times New Roman" w:hAnsi="Times New Roman"/>
          <w:sz w:val="21"/>
          <w:szCs w:val="21"/>
          <w:b w:val="1"/>
          <w:bCs w:val="1"/>
          <w:u w:val="single" w:color="auto"/>
          <w:color w:val="auto"/>
        </w:rPr>
        <w:t>Environmental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Claims</w:t>
      </w:r>
      <w:r>
        <w:rPr>
          <w:rFonts w:ascii="Times New Roman" w:cs="Times New Roman" w:eastAsia="Times New Roman" w:hAnsi="Times New Roman"/>
          <w:sz w:val="21"/>
          <w:szCs w:val="21"/>
          <w:color w:val="auto"/>
        </w:rPr>
        <w:t>”), pending or, to the Company’s knowledge, threatened against the Company or any of its subsidiaries or any person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entity whose liability for any Environmental Claim the Company or any of its subsidiaries has retained or assumed either contractually or by operation of law which it is reasonably believed would impose monetary sanctions of $100,000 or more; and</w:t>
      </w:r>
    </w:p>
    <w:p>
      <w:pPr>
        <w:spacing w:after="0" w:line="13" w:lineRule="exact"/>
        <w:rPr>
          <w:rFonts w:ascii="Times New Roman" w:cs="Times New Roman" w:eastAsia="Times New Roman" w:hAnsi="Times New Roman"/>
          <w:sz w:val="21"/>
          <w:szCs w:val="21"/>
          <w:color w:val="auto"/>
        </w:rPr>
      </w:pPr>
    </w:p>
    <w:p>
      <w:pPr>
        <w:jc w:val="both"/>
        <w:ind w:left="-8" w:firstLine="8"/>
        <w:spacing w:after="0" w:line="259" w:lineRule="auto"/>
        <w:tabs>
          <w:tab w:leader="none" w:pos="38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best of the Company’s knowledge, there are no present actions, and at all times since January 1, 2019 there have not been any,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except in the case of clause (i) or (ii) where such noncompliance, violation, liability or other obligation would not, individually or in the aggregate, reasonably be expected to have a Material Adverse Change.</w:t>
      </w:r>
    </w:p>
    <w:p>
      <w:pPr>
        <w:spacing w:after="0" w:line="176" w:lineRule="exact"/>
        <w:rPr>
          <w:rFonts w:ascii="Times New Roman" w:cs="Times New Roman" w:eastAsia="Times New Roman" w:hAnsi="Times New Roman"/>
          <w:sz w:val="21"/>
          <w:szCs w:val="21"/>
          <w:color w:val="auto"/>
        </w:rPr>
      </w:pPr>
    </w:p>
    <w:p>
      <w:pPr>
        <w:jc w:val="both"/>
        <w:ind w:left="-8" w:firstLine="656"/>
        <w:spacing w:after="0" w:line="253" w:lineRule="auto"/>
        <w:tabs>
          <w:tab w:leader="none" w:pos="128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Except as otherwise disclosed in the Registration Statement or the Prospectus, the Company and its subsidiaries own or possess the valid rights of use under all (i) material patents, patent applications, trademarks, trademark registrations, service marks, service mark registrations, Internet domain name registrations, copyrights, copyright registrations, licenses and trade secret rights (“</w:t>
      </w:r>
      <w:r>
        <w:rPr>
          <w:rFonts w:ascii="Times New Roman" w:cs="Times New Roman" w:eastAsia="Times New Roman" w:hAnsi="Times New Roman"/>
          <w:sz w:val="22"/>
          <w:szCs w:val="22"/>
          <w:b w:val="1"/>
          <w:bCs w:val="1"/>
          <w:u w:val="single" w:color="auto"/>
          <w:color w:val="auto"/>
        </w:rPr>
        <w:t>Intellectual Property Rights</w:t>
      </w:r>
      <w:r>
        <w:rPr>
          <w:rFonts w:ascii="Times New Roman" w:cs="Times New Roman" w:eastAsia="Times New Roman" w:hAnsi="Times New Roman"/>
          <w:sz w:val="22"/>
          <w:szCs w:val="22"/>
          <w:color w:val="auto"/>
        </w:rPr>
        <w:t>”) and (ii) material inventions, software, works of authorships, trademarks, service marks, trade names, databases,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5512" w:hanging="130"/>
        <w:spacing w:after="0"/>
        <w:tabs>
          <w:tab w:leader="none" w:pos="551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ectPr>
          <w:pgSz w:w="11900" w:h="16838" w:orient="portrait"/>
          <w:cols w:equalWidth="0" w:num="1">
            <w:col w:w="11232"/>
          </w:cols>
          <w:pgMar w:left="328" w:top="1422" w:right="339" w:bottom="1440"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22"/>
          <w:szCs w:val="22"/>
          <w:color w:val="auto"/>
        </w:rPr>
        <w:t>formulae, know how, Internet domain names and other intellectual property (including trade secrets and other unpatented and/or unpatentable proprietary confidential information, systems, or procedures) (collectively, “</w:t>
      </w:r>
      <w:r>
        <w:rPr>
          <w:rFonts w:ascii="Times New Roman" w:cs="Times New Roman" w:eastAsia="Times New Roman" w:hAnsi="Times New Roman"/>
          <w:sz w:val="22"/>
          <w:szCs w:val="22"/>
          <w:b w:val="1"/>
          <w:bCs w:val="1"/>
          <w:u w:val="single" w:color="auto"/>
          <w:color w:val="auto"/>
        </w:rPr>
        <w:t>Intellectual Property Assets</w:t>
      </w:r>
      <w:r>
        <w:rPr>
          <w:rFonts w:ascii="Times New Roman" w:cs="Times New Roman" w:eastAsia="Times New Roman" w:hAnsi="Times New Roman"/>
          <w:sz w:val="22"/>
          <w:szCs w:val="22"/>
          <w:color w:val="auto"/>
        </w:rPr>
        <w:t>”) necessary to conduct their respective businesses as currently conducted, and as proposed to be conducted and described in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except as described in the Prospectus,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conduct their respective businesses as currently conducted, and as proposed to be conducted and described in the Prospectus. To the knowledge of the Company, the Company and its subsidiaries’ respective businesses as now conducted do not infringe, misappropriate, or otherwise violate, any valid and enforceable Intellectual Property Rights of any other person. Each license agreement described in the Prospectus under which the Company or its subsidiaries licenses Intellectual Property Rights used by the Company or its subsidiaries to conduct their respective businesses (each, an “</w:t>
      </w:r>
      <w:r>
        <w:rPr>
          <w:rFonts w:ascii="Times New Roman" w:cs="Times New Roman" w:eastAsia="Times New Roman" w:hAnsi="Times New Roman"/>
          <w:sz w:val="22"/>
          <w:szCs w:val="22"/>
          <w:b w:val="1"/>
          <w:bCs w:val="1"/>
          <w:color w:val="auto"/>
        </w:rPr>
        <w:t>Intellectual Property License</w:t>
      </w:r>
      <w:r>
        <w:rPr>
          <w:rFonts w:ascii="Times New Roman" w:cs="Times New Roman" w:eastAsia="Times New Roman" w:hAnsi="Times New Roman"/>
          <w:sz w:val="22"/>
          <w:szCs w:val="22"/>
          <w:color w:val="auto"/>
        </w:rPr>
        <w:t>”) are, to the knowledge of the Company,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Prospectus,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spacing w:after="0" w:line="216" w:lineRule="exact"/>
        <w:rPr>
          <w:sz w:val="20"/>
          <w:szCs w:val="20"/>
          <w:color w:val="auto"/>
        </w:rPr>
      </w:pPr>
    </w:p>
    <w:p>
      <w:pPr>
        <w:jc w:val="both"/>
        <w:ind w:firstLine="656"/>
        <w:spacing w:after="0" w:line="248" w:lineRule="auto"/>
        <w:tabs>
          <w:tab w:leader="none" w:pos="128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1240"/>
          </w:cols>
          <w:pgMar w:left="320" w:top="1422" w:right="339" w:bottom="1440" w:gutter="0" w:footer="0" w:header="0"/>
        </w:sectPr>
      </w:pPr>
    </w:p>
    <w:bookmarkStart w:id="75" w:name="page76"/>
    <w:bookmarkEnd w:id="75"/>
    <w:p>
      <w:pPr>
        <w:jc w:val="both"/>
        <w:ind w:right="20" w:firstLine="656"/>
        <w:spacing w:after="0" w:line="257"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Except for TD Cowen, there is no broker, finder or other party that is entitled to receive from the Company any brokerage or finder’s fee or other fee or commission as a result of any transactions contemplated by this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Outstanding Loans or Other Indebtedness</w:t>
      </w:r>
      <w:r>
        <w:rPr>
          <w:rFonts w:ascii="Times New Roman" w:cs="Times New Roman" w:eastAsia="Times New Roman" w:hAnsi="Times New Roman"/>
          <w:sz w:val="22"/>
          <w:szCs w:val="22"/>
          <w:color w:val="auto"/>
        </w:rPr>
        <w:t>. Except as described in the Prospectus, there are no outstanding loans, advances (except normal advances for business expenses in the ordinary course of business) or guarantees (except for letters of credit in the ordinary course of business) or indebtedness by the Company to or for the benefit of any of the officers or directors of the Company or any of the members of any of them.</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9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The Company has not relied upon TD Cowen or legal counsel for TD Cowen for any legal, tax or accounting advice in connection with the offering and sale of the Placement Shares.</w:t>
      </w:r>
    </w:p>
    <w:p>
      <w:pPr>
        <w:spacing w:after="0" w:line="143"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 Exemption</w:t>
      </w:r>
      <w:r>
        <w:rPr>
          <w:rFonts w:ascii="Times New Roman" w:cs="Times New Roman" w:eastAsia="Times New Roman" w:hAnsi="Times New Roman"/>
          <w:sz w:val="22"/>
          <w:szCs w:val="22"/>
          <w:color w:val="auto"/>
        </w:rPr>
        <w:t>. The Company meets the definition of the term “experienced issuer” specified in FINRA Rule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5110(j)(6).</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86" w:lineRule="exact"/>
        <w:rPr>
          <w:rFonts w:ascii="Times New Roman" w:cs="Times New Roman" w:eastAsia="Times New Roman" w:hAnsi="Times New Roman"/>
          <w:sz w:val="22"/>
          <w:szCs w:val="22"/>
          <w:color w:val="auto"/>
        </w:rPr>
      </w:pPr>
    </w:p>
    <w:p>
      <w:pPr>
        <w:jc w:val="both"/>
        <w:ind w:firstLine="656"/>
        <w:spacing w:after="0" w:line="259" w:lineRule="auto"/>
        <w:tabs>
          <w:tab w:leader="none" w:pos="99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Privacy Laws</w:t>
      </w:r>
      <w:r>
        <w:rPr>
          <w:rFonts w:ascii="Times New Roman" w:cs="Times New Roman" w:eastAsia="Times New Roman" w:hAnsi="Times New Roman"/>
          <w:sz w:val="21"/>
          <w:szCs w:val="21"/>
          <w:color w:val="auto"/>
        </w:rPr>
        <w:t>. Except as otherwise described in the Prospectus, and except as would not, individually or in the aggregate, result in a Material Adverse Change, the Company and each of its subsidiaries (i) are, and at all prior times since January 1, 2019 were, in compliance with all applicable data privacy and security laws and regulations, including, without limitation, as applicable, the Health Insurance Portability and Accountability Act (“</w:t>
      </w:r>
      <w:r>
        <w:rPr>
          <w:rFonts w:ascii="Times New Roman" w:cs="Times New Roman" w:eastAsia="Times New Roman" w:hAnsi="Times New Roman"/>
          <w:sz w:val="21"/>
          <w:szCs w:val="21"/>
          <w:b w:val="1"/>
          <w:bCs w:val="1"/>
          <w:u w:val="single" w:color="auto"/>
          <w:color w:val="auto"/>
        </w:rPr>
        <w:t>HIPAA</w:t>
      </w:r>
      <w:r>
        <w:rPr>
          <w:rFonts w:ascii="Times New Roman" w:cs="Times New Roman" w:eastAsia="Times New Roman" w:hAnsi="Times New Roman"/>
          <w:sz w:val="21"/>
          <w:szCs w:val="21"/>
          <w:color w:val="auto"/>
        </w:rPr>
        <w:t>”), as amended by the Health Information Technology for Economic and Clinical Health Act (42 U.S.C. Section 17921 et seq.), and the European Union General Data Protection Regulation (“</w:t>
      </w:r>
      <w:r>
        <w:rPr>
          <w:rFonts w:ascii="Times New Roman" w:cs="Times New Roman" w:eastAsia="Times New Roman" w:hAnsi="Times New Roman"/>
          <w:sz w:val="21"/>
          <w:szCs w:val="21"/>
          <w:b w:val="1"/>
          <w:bCs w:val="1"/>
          <w:u w:val="single" w:color="auto"/>
          <w:color w:val="auto"/>
        </w:rPr>
        <w:t>GDPR</w:t>
      </w:r>
      <w:r>
        <w:rPr>
          <w:rFonts w:ascii="Times New Roman" w:cs="Times New Roman" w:eastAsia="Times New Roman" w:hAnsi="Times New Roman"/>
          <w:sz w:val="21"/>
          <w:szCs w:val="21"/>
          <w:color w:val="auto"/>
        </w:rPr>
        <w:t>”) (EU 2016/679) (collectively, “</w:t>
      </w:r>
      <w:r>
        <w:rPr>
          <w:rFonts w:ascii="Times New Roman" w:cs="Times New Roman" w:eastAsia="Times New Roman" w:hAnsi="Times New Roman"/>
          <w:sz w:val="21"/>
          <w:szCs w:val="21"/>
          <w:b w:val="1"/>
          <w:bCs w:val="1"/>
          <w:u w:val="single" w:color="auto"/>
          <w:color w:val="auto"/>
        </w:rPr>
        <w:t>Privacy Laws</w:t>
      </w:r>
      <w:r>
        <w:rPr>
          <w:rFonts w:ascii="Times New Roman" w:cs="Times New Roman" w:eastAsia="Times New Roman" w:hAnsi="Times New Roman"/>
          <w:sz w:val="21"/>
          <w:szCs w:val="21"/>
          <w:color w:val="auto"/>
        </w:rPr>
        <w:t>”); and (ii) maintain and take appropriate steps reasonably designed to ensure compliance in all material respects by applicable persons, as required by Privacy Laws, with their policies and procedures relating to data privacy and security and the collection, storage, use, disclosure, handling and analysis of Personal Data (the “</w:t>
      </w:r>
      <w:r>
        <w:rPr>
          <w:rFonts w:ascii="Times New Roman" w:cs="Times New Roman" w:eastAsia="Times New Roman" w:hAnsi="Times New Roman"/>
          <w:sz w:val="21"/>
          <w:szCs w:val="21"/>
          <w:b w:val="1"/>
          <w:bCs w:val="1"/>
          <w:u w:val="single" w:color="auto"/>
          <w:color w:val="auto"/>
        </w:rPr>
        <w:t>Policies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u w:val="single" w:color="auto"/>
          <w:color w:val="auto"/>
        </w:rPr>
        <w:t>Personal Data</w:t>
      </w:r>
      <w:r>
        <w:rPr>
          <w:rFonts w:ascii="Times New Roman" w:cs="Times New Roman" w:eastAsia="Times New Roman" w:hAnsi="Times New Roman"/>
          <w:sz w:val="21"/>
          <w:szCs w:val="21"/>
          <w:color w:val="auto"/>
        </w:rPr>
        <w:t>” means (i) a natural person’s name, street address, telephone number, email address, photograph, social security number, individually identifiable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family, or permits the collection or analysis of any data related to an identified person’s health or sexual orientation. Except as otherwise described in the Prospectus, and except as would not, individually or in the aggregate, result in a Material Adverse Change, (i) none of such disclosures made or contained in any of the Policies have been in violation of any Privacy Laws; (ii) the execution, delivery and performance of this Agreement will not result in a breach of any Privacy Laws or Policies; and (iii) neither the Company nor any of its subsidiaries (A) has received written notice of any of their actual or potential liability under or relating to, or their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22"/>
          <w:szCs w:val="22"/>
          <w:color w:val="auto"/>
        </w:rPr>
        <w:t>actual or potential violation of, any of the Privacy Laws; (B) is currently conducting or paying for, in whole or in part, any investigation, remediation or other corrective action pursuant to any governmental or regulatory demand, judgment, or order under any Privacy Law; or (C) is a party to any order, decree, or agreement by, with, or under the authority of any governmental or regulatory authority that imposed any obligation or liability upon the Company or any of its subsidiaries under any Privacy Law.</w:t>
      </w:r>
    </w:p>
    <w:p>
      <w:pPr>
        <w:spacing w:after="0" w:line="179" w:lineRule="exact"/>
        <w:rPr>
          <w:sz w:val="20"/>
          <w:szCs w:val="20"/>
          <w:color w:val="auto"/>
        </w:rPr>
      </w:pPr>
    </w:p>
    <w:p>
      <w:pPr>
        <w:jc w:val="both"/>
        <w:ind w:firstLine="656"/>
        <w:spacing w:after="0" w:line="261" w:lineRule="auto"/>
        <w:tabs>
          <w:tab w:leader="none" w:pos="120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IT Systems</w:t>
      </w:r>
      <w:r>
        <w:rPr>
          <w:rFonts w:ascii="Times New Roman" w:cs="Times New Roman" w:eastAsia="Times New Roman" w:hAnsi="Times New Roman"/>
          <w:sz w:val="21"/>
          <w:szCs w:val="21"/>
          <w:color w:val="auto"/>
        </w:rPr>
        <w:t>. Except as otherwise described in the Prospectus, and except as would not, individually or in the aggregate, result in a Material Adverse Change, since January 1, 2019, (i)(x) there has been no security breach or other compromise of any of the Company’s and its subsidiaries’ information technology and computer systems, networks, hardware, software, Personal Data, or other confidential, regulated, or sensitive data (including any such data of their respective customers, employees, suppliers, vendors and any third party data maintained by or on behalf of them), equipment or technology (“</w:t>
      </w:r>
      <w:r>
        <w:rPr>
          <w:rFonts w:ascii="Times New Roman" w:cs="Times New Roman" w:eastAsia="Times New Roman" w:hAnsi="Times New Roman"/>
          <w:sz w:val="21"/>
          <w:szCs w:val="21"/>
          <w:b w:val="1"/>
          <w:bCs w:val="1"/>
          <w:u w:val="single" w:color="auto"/>
          <w:color w:val="auto"/>
        </w:rPr>
        <w:t>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Systems and Data</w:t>
      </w:r>
      <w:r>
        <w:rPr>
          <w:rFonts w:ascii="Times New Roman" w:cs="Times New Roman" w:eastAsia="Times New Roman" w:hAnsi="Times New Roman"/>
          <w:sz w:val="21"/>
          <w:szCs w:val="21"/>
          <w:color w:val="auto"/>
        </w:rPr>
        <w:t>”), and (y) the Company and its subsidiaries have not been notified of any security breach or compromise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IT Systems and Data, (ii) the Company and each of its subsidiaries have complied, and are presently in compliance with, all applicable laws and statutes or any applicable binding judgment, order, rule, or regulation of any court or arbitrator or governmental or regulatory authority, and all of the Company’s and its subsidiaries’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reasonable and appropriate backup and disaster recovery technology consistent with industry standards and practice.</w:t>
      </w:r>
    </w:p>
    <w:p>
      <w:pPr>
        <w:spacing w:after="0" w:line="169" w:lineRule="exact"/>
        <w:rPr>
          <w:rFonts w:ascii="Times New Roman" w:cs="Times New Roman" w:eastAsia="Times New Roman" w:hAnsi="Times New Roman"/>
          <w:sz w:val="21"/>
          <w:szCs w:val="21"/>
          <w:color w:val="auto"/>
        </w:rPr>
      </w:pPr>
    </w:p>
    <w:p>
      <w:pPr>
        <w:jc w:val="both"/>
        <w:ind w:firstLine="656"/>
        <w:spacing w:after="0" w:line="261" w:lineRule="auto"/>
        <w:tabs>
          <w:tab w:leader="none" w:pos="106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Export and Import Laws</w:t>
      </w:r>
      <w:r>
        <w:rPr>
          <w:rFonts w:ascii="Times New Roman" w:cs="Times New Roman" w:eastAsia="Times New Roman" w:hAnsi="Times New Roman"/>
          <w:sz w:val="21"/>
          <w:szCs w:val="21"/>
          <w:color w:val="auto"/>
        </w:rPr>
        <w:t>. Each of the Company and its subsidiaries, and, to the Company’s knowledge, each of their controlled affiliates and any director, officer, agent or employee of, or other person associated with or acting on behalf of the Company has acted at all times since January 1, 2019 in material compliance with applicable Export and Import Laws (as defined below) and there are no material claims, complaints, charges, investigations or proceedings pending or expected or, to the knowledge of the Company, threatened between the Company or any of its subsidiaries and any Governmental Authority under any Export or Import Laws. The term “</w:t>
      </w:r>
      <w:r>
        <w:rPr>
          <w:rFonts w:ascii="Times New Roman" w:cs="Times New Roman" w:eastAsia="Times New Roman" w:hAnsi="Times New Roman"/>
          <w:sz w:val="21"/>
          <w:szCs w:val="21"/>
          <w:b w:val="1"/>
          <w:bCs w:val="1"/>
          <w:u w:val="single" w:color="auto"/>
          <w:color w:val="auto"/>
        </w:rPr>
        <w:t>Export and Import Laws</w:t>
      </w:r>
      <w:r>
        <w:rPr>
          <w:rFonts w:ascii="Times New Roman" w:cs="Times New Roman" w:eastAsia="Times New Roman" w:hAnsi="Times New Roman"/>
          <w:sz w:val="21"/>
          <w:szCs w:val="21"/>
          <w:color w:val="auto"/>
        </w:rPr>
        <w:t>” means, as applicable to the Company,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75" w:lineRule="exact"/>
        <w:rPr>
          <w:rFonts w:ascii="Times New Roman" w:cs="Times New Roman" w:eastAsia="Times New Roman" w:hAnsi="Times New Roman"/>
          <w:sz w:val="21"/>
          <w:szCs w:val="21"/>
          <w:color w:val="auto"/>
        </w:rPr>
      </w:pPr>
    </w:p>
    <w:p>
      <w:pPr>
        <w:jc w:val="both"/>
        <w:ind w:firstLine="656"/>
        <w:spacing w:after="0" w:line="263" w:lineRule="auto"/>
        <w:tabs>
          <w:tab w:leader="none" w:pos="10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Labor Disputes</w:t>
      </w:r>
      <w:r>
        <w:rPr>
          <w:rFonts w:ascii="Times New Roman" w:cs="Times New Roman" w:eastAsia="Times New Roman" w:hAnsi="Times New Roman"/>
          <w:sz w:val="22"/>
          <w:szCs w:val="22"/>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singly or in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ectPr>
          <w:pgSz w:w="11900" w:h="16838" w:orient="portrait"/>
          <w:cols w:equalWidth="0" w:num="1">
            <w:col w:w="11240"/>
          </w:cols>
          <w:pgMar w:left="320" w:top="142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color w:val="auto"/>
        </w:rPr>
        <w:t>aggregate, would reasonably be expected to have a material adverse effect on the Company and its subsidiaries, taken as a whole.</w:t>
      </w:r>
    </w:p>
    <w:p>
      <w:pPr>
        <w:spacing w:after="0" w:line="231" w:lineRule="exact"/>
        <w:rPr>
          <w:sz w:val="20"/>
          <w:szCs w:val="20"/>
          <w:color w:val="auto"/>
        </w:rPr>
      </w:pPr>
    </w:p>
    <w:p>
      <w:pPr>
        <w:jc w:val="both"/>
        <w:ind w:firstLine="656"/>
        <w:spacing w:after="0" w:line="250" w:lineRule="auto"/>
        <w:tabs>
          <w:tab w:leader="none" w:pos="106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Compliance</w:t>
      </w:r>
      <w:r>
        <w:rPr>
          <w:rFonts w:ascii="Times New Roman" w:cs="Times New Roman" w:eastAsia="Times New Roman" w:hAnsi="Times New Roman"/>
          <w:sz w:val="22"/>
          <w:szCs w:val="22"/>
          <w:color w:val="auto"/>
        </w:rPr>
        <w:t>. Neither the FDA nor any other governmental entity has provided written or verbal notice to the Company that the Company’s platform or product candidates are in violation of the Federal Food, Drug, and Cosmetic Act (21 U.S.C. § 301 et seq.), the Public Health Service Act (42 U.S.C. § 201 et seq.) or similar federal, state or foreign laws (collectively, the “</w:t>
      </w:r>
      <w:r>
        <w:rPr>
          <w:rFonts w:ascii="Times New Roman" w:cs="Times New Roman" w:eastAsia="Times New Roman" w:hAnsi="Times New Roman"/>
          <w:sz w:val="22"/>
          <w:szCs w:val="22"/>
          <w:b w:val="1"/>
          <w:bCs w:val="1"/>
          <w:u w:val="single" w:color="auto"/>
          <w:color w:val="auto"/>
        </w:rPr>
        <w:t>Public Health Laws</w:t>
      </w:r>
      <w:r>
        <w:rPr>
          <w:rFonts w:ascii="Times New Roman" w:cs="Times New Roman" w:eastAsia="Times New Roman" w:hAnsi="Times New Roman"/>
          <w:sz w:val="22"/>
          <w:szCs w:val="22"/>
          <w:color w:val="auto"/>
        </w:rPr>
        <w:t>”), as applicable. Since January 1, 2021, the Company has not held any premarket clearance or approval granted by the FDA or any comparable marketing authorization by a similar governmental entity as required by applicable law before commercializing a medical device or a pharmaceutical product (“</w:t>
      </w:r>
      <w:r>
        <w:rPr>
          <w:rFonts w:ascii="Times New Roman" w:cs="Times New Roman" w:eastAsia="Times New Roman" w:hAnsi="Times New Roman"/>
          <w:sz w:val="22"/>
          <w:szCs w:val="22"/>
          <w:b w:val="1"/>
          <w:bCs w:val="1"/>
          <w:u w:val="single" w:color="auto"/>
          <w:color w:val="auto"/>
        </w:rPr>
        <w:t>Regulatory Permits</w:t>
      </w:r>
      <w:r>
        <w:rPr>
          <w:rFonts w:ascii="Times New Roman" w:cs="Times New Roman" w:eastAsia="Times New Roman" w:hAnsi="Times New Roman"/>
          <w:sz w:val="22"/>
          <w:szCs w:val="22"/>
          <w:color w:val="auto"/>
        </w:rPr>
        <w:t>”). To the Company’s knowledge, no governmental entity has informed the Company that a Regulatory Permit is required for the Company to conduct its business as currently conducted.</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06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There is and has been no failure on the part of the Company or, to the Company’s knowledge, any of its directors or officers, in their capacities as such, to comply with any applicable provision of the Sarbanes-Oxley Act of 2002, as amended and the rules and regulations promulgated in connection therewith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9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Underwriting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Company acknowledges that TD Cowen and, for purposes of the opinions to be delivered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counsel to the Company and counsel to TD Cowen, will rely upon the accuracy and truthfulness of the foregoing representations and hereby consents to such reliance.</w:t>
      </w:r>
    </w:p>
    <w:p>
      <w:pPr>
        <w:spacing w:after="0" w:line="167"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TD Cowen that:</w:t>
      </w:r>
    </w:p>
    <w:p>
      <w:pPr>
        <w:spacing w:after="0" w:line="220" w:lineRule="exact"/>
        <w:rPr>
          <w:sz w:val="20"/>
          <w:szCs w:val="20"/>
          <w:color w:val="auto"/>
        </w:rPr>
      </w:pPr>
    </w:p>
    <w:p>
      <w:pPr>
        <w:jc w:val="both"/>
        <w:ind w:firstLine="656"/>
        <w:spacing w:after="0" w:line="260" w:lineRule="auto"/>
        <w:tabs>
          <w:tab w:leader="none" w:pos="1293"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Amendments</w:t>
      </w:r>
      <w:r>
        <w:rPr>
          <w:rFonts w:ascii="Times New Roman" w:cs="Times New Roman" w:eastAsia="Times New Roman" w:hAnsi="Times New Roman"/>
          <w:sz w:val="21"/>
          <w:szCs w:val="21"/>
          <w:color w:val="auto"/>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Placement Shares or the transactions contemplated hereby),</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prepare and file with the Commission, promptly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22"/>
          <w:szCs w:val="22"/>
          <w:color w:val="auto"/>
        </w:rPr>
        <w:t>upon TD Cowen’s request, any amendments or supplements to the Registration Statement or Prospectus that, in TD Cowen’s reasonable opinion, may be necessary or advisable in connection with the distribution of the Placement Shares by TD Cowen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of TD Cowen to make such request shall not relieve the Company of any obligation or liability hereunder, or affect TD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191" w:lineRule="exact"/>
        <w:rPr>
          <w:sz w:val="20"/>
          <w:szCs w:val="20"/>
          <w:color w:val="auto"/>
        </w:rPr>
      </w:pPr>
    </w:p>
    <w:p>
      <w:pPr>
        <w:jc w:val="both"/>
        <w:ind w:firstLine="656"/>
        <w:spacing w:after="0" w:line="251"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19 -</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the Company may delay the filing of any amendment or supplement, if in the judgment of the Company, it is in the best interest of the Company, during which time of delay TD Cowen shall be under no obligation to make any sales of Placement Shares hereunder.</w:t>
      </w:r>
    </w:p>
    <w:p>
      <w:pPr>
        <w:spacing w:after="0" w:line="179" w:lineRule="exact"/>
        <w:rPr>
          <w:sz w:val="20"/>
          <w:szCs w:val="20"/>
          <w:color w:val="auto"/>
        </w:rPr>
      </w:pPr>
    </w:p>
    <w:p>
      <w:pPr>
        <w:jc w:val="both"/>
        <w:ind w:firstLine="656"/>
        <w:spacing w:after="0" w:line="249"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in connection therewith to qualify as a foreign corporation or dealer in securities or file a general consent to service of process in any jurisdiction.</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to furnish any document (other than the Prospectus) to TD Cowen to the extent such document is available on EDGAR.</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of this Agreement, including filing fees (provided, however, that any fees or disbursements of counsel for TD Cowen in connection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50" w:lineRule="auto"/>
        <w:rPr>
          <w:sz w:val="20"/>
          <w:szCs w:val="20"/>
          <w:color w:val="auto"/>
        </w:rPr>
      </w:pPr>
      <w:r>
        <w:rPr>
          <w:rFonts w:ascii="Times New Roman" w:cs="Times New Roman" w:eastAsia="Times New Roman" w:hAnsi="Times New Roman"/>
          <w:sz w:val="22"/>
          <w:szCs w:val="22"/>
          <w:color w:val="auto"/>
        </w:rPr>
        <w:t>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$20,000 and (viii) the reasonable fees and disbursements of TD Cowen’s counsel in an amount not to exceed $75,000 in connection with the execution of this Agreement.</w:t>
      </w:r>
    </w:p>
    <w:p>
      <w:pPr>
        <w:spacing w:after="0" w:line="180" w:lineRule="exact"/>
        <w:rPr>
          <w:sz w:val="20"/>
          <w:szCs w:val="20"/>
          <w:color w:val="auto"/>
        </w:rPr>
      </w:pPr>
    </w:p>
    <w:p>
      <w:pPr>
        <w:ind w:left="960" w:hanging="304"/>
        <w:spacing w:after="0"/>
        <w:tabs>
          <w:tab w:leader="none" w:pos="9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Company will use the Net Proceeds as described in the Prospectus in the section entitled “Use 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Proceeds.”</w:t>
      </w:r>
    </w:p>
    <w:p>
      <w:pPr>
        <w:spacing w:after="0" w:line="207" w:lineRule="exact"/>
        <w:rPr>
          <w:rFonts w:ascii="Times New Roman" w:cs="Times New Roman" w:eastAsia="Times New Roman" w:hAnsi="Times New Roman"/>
          <w:sz w:val="21"/>
          <w:szCs w:val="21"/>
          <w:color w:val="auto"/>
        </w:rPr>
      </w:pPr>
    </w:p>
    <w:p>
      <w:pPr>
        <w:jc w:val="both"/>
        <w:ind w:firstLine="656"/>
        <w:spacing w:after="0" w:line="247" w:lineRule="auto"/>
        <w:tabs>
          <w:tab w:leader="none" w:pos="91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xml:space="preserve">. During the pendency of any Placement Notice given hereunder, and for three (3)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notice shall not be required in connection with the (i) issuance, grant or sale of Common Stock, options to purchase shares of Common Stock, restricted stock units, stock awards or other equity awards or Common Stock issuable upon the exercise or vesting of options or other equity awards pursuant to any stock option, stock bonus or other equity incentive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the issuance of any shares of Common Stock, or securities convertible into or exercisable for Common Stock, offered and sold in a privately negotiated transaction to vendors, customers or strategic partners, and otherwise conducted in a manner so as not to be integrated with the offering of the Placement Shares, or (v) the issuance of any shares of Common Stock issuable upon the exchange, conversion or redemption of securities or the exercise of warrants, options or other rights in effect or outstanding.</w:t>
      </w:r>
    </w:p>
    <w:p>
      <w:pPr>
        <w:spacing w:after="0" w:line="198"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81" w:lineRule="auto"/>
        <w:tabs>
          <w:tab w:leader="none" w:pos="129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Due Diligence Cooperation</w:t>
      </w:r>
      <w:r>
        <w:rPr>
          <w:rFonts w:ascii="Times New Roman" w:cs="Times New Roman" w:eastAsia="Times New Roman" w:hAnsi="Times New Roman"/>
          <w:sz w:val="21"/>
          <w:szCs w:val="21"/>
          <w:color w:val="auto"/>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p>
    <w:p>
      <w:pPr>
        <w:sectPr>
          <w:pgSz w:w="11900" w:h="16838" w:orient="portrait"/>
          <w:cols w:equalWidth="0" w:num="1">
            <w:col w:w="11240"/>
          </w:cols>
          <w:pgMar w:left="320" w:top="142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business hours and at the Company’s principal offices or virtually, as TD Cowen may reasonably request.</w:t>
      </w:r>
    </w:p>
    <w:p>
      <w:pPr>
        <w:spacing w:after="0" w:line="220" w:lineRule="exact"/>
        <w:rPr>
          <w:sz w:val="20"/>
          <w:szCs w:val="20"/>
          <w:color w:val="auto"/>
        </w:rPr>
      </w:pPr>
    </w:p>
    <w:p>
      <w:pPr>
        <w:jc w:val="both"/>
        <w:ind w:firstLine="656"/>
        <w:spacing w:after="0" w:line="263" w:lineRule="auto"/>
        <w:tabs>
          <w:tab w:leader="none" w:pos="128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Filings Relating to Placement of Placement Shares</w:t>
      </w:r>
      <w:r>
        <w:rPr>
          <w:rFonts w:ascii="Times New Roman" w:cs="Times New Roman" w:eastAsia="Times New Roman" w:hAnsi="Times New Roman"/>
          <w:sz w:val="21"/>
          <w:szCs w:val="21"/>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21"/>
          <w:szCs w:val="21"/>
          <w:b w:val="1"/>
          <w:bCs w:val="1"/>
          <w:u w:val="single" w:color="auto"/>
          <w:color w:val="auto"/>
        </w:rPr>
        <w:t>Filing Date</w:t>
      </w:r>
      <w:r>
        <w:rPr>
          <w:rFonts w:ascii="Times New Roman" w:cs="Times New Roman" w:eastAsia="Times New Roman" w:hAnsi="Times New Roman"/>
          <w:sz w:val="21"/>
          <w:szCs w:val="21"/>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169" w:lineRule="exact"/>
        <w:rPr>
          <w:rFonts w:ascii="Times New Roman" w:cs="Times New Roman" w:eastAsia="Times New Roman" w:hAnsi="Times New Roman"/>
          <w:sz w:val="21"/>
          <w:szCs w:val="21"/>
          <w:color w:val="auto"/>
        </w:rPr>
      </w:pPr>
    </w:p>
    <w:p>
      <w:pPr>
        <w:jc w:val="both"/>
        <w:ind w:firstLine="656"/>
        <w:spacing w:after="0" w:line="247" w:lineRule="auto"/>
        <w:tabs>
          <w:tab w:leader="none" w:pos="128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Bring-Down Dates; Certificate</w:t>
      </w:r>
      <w:r>
        <w:rPr>
          <w:rFonts w:ascii="Times New Roman" w:cs="Times New Roman" w:eastAsia="Times New Roman" w:hAnsi="Times New Roman"/>
          <w:sz w:val="22"/>
          <w:szCs w:val="22"/>
          <w:color w:val="auto"/>
        </w:rPr>
        <w:t xml:space="preserve">. On or prior to the First Delivery Date and, following the First Delivery Date, each time during the term of this Agreement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information “furnished” pursuant to Item 2.02 or 7.01 of Form 8-K) under the Exchange Act (each date of filing of one or more of the documents referred to in clauses (i) through (iv) shall be a “</w:t>
      </w:r>
      <w:r>
        <w:rPr>
          <w:rFonts w:ascii="Times New Roman" w:cs="Times New Roman" w:eastAsia="Times New Roman" w:hAnsi="Times New Roman"/>
          <w:sz w:val="22"/>
          <w:szCs w:val="22"/>
          <w:b w:val="1"/>
          <w:bCs w:val="1"/>
          <w:u w:val="single" w:color="auto"/>
          <w:color w:val="auto"/>
        </w:rPr>
        <w:t>Bring-Down Date</w:t>
      </w:r>
      <w:r>
        <w:rPr>
          <w:rFonts w:ascii="Times New Roman" w:cs="Times New Roman" w:eastAsia="Times New Roman" w:hAnsi="Times New Roman"/>
          <w:sz w:val="22"/>
          <w:szCs w:val="22"/>
          <w:color w:val="auto"/>
        </w:rPr>
        <w:t xml:space="preserve">”); the Company shall furnish TD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within three (3) Trading Days of any Bring-Down Date if requested by TD Cowen. The requirement to provide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then before the Company delivers the Placement Notice or TD Cowen sells any Placement Shares, the Company shall provide TD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dated the date of the Placement Notice.</w:t>
      </w:r>
    </w:p>
    <w:p>
      <w:pPr>
        <w:spacing w:after="0" w:line="183"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On or prior to the First Delivery Date and within three (3) Trading Days of each Bring-Down Date with respect to which the Company is obligated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p>
    <w:p>
      <w:pPr>
        <w:sectPr>
          <w:pgSz w:w="11900" w:h="16838" w:orient="portrait"/>
          <w:cols w:equalWidth="0" w:num="1">
            <w:col w:w="11240"/>
          </w:cols>
          <w:pgMar w:left="320" w:top="1422" w:right="339" w:bottom="1440" w:gutter="0" w:footer="0" w:header="0"/>
        </w:sectPr>
      </w:pPr>
    </w:p>
    <w:bookmarkStart w:id="82" w:name="page83"/>
    <w:bookmarkEnd w:id="8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 applicable, the Company shall cause to be furnished to TD Cowen a written opinion and negative assurance letter of Wilson Sonsini Goodrich &amp; Rosati, P.C.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Counsel</w:t>
      </w:r>
      <w:r>
        <w:rPr>
          <w:rFonts w:ascii="Times New Roman" w:cs="Times New Roman" w:eastAsia="Times New Roman" w:hAnsi="Times New Roman"/>
          <w:sz w:val="22"/>
          <w:szCs w:val="22"/>
          <w:color w:val="auto"/>
        </w:rPr>
        <w:t xml:space="preserve">”), or other counsel satisfactory to TD Cowen, in form and substance satisfactory to TD Cowen and its counsel, dated the date that such opinion is required to be delivered, modified, as necessary, to relate to the Registration Statement and the Prospectus as then amended or supplemented;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lieu of such opinion for subsequent Bring-Down Dates, counsel may furnish TD Cowen with a letter (a “</w:t>
      </w:r>
      <w:r>
        <w:rPr>
          <w:rFonts w:ascii="Times New Roman" w:cs="Times New Roman" w:eastAsia="Times New Roman" w:hAnsi="Times New Roman"/>
          <w:sz w:val="22"/>
          <w:szCs w:val="22"/>
          <w:b w:val="1"/>
          <w:bCs w:val="1"/>
          <w:u w:val="single" w:color="auto"/>
          <w:color w:val="auto"/>
        </w:rPr>
        <w:t>Reliance Letter</w:t>
      </w:r>
      <w:r>
        <w:rPr>
          <w:rFonts w:ascii="Times New Roman" w:cs="Times New Roman" w:eastAsia="Times New Roman" w:hAnsi="Times New Roman"/>
          <w:sz w:val="22"/>
          <w:szCs w:val="22"/>
          <w:color w:val="auto"/>
        </w:rPr>
        <w:t xml:space="preserve">”) to the effect that TD Cowen may rely on a prior opinion delivered under this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80" w:lineRule="exact"/>
        <w:rPr>
          <w:sz w:val="20"/>
          <w:szCs w:val="20"/>
          <w:color w:val="auto"/>
        </w:rPr>
      </w:pPr>
    </w:p>
    <w:p>
      <w:pPr>
        <w:jc w:val="both"/>
        <w:ind w:firstLine="656"/>
        <w:spacing w:after="0" w:line="261" w:lineRule="auto"/>
        <w:tabs>
          <w:tab w:leader="none" w:pos="95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 Opinion</w:t>
      </w:r>
      <w:r>
        <w:rPr>
          <w:rFonts w:ascii="Times New Roman" w:cs="Times New Roman" w:eastAsia="Times New Roman" w:hAnsi="Times New Roman"/>
          <w:sz w:val="21"/>
          <w:szCs w:val="21"/>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21"/>
          <w:szCs w:val="21"/>
          <w:u w:val="single" w:color="auto"/>
          <w:color w:val="auto"/>
        </w:rPr>
        <w:t>Exhibit 7(m)</w:t>
      </w:r>
      <w:r>
        <w:rPr>
          <w:rFonts w:ascii="Times New Roman" w:cs="Times New Roman" w:eastAsia="Times New Roman" w:hAnsi="Times New Roman"/>
          <w:sz w:val="21"/>
          <w:szCs w:val="21"/>
          <w:color w:val="auto"/>
        </w:rPr>
        <w:t xml:space="preserve"> for which no waiver is applicable, the Company shall cause to be furnished to TD Cowen a written opinion and negative assurance letter of the intellectual property counsel of the Company, or other counsel satisfactory to TD Cowen, including any other counsel subsequently hired by the Company with respect to the Company’s intellectual property matters (“</w:t>
      </w:r>
      <w:r>
        <w:rPr>
          <w:rFonts w:ascii="Times New Roman" w:cs="Times New Roman" w:eastAsia="Times New Roman" w:hAnsi="Times New Roman"/>
          <w:sz w:val="21"/>
          <w:szCs w:val="21"/>
          <w:b w:val="1"/>
          <w:bCs w:val="1"/>
          <w:u w:val="single" w:color="auto"/>
          <w:color w:val="auto"/>
        </w:rPr>
        <w:t>Company IP Counsel</w:t>
      </w:r>
      <w:r>
        <w:rPr>
          <w:rFonts w:ascii="Times New Roman" w:cs="Times New Roman" w:eastAsia="Times New Roman" w:hAnsi="Times New Roman"/>
          <w:sz w:val="21"/>
          <w:szCs w:val="21"/>
          <w:color w:val="auto"/>
        </w:rPr>
        <w:t xml:space="preserve">”), in form and substance satisfactory to TD Cowen and its counsel, dated the date that such opinion is required to be delivered, with respect to intellectual property matters, modified, as necessary, to relate to the Registration Statement and the Prospectus as then amended or supplemented;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in lieu of such opinion for subsequent Bring-Down Dates, counsel may furnish TD Cowen with a Reliance Letter to the effect that TD Cowen may rely on a prior opinion delivered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7(o)</w:t>
      </w:r>
      <w:r>
        <w:rPr>
          <w:rFonts w:ascii="Times New Roman" w:cs="Times New Roman" w:eastAsia="Times New Roman" w:hAnsi="Times New Roman"/>
          <w:sz w:val="21"/>
          <w:szCs w:val="21"/>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75" w:lineRule="exact"/>
        <w:rPr>
          <w:rFonts w:ascii="Times New Roman" w:cs="Times New Roman" w:eastAsia="Times New Roman" w:hAnsi="Times New Roman"/>
          <w:sz w:val="21"/>
          <w:szCs w:val="21"/>
          <w:color w:val="auto"/>
        </w:rPr>
      </w:pPr>
    </w:p>
    <w:p>
      <w:pPr>
        <w:jc w:val="both"/>
        <w:ind w:firstLine="656"/>
        <w:spacing w:after="0" w:line="247" w:lineRule="auto"/>
        <w:tabs>
          <w:tab w:leader="none" w:pos="96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 applicable, the Company shall cause its independent accountants to furnish TD Cowen letters (the “</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color w:val="auto"/>
        </w:rPr>
        <w:t>”), dated the date the Comfort Letter is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cs="Times New Roman" w:eastAsia="Times New Roman" w:hAnsi="Times New Roman"/>
          <w:sz w:val="22"/>
          <w:szCs w:val="22"/>
          <w:b w:val="1"/>
          <w:bCs w:val="1"/>
          <w:u w:val="single" w:color="auto"/>
          <w:color w:val="auto"/>
        </w:rPr>
        <w:t>Initial Comfort Letter</w:t>
      </w:r>
      <w:r>
        <w:rPr>
          <w:rFonts w:ascii="Times New Roman" w:cs="Times New Roman" w:eastAsia="Times New Roman" w:hAnsi="Times New Roman"/>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1240"/>
          </w:cols>
          <w:pgMar w:left="320" w:top="1422" w:right="339" w:bottom="1440" w:gutter="0" w:footer="0" w:header="0"/>
        </w:sectPr>
      </w:pPr>
    </w:p>
    <w:bookmarkStart w:id="83" w:name="page84"/>
    <w:bookmarkEnd w:id="83"/>
    <w:p>
      <w:pPr>
        <w:jc w:val="both"/>
        <w:ind w:left="-656" w:firstLine="656"/>
        <w:spacing w:after="0" w:line="253" w:lineRule="auto"/>
        <w:tabs>
          <w:tab w:leader="none" w:pos="6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Financial Officer’s Certificate</w:t>
      </w:r>
      <w:r>
        <w:rPr>
          <w:rFonts w:ascii="Times New Roman" w:cs="Times New Roman" w:eastAsia="Times New Roman" w:hAnsi="Times New Roman"/>
          <w:sz w:val="22"/>
          <w:szCs w:val="22"/>
          <w:color w:val="auto"/>
        </w:rPr>
        <w:t>. If requested by TD Cowen or its counsel, on or prior to the First Delivery Date and within three (3) Trading Days of each Bring-Down Date with respect to which the Company is obligated to deliver a certificate for which no waiver is applicable, the Company shall have delivered to TD Cowen a certificate executed by the Chief Financial Officer of the Company (“</w:t>
      </w:r>
      <w:r>
        <w:rPr>
          <w:rFonts w:ascii="Times New Roman" w:cs="Times New Roman" w:eastAsia="Times New Roman" w:hAnsi="Times New Roman"/>
          <w:sz w:val="22"/>
          <w:szCs w:val="22"/>
          <w:b w:val="1"/>
          <w:bCs w:val="1"/>
          <w:u w:val="single" w:color="auto"/>
          <w:color w:val="auto"/>
        </w:rPr>
        <w:t>CFO Certificate</w:t>
      </w:r>
      <w:r>
        <w:rPr>
          <w:rFonts w:ascii="Times New Roman" w:cs="Times New Roman" w:eastAsia="Times New Roman" w:hAnsi="Times New Roman"/>
          <w:sz w:val="22"/>
          <w:szCs w:val="22"/>
          <w:color w:val="auto"/>
        </w:rPr>
        <w:t>”), dated as of such date, in form and substance satisfactory to TD Cowen and its counsel.</w:t>
      </w:r>
    </w:p>
    <w:p>
      <w:pPr>
        <w:spacing w:after="0" w:line="178"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6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w:t>
      </w:r>
    </w:p>
    <w:p>
      <w:pPr>
        <w:spacing w:after="0" w:line="181" w:lineRule="exact"/>
        <w:rPr>
          <w:rFonts w:ascii="Times New Roman" w:cs="Times New Roman" w:eastAsia="Times New Roman" w:hAnsi="Times New Roman"/>
          <w:sz w:val="22"/>
          <w:szCs w:val="22"/>
          <w:color w:val="auto"/>
        </w:rPr>
      </w:pPr>
    </w:p>
    <w:p>
      <w:pPr>
        <w:ind w:left="-656" w:firstLine="656"/>
        <w:spacing w:after="0" w:line="271" w:lineRule="auto"/>
        <w:tabs>
          <w:tab w:leader="none" w:pos="63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6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94"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6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and Exchange Act</w:t>
      </w:r>
      <w:r>
        <w:rPr>
          <w:rFonts w:ascii="Times New Roman" w:cs="Times New Roman" w:eastAsia="Times New Roman" w:hAnsi="Times New Roman"/>
          <w:sz w:val="22"/>
          <w:szCs w:val="22"/>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the Prospectus and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0584"/>
          </w:cols>
          <w:pgMar w:left="976" w:top="1422" w:right="339" w:bottom="1440" w:gutter="0" w:footer="0" w:header="0"/>
        </w:sectPr>
      </w:pPr>
    </w:p>
    <w:bookmarkStart w:id="84" w:name="page85"/>
    <w:bookmarkEnd w:id="84"/>
    <w:p>
      <w:pPr>
        <w:ind w:left="-656" w:right="20" w:firstLine="656"/>
        <w:spacing w:after="0" w:line="271" w:lineRule="auto"/>
        <w:tabs>
          <w:tab w:leader="none" w:pos="63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its subsidiaries will use their best efforts to comply with all effective applicable provisions of the Sarbanes-Oxley Act.</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w:t>
      </w:r>
      <w:r>
        <w:rPr>
          <w:rFonts w:ascii="Times New Roman" w:cs="Times New Roman" w:eastAsia="Times New Roman" w:hAnsi="Times New Roman"/>
          <w:sz w:val="22"/>
          <w:szCs w:val="22"/>
          <w:color w:val="auto"/>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75"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63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Renewal</w:t>
      </w:r>
      <w:r>
        <w:rPr>
          <w:rFonts w:ascii="Times New Roman" w:cs="Times New Roman" w:eastAsia="Times New Roman" w:hAnsi="Times New Roman"/>
          <w:sz w:val="21"/>
          <w:szCs w:val="21"/>
          <w:color w:val="auto"/>
        </w:rPr>
        <w:t>. If immediately prior to the third anniversary (the “</w:t>
      </w:r>
      <w:r>
        <w:rPr>
          <w:rFonts w:ascii="Times New Roman" w:cs="Times New Roman" w:eastAsia="Times New Roman" w:hAnsi="Times New Roman"/>
          <w:sz w:val="21"/>
          <w:szCs w:val="21"/>
          <w:b w:val="1"/>
          <w:bCs w:val="1"/>
          <w:u w:val="single" w:color="auto"/>
          <w:color w:val="auto"/>
        </w:rPr>
        <w:t>Renewal Deadline</w:t>
      </w:r>
      <w:r>
        <w:rPr>
          <w:rFonts w:ascii="Times New Roman" w:cs="Times New Roman" w:eastAsia="Times New Roman" w:hAnsi="Times New Roman"/>
          <w:sz w:val="21"/>
          <w:szCs w:val="21"/>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69" w:lineRule="exact"/>
        <w:rPr>
          <w:sz w:val="20"/>
          <w:szCs w:val="20"/>
          <w:color w:val="auto"/>
        </w:rPr>
      </w:pPr>
    </w:p>
    <w:p>
      <w:pPr>
        <w:jc w:val="both"/>
        <w:ind w:left="-656" w:firstLine="656"/>
        <w:spacing w:after="0" w:line="253" w:lineRule="auto"/>
        <w:tabs>
          <w:tab w:leader="none" w:pos="6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TD Cowen’s Obligations</w:t>
      </w:r>
      <w:r>
        <w:rPr>
          <w:rFonts w:ascii="Times New Roman" w:cs="Times New Roman" w:eastAsia="Times New Roman" w:hAnsi="Times New Roman"/>
          <w:sz w:val="22"/>
          <w:szCs w:val="22"/>
          <w:color w:val="auto"/>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spacing w:after="0" w:line="179" w:lineRule="exact"/>
        <w:rPr>
          <w:sz w:val="20"/>
          <w:szCs w:val="20"/>
          <w:color w:val="auto"/>
        </w:rPr>
      </w:pPr>
    </w:p>
    <w:p>
      <w:pPr>
        <w:jc w:val="both"/>
        <w:ind w:left="-656" w:firstLine="656"/>
        <w:spacing w:after="0" w:line="263" w:lineRule="auto"/>
        <w:tabs>
          <w:tab w:leader="none" w:pos="63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65" w:lineRule="auto"/>
        <w:tabs>
          <w:tab w:leader="none" w:pos="63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Notices</w:t>
      </w:r>
      <w:r>
        <w:rPr>
          <w:rFonts w:ascii="Times New Roman" w:cs="Times New Roman" w:eastAsia="Times New Roman" w:hAnsi="Times New Roman"/>
          <w:sz w:val="21"/>
          <w:szCs w:val="21"/>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4864" w:hanging="130"/>
        <w:spacing w:after="0"/>
        <w:tabs>
          <w:tab w:leader="none" w:pos="486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0584"/>
          </w:cols>
          <w:pgMar w:left="976" w:top="1422" w:right="339" w:bottom="1440" w:gutter="0" w:footer="0" w:header="0"/>
        </w:sectPr>
      </w:pPr>
    </w:p>
    <w:bookmarkStart w:id="85" w:name="page86"/>
    <w:bookmarkEnd w:id="85"/>
    <w:p>
      <w:pPr>
        <w:jc w:val="both"/>
        <w:spacing w:after="0" w:line="250" w:lineRule="auto"/>
        <w:rPr>
          <w:sz w:val="20"/>
          <w:szCs w:val="20"/>
          <w:color w:val="auto"/>
        </w:rPr>
      </w:pPr>
      <w:r>
        <w:rPr>
          <w:rFonts w:ascii="Times New Roman" w:cs="Times New Roman" w:eastAsia="Times New Roman" w:hAnsi="Times New Roman"/>
          <w:sz w:val="22"/>
          <w:szCs w:val="22"/>
          <w:color w:val="auto"/>
        </w:rPr>
        <w:t>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0" w:lineRule="exact"/>
        <w:rPr>
          <w:sz w:val="20"/>
          <w:szCs w:val="20"/>
          <w:color w:val="auto"/>
        </w:rPr>
      </w:pPr>
    </w:p>
    <w:p>
      <w:pPr>
        <w:jc w:val="both"/>
        <w:ind w:firstLine="656"/>
        <w:spacing w:after="0" w:line="252"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Changes</w:t>
      </w:r>
      <w:r>
        <w:rPr>
          <w:rFonts w:ascii="Times New Roman" w:cs="Times New Roman" w:eastAsia="Times New Roman" w:hAnsi="Times New Roman"/>
          <w:sz w:val="21"/>
          <w:szCs w:val="21"/>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69"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Counsel Legal Opinion</w:t>
      </w:r>
      <w:r>
        <w:rPr>
          <w:rFonts w:ascii="Times New Roman" w:cs="Times New Roman" w:eastAsia="Times New Roman" w:hAnsi="Times New Roman"/>
          <w:sz w:val="22"/>
          <w:szCs w:val="22"/>
          <w:color w:val="auto"/>
        </w:rPr>
        <w:t xml:space="preserve">. TD Cowen shall have received the opinion and negative assurance letter of Company Counsel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opinion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IP Counsel Legal Opinion</w:t>
      </w:r>
      <w:r>
        <w:rPr>
          <w:rFonts w:ascii="Times New Roman" w:cs="Times New Roman" w:eastAsia="Times New Roman" w:hAnsi="Times New Roman"/>
          <w:sz w:val="22"/>
          <w:szCs w:val="22"/>
          <w:color w:val="auto"/>
        </w:rPr>
        <w:t>. TD Cowen shall have received the opinion of Company IP Counsel required to be delivered pursuant to Section 7(o) on or before the date on which such delivery of such opinion is required pursuant to Section 7(o).</w:t>
      </w:r>
    </w:p>
    <w:p>
      <w:pPr>
        <w:spacing w:after="0" w:line="172" w:lineRule="exact"/>
        <w:rPr>
          <w:rFonts w:ascii="Times New Roman" w:cs="Times New Roman" w:eastAsia="Times New Roman" w:hAnsi="Times New Roman"/>
          <w:sz w:val="22"/>
          <w:szCs w:val="22"/>
          <w:color w:val="auto"/>
        </w:rPr>
      </w:pPr>
    </w:p>
    <w:p>
      <w:pPr>
        <w:jc w:val="both"/>
        <w:ind w:firstLine="656"/>
        <w:spacing w:after="0" w:line="281" w:lineRule="auto"/>
        <w:tabs>
          <w:tab w:leader="none" w:pos="129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TD Cowen Counsel Legal Opinion</w:t>
      </w:r>
      <w:r>
        <w:rPr>
          <w:rFonts w:ascii="Times New Roman" w:cs="Times New Roman" w:eastAsia="Times New Roman" w:hAnsi="Times New Roman"/>
          <w:sz w:val="21"/>
          <w:szCs w:val="21"/>
          <w:color w:val="auto"/>
        </w:rPr>
        <w:t xml:space="preserve">. TD Cowen shall have received from Goodwin Procter LLP, counsel for TD Cowen, such opinion or opinions, on or before the date on which the delivery of the Company Counsel legal opinion is required pursuant to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 with respect to such matters as TD Cowen may reasonably require, and the Company shall have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240"/>
          </w:cols>
          <w:pgMar w:left="320" w:top="142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furnished to such counsel such documents as they request for enabling them to pass upon such matters.</w:t>
      </w:r>
    </w:p>
    <w:p>
      <w:pPr>
        <w:spacing w:after="0" w:line="220" w:lineRule="exact"/>
        <w:rPr>
          <w:sz w:val="20"/>
          <w:szCs w:val="20"/>
          <w:color w:val="auto"/>
        </w:rPr>
      </w:pPr>
    </w:p>
    <w:p>
      <w:pPr>
        <w:ind w:right="20" w:firstLine="656"/>
        <w:spacing w:after="0" w:line="271"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TD Cowen shall have received the Comfort Letter required to be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7(p)</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7(p)</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Certificate</w:t>
      </w:r>
      <w:r>
        <w:rPr>
          <w:rFonts w:ascii="Times New Roman" w:cs="Times New Roman" w:eastAsia="Times New Roman" w:hAnsi="Times New Roman"/>
          <w:sz w:val="22"/>
          <w:szCs w:val="22"/>
          <w:color w:val="auto"/>
        </w:rPr>
        <w:t xml:space="preserve">. TD Cowen shall have received the certificate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656"/>
        <w:spacing w:after="0" w:line="295" w:lineRule="auto"/>
        <w:tabs>
          <w:tab w:leader="none" w:pos="128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Secretary’s Certificate</w:t>
      </w:r>
      <w:r>
        <w:rPr>
          <w:rFonts w:ascii="Times New Roman" w:cs="Times New Roman" w:eastAsia="Times New Roman" w:hAnsi="Times New Roman"/>
          <w:sz w:val="21"/>
          <w:szCs w:val="21"/>
          <w:color w:val="auto"/>
        </w:rPr>
        <w:t>. On or prior to the First Delivery Date, TD Cowen shall have received a certificate, signed on behalf of the Company by its corporate secretary, in form and substance reasonably satisfactory to TD Cowen and its counsel.</w:t>
      </w:r>
    </w:p>
    <w:p>
      <w:pPr>
        <w:spacing w:after="0" w:line="135"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CFO Certificate</w:t>
      </w:r>
      <w:r>
        <w:rPr>
          <w:rFonts w:ascii="Times New Roman" w:cs="Times New Roman" w:eastAsia="Times New Roman" w:hAnsi="Times New Roman"/>
          <w:sz w:val="22"/>
          <w:szCs w:val="22"/>
          <w:color w:val="auto"/>
        </w:rPr>
        <w:t xml:space="preserve">. If requested by TD Cowen or its counsel, TD Cowen shall have received the CFO Certificate required to be delivered pursuant to </w:t>
      </w:r>
      <w:r>
        <w:rPr>
          <w:rFonts w:ascii="Times New Roman" w:cs="Times New Roman" w:eastAsia="Times New Roman" w:hAnsi="Times New Roman"/>
          <w:sz w:val="22"/>
          <w:szCs w:val="22"/>
          <w:u w:val="single" w:color="auto"/>
          <w:color w:val="auto"/>
        </w:rPr>
        <w:t>Section 7(q)</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7(q)</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Nasdaq.</w:t>
      </w:r>
    </w:p>
    <w:p>
      <w:pPr>
        <w:spacing w:after="0" w:line="21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the Company shall have furnished to TD Cowen such appropriate further information, certificates and documents as TD Cowen may have reasonably requested and which are customarily furnished by an issuer of securities in connection with a securities offering.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Listing</w:t>
      </w:r>
      <w:r>
        <w:rPr>
          <w:rFonts w:ascii="Times New Roman" w:cs="Times New Roman" w:eastAsia="Times New Roman" w:hAnsi="Times New Roman"/>
          <w:sz w:val="22"/>
          <w:szCs w:val="22"/>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TD Cowen to terminate this Agreement pursuant to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1240"/>
          </w:cols>
          <w:pgMar w:left="320" w:top="1422" w:right="339" w:bottom="1440" w:gutter="0" w:footer="0" w:header="0"/>
        </w:sectPr>
      </w:pPr>
    </w:p>
    <w:bookmarkStart w:id="87" w:name="page88"/>
    <w:bookmarkEnd w:id="87"/>
    <w:p>
      <w:pPr>
        <w:ind w:left="644" w:hanging="644"/>
        <w:spacing w:after="0"/>
        <w:tabs>
          <w:tab w:leader="none" w:pos="6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56" w:firstLine="656"/>
        <w:spacing w:after="0" w:line="259" w:lineRule="auto"/>
        <w:tabs>
          <w:tab w:leader="none" w:pos="63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Indemnification</w:t>
      </w:r>
      <w:r>
        <w:rPr>
          <w:rFonts w:ascii="Times New Roman" w:cs="Times New Roman" w:eastAsia="Times New Roman" w:hAnsi="Times New Roman"/>
          <w:sz w:val="21"/>
          <w:szCs w:val="21"/>
          <w:color w:val="auto"/>
        </w:rPr>
        <w:t xml:space="preserve">. The Company agrees to indemnify and hold harmless TD Cowen, the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documented investigative, legal and other expenses incurred in connection with, and any and all amounts paid in settlement (in accordance with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in the light of (other than in the case of the Registration Statement) the circumstances under which they were made,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indemnity agreement shall not apply to the extent that such loss, claim, liability, expense or damage arises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in the eighth paragraph under the caption “Plan of Distribution” in the Prospectus. This indemnity agreement will be in addition to any liability that the Company might otherwise have.</w:t>
      </w:r>
    </w:p>
    <w:p>
      <w:pPr>
        <w:spacing w:after="0" w:line="179" w:lineRule="exact"/>
        <w:rPr>
          <w:rFonts w:ascii="Times New Roman" w:cs="Times New Roman" w:eastAsia="Times New Roman" w:hAnsi="Times New Roman"/>
          <w:sz w:val="21"/>
          <w:szCs w:val="21"/>
          <w:color w:val="auto"/>
        </w:rPr>
      </w:pPr>
    </w:p>
    <w:p>
      <w:pPr>
        <w:jc w:val="both"/>
        <w:ind w:left="-656" w:firstLine="656"/>
        <w:spacing w:after="0" w:line="250" w:lineRule="auto"/>
        <w:tabs>
          <w:tab w:leader="none" w:pos="63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TD Cowen Indemnification</w:t>
      </w:r>
      <w:r>
        <w:rPr>
          <w:rFonts w:ascii="Times New Roman" w:cs="Times New Roman" w:eastAsia="Times New Roman" w:hAnsi="Times New Roman"/>
          <w:sz w:val="22"/>
          <w:szCs w:val="22"/>
          <w:color w:val="auto"/>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93" w:lineRule="exact"/>
        <w:rPr>
          <w:rFonts w:ascii="Times New Roman" w:cs="Times New Roman" w:eastAsia="Times New Roman" w:hAnsi="Times New Roman"/>
          <w:sz w:val="22"/>
          <w:szCs w:val="22"/>
          <w:color w:val="auto"/>
        </w:rPr>
      </w:pPr>
    </w:p>
    <w:p>
      <w:pPr>
        <w:ind w:left="-656" w:firstLine="656"/>
        <w:spacing w:after="0" w:line="271" w:lineRule="auto"/>
        <w:tabs>
          <w:tab w:leader="none" w:pos="6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Any party that proposes to assert the right to be indemnified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will, promptly after receipt of notice of commencement of any action against such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0584"/>
          </w:cols>
          <w:pgMar w:left="976" w:top="1422" w:right="339" w:bottom="1440" w:gutter="0" w:footer="0" w:header="0"/>
        </w:sectPr>
      </w:pPr>
    </w:p>
    <w:bookmarkStart w:id="88" w:name="page89"/>
    <w:bookmarkEnd w:id="88"/>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party in respect of which a claim is to be made against an indemnifying party or parties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and (ii) any liability that it may have to any indemnified party under the foregoing provision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201" w:lineRule="exact"/>
        <w:rPr>
          <w:sz w:val="20"/>
          <w:szCs w:val="20"/>
          <w:color w:val="auto"/>
        </w:rPr>
      </w:pPr>
    </w:p>
    <w:p>
      <w:pPr>
        <w:ind w:right="20" w:firstLine="656"/>
        <w:spacing w:after="0" w:line="271" w:lineRule="auto"/>
        <w:tabs>
          <w:tab w:leader="none" w:pos="12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In order to provide for just and equitable contribution in circumstances in which the indemnification provided for in the foregoing paragraphs of this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8" w:lineRule="auto"/>
        <w:rPr>
          <w:sz w:val="20"/>
          <w:szCs w:val="20"/>
          <w:color w:val="auto"/>
        </w:rPr>
      </w:pP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is applicable in accordance with its terms but for any reason is held to be unavailable from the Company or TD Cowen, the Company and TD Cowen will contribute to the total losses, claims, liabilities, expenses and damages (including any documented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shall be deemed to include, for the purpose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documented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hereof. Notwithstanding the foregoing provisions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will notify any such party or parties from whom contribution may be sought, but the omission to so notify will not relieve that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- 30 -</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parties from whom contribution may be sought from any other obligation it or they may have under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w:t>
      </w:r>
    </w:p>
    <w:p>
      <w:pPr>
        <w:spacing w:after="0" w:line="179" w:lineRule="exact"/>
        <w:rPr>
          <w:sz w:val="20"/>
          <w:szCs w:val="20"/>
          <w:color w:val="auto"/>
        </w:rPr>
      </w:pPr>
    </w:p>
    <w:p>
      <w:pPr>
        <w:jc w:val="both"/>
        <w:ind w:firstLine="656"/>
        <w:spacing w:after="0" w:line="253"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p>
    <w:p>
      <w:pPr>
        <w:spacing w:after="0" w:line="220" w:lineRule="exact"/>
        <w:rPr>
          <w:sz w:val="20"/>
          <w:szCs w:val="20"/>
          <w:color w:val="auto"/>
        </w:rPr>
      </w:pPr>
    </w:p>
    <w:p>
      <w:pPr>
        <w:ind w:left="1300" w:hanging="644"/>
        <w:spacing w:after="0"/>
        <w:tabs>
          <w:tab w:leader="none" w:pos="130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TD Cowen shall have the right by giving notice as hereinafter specified at any time to terminate this Agreement if</w:t>
      </w:r>
    </w:p>
    <w:p>
      <w:pPr>
        <w:spacing w:after="0" w:line="39" w:lineRule="exact"/>
        <w:rPr>
          <w:rFonts w:ascii="Times New Roman" w:cs="Times New Roman" w:eastAsia="Times New Roman" w:hAnsi="Times New Roman"/>
          <w:sz w:val="21"/>
          <w:szCs w:val="21"/>
          <w:color w:val="auto"/>
        </w:rPr>
      </w:pPr>
    </w:p>
    <w:p>
      <w:pPr>
        <w:jc w:val="both"/>
        <w:ind w:firstLine="8"/>
        <w:spacing w:after="0" w:line="246" w:lineRule="auto"/>
        <w:tabs>
          <w:tab w:leader="none" w:pos="26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Material Adverse Change, or any development that could reasonably be expected to result in a Material Adverse Change has occurred that, in the reasonable judgment of TD Cowen, materially impairs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(Applicable Law; Consent to Jurisdiction)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(Waiver of Jury Trial) hereof shall remain in full force and effect notwithstanding such termination. If TD Cowen elects to terminate this Agreement as provided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TD Cowen shall provide the required notice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(Notices).</w:t>
      </w:r>
    </w:p>
    <w:p>
      <w:pPr>
        <w:spacing w:after="0" w:line="190"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ectPr>
          <w:pgSz w:w="11900" w:h="16838" w:orient="portrait"/>
          <w:cols w:equalWidth="0" w:num="1">
            <w:col w:w="11240"/>
          </w:cols>
          <w:pgMar w:left="320" w:top="1422" w:right="339" w:bottom="1440" w:gutter="0" w:footer="0" w:header="0"/>
        </w:sectPr>
      </w:pPr>
    </w:p>
    <w:bookmarkStart w:id="91" w:name="page92"/>
    <w:bookmarkEnd w:id="91"/>
    <w:p>
      <w:pPr>
        <w:jc w:val="both"/>
        <w:ind w:left="-656" w:firstLine="656"/>
        <w:spacing w:after="0" w:line="256" w:lineRule="auto"/>
        <w:tabs>
          <w:tab w:leader="none" w:pos="63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earlier terminated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this Agreement shall automatically terminate upon the issuance and sale of all of the Placement Shares through TD Cowen on the terms and subject to the conditions set forth herein;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shall remain in full force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notwithstanding such termination.</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 or (d)</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shall remain in full force and effect.</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6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such termination shall not be effective until the close of business on the date of receipt of such notice by TD Cowen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the Company, as the case may be. If such termination shall occur prior to the Settlement Date for any sale of Placement Shares, such Placement Shares shall settle in accordance with the provisions of this Agreement.</w:t>
      </w:r>
    </w:p>
    <w:p>
      <w:pPr>
        <w:spacing w:after="0" w:line="179" w:lineRule="exact"/>
        <w:rPr>
          <w:sz w:val="20"/>
          <w:szCs w:val="20"/>
          <w:color w:val="auto"/>
        </w:rPr>
      </w:pPr>
    </w:p>
    <w:p>
      <w:pPr>
        <w:jc w:val="both"/>
        <w:ind w:left="-656" w:firstLine="656"/>
        <w:spacing w:after="0" w:line="260" w:lineRule="auto"/>
        <w:tabs>
          <w:tab w:leader="none" w:pos="64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or other communications required or permitted to be given by any party to any other party pursuant to the terms of this Agreement shall be in writing, unless otherwise specified in this Agreement, and if sent to TD Cowen, shall be delivered to TD Cowen at Cowen and Company, LLC, 599 Lexington Avenue, New York, NY 10022, fax no. 646-562-1130, attention: General Counsel, email: bradley.friedman@cowen.com; or if sent to the Company, shall be delivered to the address of the Company as set forth in the Registration Statement, attention: General Counsel, email: mattm@nautilus.bio, with a copy (which shall not constitute notice) to Wilson Sonsini Goodrich &amp; Rosati, P.C., attention: Zachary Myers, email: zmyers@wsgr.com.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w:t>
      </w:r>
      <w:r>
        <w:rPr>
          <w:rFonts w:ascii="Times New Roman" w:cs="Times New Roman" w:eastAsia="Times New Roman" w:hAnsi="Times New Roman"/>
          <w:sz w:val="21"/>
          <w:szCs w:val="21"/>
          <w:b w:val="1"/>
          <w:bCs w:val="1"/>
          <w:u w:val="single" w:color="auto"/>
          <w:color w:val="auto"/>
        </w:rPr>
        <w:t>Electronic Notice</w:t>
      </w:r>
      <w:r>
        <w:rPr>
          <w:rFonts w:ascii="Times New Roman" w:cs="Times New Roman" w:eastAsia="Times New Roman" w:hAnsi="Times New Roman"/>
          <w:sz w:val="21"/>
          <w:szCs w:val="21"/>
          <w:color w:val="auto"/>
        </w:rPr>
        <w:t>”), at the time the party sending Electronic Notice receives verification of receipt by the receiving party, other than via auto-reply. For purposes of this Agreement, “</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shall mean any day on which the Nasdaq and commercial banks in the City of New York are open for business.</w:t>
      </w:r>
    </w:p>
    <w:p>
      <w:pPr>
        <w:spacing w:after="0" w:line="179" w:lineRule="exact"/>
        <w:rPr>
          <w:rFonts w:ascii="Times New Roman" w:cs="Times New Roman" w:eastAsia="Times New Roman" w:hAnsi="Times New Roman"/>
          <w:sz w:val="21"/>
          <w:szCs w:val="21"/>
          <w:color w:val="auto"/>
        </w:rPr>
      </w:pPr>
    </w:p>
    <w:p>
      <w:pPr>
        <w:jc w:val="both"/>
        <w:ind w:left="-656" w:firstLine="656"/>
        <w:spacing w:after="0" w:line="253" w:lineRule="auto"/>
        <w:tabs>
          <w:tab w:leader="none" w:pos="6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TD Cowen and their respective successors and the affiliates, controlling persons, officers and directors referred to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0584"/>
          </w:cols>
          <w:pgMar w:left="976" w:top="1422"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TD Cowen may assign its rights and obligations hereunder to an affiliate of TD Cowen without obtaining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consent.</w:t>
      </w:r>
    </w:p>
    <w:p>
      <w:pPr>
        <w:spacing w:after="0" w:line="176" w:lineRule="exact"/>
        <w:rPr>
          <w:sz w:val="20"/>
          <w:szCs w:val="20"/>
          <w:color w:val="auto"/>
        </w:rPr>
      </w:pPr>
    </w:p>
    <w:p>
      <w:pPr>
        <w:jc w:val="both"/>
        <w:ind w:firstLine="656"/>
        <w:spacing w:after="0" w:line="257"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Share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72"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 Severability</w:t>
      </w:r>
      <w:r>
        <w:rPr>
          <w:rFonts w:ascii="Times New Roman" w:cs="Times New Roman" w:eastAsia="Times New Roman" w:hAnsi="Times New Roman"/>
          <w:sz w:val="21"/>
          <w:szCs w:val="21"/>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Except as provided in Section 12, neither this Agreement nor any term hereof may be amended except pursuant to a written instrument executed by the Company and TD Cowen;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each party hereto may amend the list of individuals appearing under such party’s name on Schedule 2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5"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Consent to Jurisdiction</w:t>
      </w:r>
      <w:r>
        <w:rPr>
          <w:rFonts w:ascii="Times New Roman" w:cs="Times New Roman" w:eastAsia="Times New Roman" w:hAnsi="Times New Roman"/>
          <w:sz w:val="22"/>
          <w:szCs w:val="22"/>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Company and TD Cowen each hereby irrevocably waives any right it may have to a trial by jury in respect of any claim based upon or arising out of this Agreement or any transaction contemplated hereby.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33 -</w:t>
      </w:r>
    </w:p>
    <w:p>
      <w:pPr>
        <w:sectPr>
          <w:pgSz w:w="11900" w:h="16838" w:orient="portrait"/>
          <w:cols w:equalWidth="0" w:num="1">
            <w:col w:w="11240"/>
          </w:cols>
          <w:pgMar w:left="320" w:top="1422" w:right="339" w:bottom="1440" w:gutter="0" w:footer="0" w:header="0"/>
        </w:sectPr>
      </w:pPr>
    </w:p>
    <w:bookmarkStart w:id="93" w:name="page94"/>
    <w:bookmarkEnd w:id="93"/>
    <w:p>
      <w:pPr>
        <w:ind w:left="644" w:hanging="644"/>
        <w:spacing w:after="0"/>
        <w:tabs>
          <w:tab w:leader="none" w:pos="64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acknowledges and agrees that:</w:t>
      </w:r>
    </w:p>
    <w:p>
      <w:pPr>
        <w:spacing w:after="0" w:line="224" w:lineRule="exact"/>
        <w:rPr>
          <w:sz w:val="20"/>
          <w:szCs w:val="20"/>
          <w:color w:val="auto"/>
        </w:rPr>
      </w:pPr>
    </w:p>
    <w:p>
      <w:pPr>
        <w:jc w:val="both"/>
        <w:ind w:left="-656" w:firstLine="656"/>
        <w:spacing w:after="0" w:line="256" w:lineRule="auto"/>
        <w:tabs>
          <w:tab w:leader="none" w:pos="63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spacing w:after="0" w:line="176" w:lineRule="exact"/>
        <w:rPr>
          <w:rFonts w:ascii="Times New Roman" w:cs="Times New Roman" w:eastAsia="Times New Roman" w:hAnsi="Times New Roman"/>
          <w:sz w:val="22"/>
          <w:szCs w:val="22"/>
          <w:color w:val="auto"/>
        </w:rPr>
      </w:pPr>
    </w:p>
    <w:p>
      <w:pPr>
        <w:ind w:left="-656" w:firstLine="656"/>
        <w:spacing w:after="0" w:line="271" w:lineRule="auto"/>
        <w:tabs>
          <w:tab w:leader="none" w:pos="63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capable of evaluating and understanding and understands and accepts the terms, risks and conditions of the transactions contemplated by this Agreement;</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63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93" w:lineRule="exact"/>
        <w:rPr>
          <w:sz w:val="20"/>
          <w:szCs w:val="20"/>
          <w:color w:val="auto"/>
        </w:rPr>
      </w:pPr>
    </w:p>
    <w:p>
      <w:pPr>
        <w:jc w:val="both"/>
        <w:ind w:left="-656" w:firstLine="656"/>
        <w:spacing w:after="0" w:line="251" w:lineRule="auto"/>
        <w:tabs>
          <w:tab w:leader="none" w:pos="6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(including pdf or any electronic signature complying with the U.S. federal ESIGN Act of 2000 (including, but not limited to, www.docusign.com or www.echosign.com))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Recognition of the U.S. Special Resolution Regimes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56" w:firstLine="656"/>
        <w:spacing w:after="0" w:line="272" w:lineRule="auto"/>
        <w:tabs>
          <w:tab w:leader="none" w:pos="63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60" w:lineRule="exact"/>
        <w:rPr>
          <w:rFonts w:ascii="Times New Roman" w:cs="Times New Roman" w:eastAsia="Times New Roman" w:hAnsi="Times New Roman"/>
          <w:sz w:val="21"/>
          <w:szCs w:val="21"/>
          <w:color w:val="auto"/>
        </w:rPr>
      </w:pPr>
    </w:p>
    <w:p>
      <w:pPr>
        <w:jc w:val="both"/>
        <w:ind w:left="-656" w:firstLine="656"/>
        <w:spacing w:after="0" w:line="268" w:lineRule="auto"/>
        <w:tabs>
          <w:tab w:leader="none" w:pos="63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6" w:lineRule="exact"/>
        <w:rPr>
          <w:rFonts w:ascii="Times New Roman" w:cs="Times New Roman" w:eastAsia="Times New Roman" w:hAnsi="Times New Roman"/>
          <w:sz w:val="21"/>
          <w:szCs w:val="21"/>
          <w:color w:val="auto"/>
        </w:rPr>
      </w:pPr>
    </w:p>
    <w:p>
      <w:pPr>
        <w:ind w:left="4864" w:hanging="130"/>
        <w:spacing w:after="0"/>
        <w:tabs>
          <w:tab w:leader="none" w:pos="486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34 -</w:t>
      </w:r>
    </w:p>
    <w:p>
      <w:pPr>
        <w:sectPr>
          <w:pgSz w:w="11900" w:h="16838" w:orient="portrait"/>
          <w:cols w:equalWidth="0" w:num="1">
            <w:col w:w="10584"/>
          </w:cols>
          <w:pgMar w:left="976" w:top="1418" w:right="339" w:bottom="1440" w:gutter="0" w:footer="0" w:header="0"/>
        </w:sectPr>
      </w:pPr>
    </w:p>
    <w:bookmarkStart w:id="94" w:name="page95"/>
    <w:bookmarkEnd w:id="94"/>
    <w:p>
      <w:pPr>
        <w:jc w:val="both"/>
        <w:ind w:firstLine="656"/>
        <w:spacing w:after="0" w:line="249" w:lineRule="auto"/>
        <w:tabs>
          <w:tab w:leader="none" w:pos="12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20; (a) “</w:t>
      </w:r>
      <w:r>
        <w:rPr>
          <w:rFonts w:ascii="Times New Roman" w:cs="Times New Roman" w:eastAsia="Times New Roman" w:hAnsi="Times New Roman"/>
          <w:sz w:val="22"/>
          <w:szCs w:val="22"/>
          <w:b w:val="1"/>
          <w:bCs w:val="1"/>
          <w:u w:val="single" w:color="auto"/>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 (b) “</w:t>
      </w:r>
      <w:r>
        <w:rPr>
          <w:rFonts w:ascii="Times New Roman" w:cs="Times New Roman" w:eastAsia="Times New Roman" w:hAnsi="Times New Roman"/>
          <w:sz w:val="22"/>
          <w:szCs w:val="22"/>
          <w:b w:val="1"/>
          <w:bCs w:val="1"/>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22"/>
          <w:szCs w:val="22"/>
          <w:b w:val="1"/>
          <w:bCs w:val="1"/>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 and (d) “</w:t>
      </w:r>
      <w:r>
        <w:rPr>
          <w:rFonts w:ascii="Times New Roman" w:cs="Times New Roman" w:eastAsia="Times New Roman" w:hAnsi="Times New Roman"/>
          <w:sz w:val="22"/>
          <w:szCs w:val="22"/>
          <w:b w:val="1"/>
          <w:bCs w:val="1"/>
          <w:u w:val="single" w:color="auto"/>
          <w:color w:val="auto"/>
        </w:rPr>
        <w:t>U.S. Special Resolution Regime</w:t>
      </w:r>
      <w:r>
        <w:rPr>
          <w:rFonts w:ascii="Times New Roman" w:cs="Times New Roman" w:eastAsia="Times New Roman" w:hAnsi="Times New Roman"/>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- 35 -</w:t>
      </w:r>
    </w:p>
    <w:p>
      <w:pPr>
        <w:sectPr>
          <w:pgSz w:w="11900" w:h="16838" w:orient="portrait"/>
          <w:cols w:equalWidth="0" w:num="1">
            <w:col w:w="11240"/>
          </w:cols>
          <w:pgMar w:left="320" w:top="1418" w:right="339" w:bottom="1440" w:gutter="0" w:footer="0" w:header="0"/>
        </w:sectPr>
      </w:pPr>
    </w:p>
    <w:bookmarkStart w:id="95" w:name="page96"/>
    <w:bookmarkEnd w:id="9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TD Cowen, please so indicate in the space provided below for that purpose, whereupon this letter shall constitute a binding agreement between the Company and TD Cowen.</w:t>
      </w: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COWEN AND COMPANY, LLC</w:t>
      </w:r>
    </w:p>
    <w:p>
      <w:pPr>
        <w:spacing w:after="0" w:line="200" w:lineRule="exact"/>
        <w:rPr>
          <w:sz w:val="20"/>
          <w:szCs w:val="20"/>
          <w:color w:val="auto"/>
        </w:rPr>
      </w:pPr>
    </w:p>
    <w:p>
      <w:pPr>
        <w:spacing w:after="0" w:line="253" w:lineRule="exact"/>
        <w:rPr>
          <w:sz w:val="20"/>
          <w:szCs w:val="20"/>
          <w:color w:val="auto"/>
        </w:rPr>
      </w:pPr>
    </w:p>
    <w:tbl>
      <w:tblPr>
        <w:tblLayout w:type="fixed"/>
        <w:tblInd w:w="5240" w:type="dxa"/>
        <w:tblCellMar>
          <w:top w:w="0" w:type="dxa"/>
          <w:left w:w="0" w:type="dxa"/>
          <w:bottom w:w="0" w:type="dxa"/>
          <w:right w:w="0" w:type="dxa"/>
        </w:tblCellMar>
      </w:tblP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Michael Murphy</w:t>
            </w:r>
          </w:p>
        </w:tc>
      </w:tr>
      <w:tr>
        <w:trPr>
          <w:trHeight w:val="250"/>
        </w:trPr>
        <w:tc>
          <w:tcPr>
            <w:tcW w:w="820" w:type="dxa"/>
            <w:vAlign w:val="bottom"/>
          </w:tcPr>
          <w:p>
            <w:pPr>
              <w:spacing w:after="0"/>
              <w:rPr>
                <w:sz w:val="21"/>
                <w:szCs w:val="21"/>
                <w:color w:val="auto"/>
              </w:rPr>
            </w:pPr>
          </w:p>
        </w:tc>
        <w:tc>
          <w:tcPr>
            <w:tcW w:w="35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Michael Murphy</w:t>
            </w:r>
          </w:p>
        </w:tc>
      </w:tr>
      <w:tr>
        <w:trPr>
          <w:trHeight w:val="282"/>
        </w:trPr>
        <w:tc>
          <w:tcPr>
            <w:tcW w:w="82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ACCEPTED as of the date</w:t>
      </w:r>
    </w:p>
    <w:p>
      <w:pPr>
        <w:spacing w:after="0" w:line="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first-above written:</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0" w:lineRule="exact"/>
        <w:rPr>
          <w:sz w:val="20"/>
          <w:szCs w:val="20"/>
          <w:color w:val="auto"/>
        </w:rPr>
      </w:pPr>
    </w:p>
    <w:p>
      <w:pPr>
        <w:spacing w:after="0" w:line="253" w:lineRule="exact"/>
        <w:rPr>
          <w:sz w:val="20"/>
          <w:szCs w:val="20"/>
          <w:color w:val="auto"/>
        </w:rPr>
      </w:pPr>
    </w:p>
    <w:p>
      <w:pPr>
        <w:ind w:left="5240"/>
        <w:spacing w:after="0"/>
        <w:tabs>
          <w:tab w:leader="none" w:pos="6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Sujal Patel</w:t>
      </w:r>
    </w:p>
    <w:p>
      <w:pPr>
        <w:spacing w:after="0" w:line="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-158750</wp:posOffset>
            </wp:positionV>
            <wp:extent cx="27603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Sales Agreement</w:t>
      </w:r>
    </w:p>
    <w:p>
      <w:pPr>
        <w:sectPr>
          <w:pgSz w:w="11900" w:h="16838" w:orient="portrait"/>
          <w:cols w:equalWidth="0" w:num="1">
            <w:col w:w="11240"/>
          </w:cols>
          <w:pgMar w:left="320" w:top="142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FORM OF PLACEMENT NOTICE</w:t>
            </w:r>
          </w:p>
        </w:tc>
      </w:tr>
      <w:tr>
        <w:trPr>
          <w:trHeight w:val="73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From:</w:t>
            </w: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Cc:</w:t>
            </w: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Subject:</w:t>
            </w:r>
          </w:p>
        </w:tc>
        <w:tc>
          <w:tcPr>
            <w:tcW w:w="608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TD Cowen At the Market Offering—Placement Notice</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Gentlemen: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between Nautilus Biotechnology,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Cowen and Company, LLC (“</w:t>
      </w:r>
      <w:r>
        <w:rPr>
          <w:rFonts w:ascii="Times New Roman" w:cs="Times New Roman" w:eastAsia="Times New Roman" w:hAnsi="Times New Roman"/>
          <w:sz w:val="22"/>
          <w:szCs w:val="22"/>
          <w:u w:val="single" w:color="auto"/>
          <w:color w:val="auto"/>
        </w:rPr>
        <w:t>TD Cowen</w:t>
      </w:r>
      <w:r>
        <w:rPr>
          <w:rFonts w:ascii="Times New Roman" w:cs="Times New Roman" w:eastAsia="Times New Roman" w:hAnsi="Times New Roman"/>
          <w:sz w:val="22"/>
          <w:szCs w:val="22"/>
          <w:color w:val="auto"/>
        </w:rPr>
        <w:t>”), dated February 28, 2024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hereby request on behalf of the Company that TD Cowen sell up to [●] shares of the Company’s common stock, par value $0.0001 per share, at a minimum market price of $[●] per share. Sales should begin on the date of this Notice and shall continue until [DATE] [all shares are sold].</w:t>
      </w:r>
    </w:p>
    <w:p>
      <w:pPr>
        <w:sectPr>
          <w:pgSz w:w="11900" w:h="16838" w:orient="portrait"/>
          <w:cols w:equalWidth="0" w:num="1">
            <w:col w:w="11240"/>
          </w:cols>
          <w:pgMar w:left="320" w:top="141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Parties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560" w:type="dxa"/>
            <w:vAlign w:val="bottom"/>
          </w:tcPr>
          <w:p>
            <w:pPr>
              <w:spacing w:after="0"/>
              <w:rPr>
                <w:sz w:val="22"/>
                <w:szCs w:val="22"/>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545"/>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Sujal Patel</w:t>
            </w:r>
          </w:p>
        </w:tc>
        <w:tc>
          <w:tcPr>
            <w:tcW w:w="256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6"/>
              </w:rPr>
              <w:t>Chief Executive Officer</w:t>
            </w:r>
          </w:p>
        </w:tc>
      </w:tr>
      <w:tr>
        <w:trPr>
          <w:trHeight w:val="48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Anna Mowry</w:t>
            </w:r>
          </w:p>
        </w:tc>
        <w:tc>
          <w:tcPr>
            <w:tcW w:w="256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9"/>
              </w:rPr>
              <w:t>Chief Financial Officer</w:t>
            </w:r>
          </w:p>
        </w:tc>
      </w:tr>
      <w:tr>
        <w:trPr>
          <w:trHeight w:val="48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CC:</w:t>
            </w:r>
          </w:p>
        </w:tc>
        <w:tc>
          <w:tcPr>
            <w:tcW w:w="2560" w:type="dxa"/>
            <w:vAlign w:val="bottom"/>
          </w:tcPr>
          <w:p>
            <w:pPr>
              <w:spacing w:after="0"/>
              <w:rPr>
                <w:sz w:val="24"/>
                <w:szCs w:val="24"/>
                <w:color w:val="auto"/>
              </w:rPr>
            </w:pPr>
          </w:p>
        </w:tc>
      </w:tr>
      <w:tr>
        <w:trPr>
          <w:trHeight w:val="48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Matthew Murphy</w:t>
            </w:r>
          </w:p>
        </w:tc>
        <w:tc>
          <w:tcPr>
            <w:tcW w:w="25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TD Cowen</w:t>
            </w:r>
          </w:p>
        </w:tc>
        <w:tc>
          <w:tcPr>
            <w:tcW w:w="11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53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Michael J. Murphy</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Managing Director</w:t>
            </w:r>
          </w:p>
        </w:tc>
      </w:tr>
      <w:tr>
        <w:trPr>
          <w:trHeight w:val="4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William Follis</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Managing Director</w:t>
            </w:r>
          </w:p>
        </w:tc>
      </w:tr>
      <w:tr>
        <w:trPr>
          <w:trHeight w:val="4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Adriano Pierroz</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4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Ryan Eurick</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Analyst</w:t>
            </w:r>
          </w:p>
        </w:tc>
      </w:tr>
    </w:tbl>
    <w:p>
      <w:pPr>
        <w:sectPr>
          <w:pgSz w:w="11900" w:h="16838" w:orient="portrait"/>
          <w:cols w:equalWidth="0" w:num="1">
            <w:col w:w="11240"/>
          </w:cols>
          <w:pgMar w:left="320" w:top="1418"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w:t>
      </w:r>
    </w:p>
    <w:p>
      <w:pPr>
        <w:spacing w:after="0" w:line="22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TD Cowen shall be paid compensation up to 3.0% of the gross proceeds from the sales of Common Stock pursuant to the terms of this Agreement.</w:t>
      </w:r>
    </w:p>
    <w:p>
      <w:pPr>
        <w:sectPr>
          <w:pgSz w:w="11900" w:h="16838" w:orient="portrait"/>
          <w:cols w:equalWidth="0" w:num="1">
            <w:col w:w="11240"/>
          </w:cols>
          <w:pgMar w:left="320" w:top="1418" w:right="339" w:bottom="1440" w:gutter="0" w:footer="0" w:header="0"/>
        </w:sectPr>
      </w:pPr>
    </w:p>
    <w:bookmarkStart w:id="99" w:name="page100"/>
    <w:bookmarkEnd w:id="99"/>
    <w:p>
      <w:pPr>
        <w:ind w:left="10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7(m)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OFFICER CERTIFICATE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2024</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undersigned, the duly qualified and elected [●] of Nautilus Biotechnology,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xml:space="preserve">”), does hereby certify in such capacity and on behalf of the Company (and not in the undersigned’s individual capacity),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of the Sales Agreement, dated February 28, 2024 (the “</w:t>
      </w:r>
      <w:r>
        <w:rPr>
          <w:rFonts w:ascii="Times New Roman" w:cs="Times New Roman" w:eastAsia="Times New Roman" w:hAnsi="Times New Roman"/>
          <w:sz w:val="22"/>
          <w:szCs w:val="22"/>
          <w:b w:val="1"/>
          <w:bCs w:val="1"/>
          <w:u w:val="single" w:color="auto"/>
          <w:color w:val="auto"/>
        </w:rPr>
        <w:t>Sales Agreement</w:t>
      </w:r>
      <w:r>
        <w:rPr>
          <w:rFonts w:ascii="Times New Roman" w:cs="Times New Roman" w:eastAsia="Times New Roman" w:hAnsi="Times New Roman"/>
          <w:sz w:val="22"/>
          <w:szCs w:val="22"/>
          <w:color w:val="auto"/>
        </w:rPr>
        <w:t>”), by and between the Company and Cowen and Company, LLC, that to the best of the knowledge of the undersigned:</w:t>
      </w:r>
    </w:p>
    <w:p>
      <w:pPr>
        <w:spacing w:after="0" w:line="172" w:lineRule="exact"/>
        <w:rPr>
          <w:sz w:val="20"/>
          <w:szCs w:val="20"/>
          <w:color w:val="auto"/>
        </w:rPr>
      </w:pPr>
    </w:p>
    <w:p>
      <w:pPr>
        <w:jc w:val="both"/>
        <w:ind w:firstLine="656"/>
        <w:spacing w:after="0" w:line="249" w:lineRule="auto"/>
        <w:tabs>
          <w:tab w:leader="none" w:pos="128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95" w:lineRule="exact"/>
        <w:rPr>
          <w:rFonts w:ascii="Times New Roman" w:cs="Times New Roman" w:eastAsia="Times New Roman" w:hAnsi="Times New Roman"/>
          <w:sz w:val="22"/>
          <w:szCs w:val="22"/>
          <w:color w:val="auto"/>
        </w:rPr>
      </w:pPr>
    </w:p>
    <w:p>
      <w:pPr>
        <w:ind w:firstLine="656"/>
        <w:spacing w:after="0" w:line="271" w:lineRule="auto"/>
        <w:tabs>
          <w:tab w:leader="none" w:pos="129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Wilson Sonsini Goodrich &amp; Rosati, P.C., and Goodwin Procter LLP are entitled to rely upon this certificate in connection with the respective opinions given by such firms pursuant to the Sales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set forth in the Sales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ectPr>
          <w:pgSz w:w="11900" w:h="16838" w:orient="portrait"/>
          <w:cols w:equalWidth="0" w:num="1">
            <w:col w:w="11240"/>
          </w:cols>
          <w:pgMar w:left="320" w:top="1418" w:right="339" w:bottom="1440" w:gutter="0" w:footer="0" w:header="0"/>
        </w:sectPr>
      </w:pPr>
    </w:p>
    <w:bookmarkStart w:id="100" w:name="page101"/>
    <w:bookmarkEnd w:id="100"/>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has executed this certificate on behalf of the Company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-160020</wp:posOffset>
            </wp:positionV>
            <wp:extent cx="28632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960"/>
          </w:cols>
          <w:pgMar w:left="320" w:top="1391" w:right="6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1057275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2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______________</w:t>
      </w: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INDENTURE</w:t>
      </w:r>
    </w:p>
    <w:p>
      <w:pPr>
        <w:spacing w:after="0" w:line="220" w:lineRule="exact"/>
        <w:rPr>
          <w:sz w:val="20"/>
          <w:szCs w:val="20"/>
          <w:color w:val="auto"/>
        </w:rPr>
      </w:pPr>
    </w:p>
    <w:tbl>
      <w:tblPr>
        <w:tblLayout w:type="fixed"/>
        <w:tblInd w:w="3580" w:type="dxa"/>
        <w:tblCellMar>
          <w:top w:w="0" w:type="dxa"/>
          <w:left w:w="0" w:type="dxa"/>
          <w:bottom w:w="0" w:type="dxa"/>
          <w:right w:w="0" w:type="dxa"/>
        </w:tblCellMar>
      </w:tblP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Dated as of</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20</w:t>
            </w:r>
          </w:p>
        </w:tc>
      </w:tr>
    </w:tbl>
    <w:p>
      <w:pPr>
        <w:spacing w:after="0" w:line="20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______________</w:t>
      </w:r>
    </w:p>
    <w:p>
      <w:pPr>
        <w:spacing w:after="0" w:line="200" w:lineRule="exact"/>
        <w:rPr>
          <w:sz w:val="20"/>
          <w:szCs w:val="20"/>
          <w:color w:val="auto"/>
        </w:rPr>
      </w:pPr>
    </w:p>
    <w:p>
      <w:pPr>
        <w:spacing w:after="0" w:line="2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[__________]</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897255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0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62"/>
        </w:trPr>
        <w:tc>
          <w:tcPr>
            <w:tcW w:w="2680" w:type="dxa"/>
            <w:vAlign w:val="bottom"/>
          </w:tcPr>
          <w:p>
            <w:pPr>
              <w:spacing w:after="0"/>
              <w:rPr>
                <w:sz w:val="22"/>
                <w:szCs w:val="22"/>
                <w:color w:val="auto"/>
              </w:rPr>
            </w:pPr>
          </w:p>
        </w:tc>
        <w:tc>
          <w:tcPr>
            <w:tcW w:w="7980" w:type="dxa"/>
            <w:vAlign w:val="bottom"/>
          </w:tcPr>
          <w:p>
            <w:pPr>
              <w:ind w:left="18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467"/>
        </w:trPr>
        <w:tc>
          <w:tcPr>
            <w:tcW w:w="26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140" w:type="dxa"/>
            <w:vAlign w:val="bottom"/>
          </w:tcPr>
          <w:p>
            <w:pPr>
              <w:spacing w:after="0"/>
              <w:rPr>
                <w:sz w:val="24"/>
                <w:szCs w:val="24"/>
                <w:color w:val="auto"/>
              </w:rPr>
            </w:pPr>
          </w:p>
        </w:tc>
      </w:tr>
      <w:tr>
        <w:trPr>
          <w:trHeight w:val="356"/>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INCORPORATION BY REFERENCE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18"/>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1.1</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Definitions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1.2</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Other Definitions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1.3</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Incorporation by Reference of Trust Indenture Act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1.4</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Rules of Construction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18"/>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THE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18"/>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2.1</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Issuable in Series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2.2</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Establishment of Terms of Series of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2.3</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Execution and Authentication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2.4</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Registrar and Paying Agent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2.5</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Paying Agent to Hold Money in Trust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2.6</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Securityholder Lists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2.7</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Transfer and Exchange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2.8</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Mutilated, Destroyed, Lost and Stolen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2.9</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Outstanding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2.10</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Treasury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2.11</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Temporary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2.12</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Cancellation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2.13</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Defaulted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2.14</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Global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2.15</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CUSIP Numbers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18"/>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w w:val="99"/>
              </w:rPr>
              <w:t>ARTICLE III REDEMPTION</w:t>
            </w:r>
          </w:p>
        </w:tc>
        <w:tc>
          <w:tcPr>
            <w:tcW w:w="79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19"/>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3.1</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 to Trustee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3.2</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Selection of Securities to be Redeemed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3.3</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 of Redemption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3.4</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Effect of Notice of Redemption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3.5</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Deposit of Redemption Price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3.6</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Securities Redeemed in Part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ARTICLE IV COVENANTS</w:t>
            </w:r>
          </w:p>
        </w:tc>
        <w:tc>
          <w:tcPr>
            <w:tcW w:w="79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4.1</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 of Principal and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4.2</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Reports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10"/>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4.3</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Compliance Certificate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11"/>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4.4</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Stay, Extension and Usury Laws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18"/>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ARTICLE V SUCCESSORS</w:t>
            </w:r>
          </w:p>
        </w:tc>
        <w:tc>
          <w:tcPr>
            <w:tcW w:w="79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19"/>
        </w:trPr>
        <w:tc>
          <w:tcPr>
            <w:tcW w:w="26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5.1</w:t>
            </w:r>
          </w:p>
        </w:tc>
        <w:tc>
          <w:tcPr>
            <w:tcW w:w="7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When Company May Merge, Etc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pacing w:after="0" w:line="200" w:lineRule="exact"/>
        <w:rPr>
          <w:sz w:val="20"/>
          <w:szCs w:val="20"/>
          <w:color w:val="auto"/>
        </w:rPr>
      </w:pPr>
    </w:p>
    <w:p>
      <w:pPr>
        <w:sectPr>
          <w:pgSz w:w="11900" w:h="16838" w:orient="portrait"/>
          <w:cols w:equalWidth="0" w:num="1">
            <w:col w:w="11200"/>
          </w:cols>
          <w:pgMar w:left="340" w:top="1409" w:right="359" w:bottom="8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09" w:right="359" w:bottom="867"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140" w:type="dxa"/>
            <w:vAlign w:val="bottom"/>
          </w:tcPr>
          <w:p>
            <w:pPr>
              <w:spacing w:after="0"/>
              <w:rPr>
                <w:sz w:val="19"/>
                <w:szCs w:val="19"/>
                <w:color w:val="auto"/>
              </w:rPr>
            </w:pPr>
          </w:p>
        </w:tc>
      </w:tr>
      <w:tr>
        <w:trPr>
          <w:trHeight w:val="35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INCORPORATION BY REFERENCE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5.2</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Successor Corporation Substituted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18"/>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DEFAULTS AND REMEDIES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18"/>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6.1</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Events of Default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6.2</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Acceleration of Maturity; Rescission and Annulment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6.3</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Collection of Indebtedness and Suits for Enforcement by Trustee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6.4</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Trustee May File Proofs of Claim</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6.5</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Trustee May Enforce Claims Without Possession of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6.6</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Application of Money Collected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6.7</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Limitation on Suits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6.8</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Unconditional Right of Holders to Receive Principal and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6.9</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Restoration of Rights and Remedies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6.10</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Rights and Remedies Cumulative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6.11</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Delay or Omission Not Waiver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6.12</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Control by Holders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6.13</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Waiver of Past Defaults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6.14</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Undertaking for Costs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18"/>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ARTICLE VII TRUSTEE</w:t>
            </w:r>
          </w:p>
        </w:tc>
        <w:tc>
          <w:tcPr>
            <w:tcW w:w="8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18"/>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7.1</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Duties of Trustee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7.2</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Rights of Trustee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7.3</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Individual Rights of Trustee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7.4</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Trustee’s Disclaimer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7.5</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Notice of Defaults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7.6</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Reports by Trustee to Holders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7.7</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Compensation and Indemnity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7.8</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Replacement of Trustee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7.9</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Successor Trustee by Merger, Etc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7.10</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Eligibility; Disqualification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7.11</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Preferential Collection of Claims Against Company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18"/>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SATISFACTION AND DISCHARGE; DEFEASANCE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19"/>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8.1</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Satisfaction and Discharge of Indenture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8.2</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Application of Trust Funds; Indemnification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8.3</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Legal Defeasance of Securities of any Series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1"/>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8.4</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Covenant Defeasance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8.5</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Repayment to Company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0"/>
        </w:trPr>
        <w:tc>
          <w:tcPr>
            <w:tcW w:w="25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8.6</w:t>
            </w:r>
          </w:p>
        </w:tc>
        <w:tc>
          <w:tcPr>
            <w:tcW w:w="8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Reinstatement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19"/>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AMENDMENTS AND WAIVERS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pacing w:after="0" w:line="200" w:lineRule="exact"/>
        <w:rPr>
          <w:sz w:val="20"/>
          <w:szCs w:val="20"/>
          <w:color w:val="auto"/>
        </w:rPr>
      </w:pPr>
    </w:p>
    <w:p>
      <w:pPr>
        <w:sectPr>
          <w:pgSz w:w="11900" w:h="16838" w:orient="portrait"/>
          <w:cols w:equalWidth="0" w:num="1">
            <w:col w:w="11200"/>
          </w:cols>
          <w:pgMar w:left="340" w:top="114" w:right="359" w:bottom="8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14" w:right="359" w:bottom="813"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140" w:type="dxa"/>
            <w:vAlign w:val="bottom"/>
          </w:tcPr>
          <w:p>
            <w:pPr>
              <w:spacing w:after="0"/>
              <w:rPr>
                <w:sz w:val="19"/>
                <w:szCs w:val="19"/>
                <w:color w:val="auto"/>
              </w:rPr>
            </w:pPr>
          </w:p>
        </w:tc>
      </w:tr>
      <w:tr>
        <w:trPr>
          <w:trHeight w:val="35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INCORPORATION BY REFERENCE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9.1</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Without Consent of Holders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9.2</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With Consent of Holders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9.3</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Limitations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9.4</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Compliance with Trust Indenture Act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9.5</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Revocation and Effect of Consents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9.6</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Notation on or Exchange of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9.7</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Trustee Protected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18"/>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MISCELLANEOUS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18"/>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Trust Indenture Act Controls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10.2</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Notices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10.3</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Communication by Holders with Other Holders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10.4</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Certificate and Opinion as to Conditions Precedent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10.5</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Statements Required in Certificate or Opinion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10.6</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Rules by Trustee and Agents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10.7</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Legal Holidays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10.8</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Recourse Against Others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10.9</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Counterparts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10.10</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Governing Law; Waiver of Jury Trial; Consent to Jurisdiction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10.11</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Adverse Interpretation of Other Agreements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10.12</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Successors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10.13</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Severability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10.14</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Table of Contents, Headings, Etc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10.15</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Securities in a Foreign Currency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10.16</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Judgment Currency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10.17</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Force Majeure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10.18</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U.S.A. Patriot Act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19"/>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SINKING FUNDS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18"/>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11.1</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Applicability of Article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10"/>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11.2</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Satisfaction of Sinking Fund Payments with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11"/>
        </w:trPr>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Section 11.3</w:t>
            </w:r>
          </w:p>
        </w:tc>
        <w:tc>
          <w:tcPr>
            <w:tcW w:w="8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Redemption of Securities for Sinking Fund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00"/>
          </w:cols>
          <w:pgMar w:left="340" w:top="114" w:right="359" w:bottom="1440" w:gutter="0" w:footer="0" w:header="0"/>
        </w:sectPr>
      </w:pPr>
    </w:p>
    <w:bookmarkStart w:id="105" w:name="page106"/>
    <w:bookmarkEnd w:id="105"/>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NAUTILUS BIOTECHNOLOGY, INC.</w:t>
      </w:r>
    </w:p>
    <w:p>
      <w:pPr>
        <w:spacing w:after="0" w:line="233" w:lineRule="exact"/>
        <w:rPr>
          <w:sz w:val="20"/>
          <w:szCs w:val="20"/>
          <w:color w:val="auto"/>
        </w:rPr>
      </w:pPr>
    </w:p>
    <w:p>
      <w:pPr>
        <w:jc w:val="right"/>
        <w:ind w:right="839"/>
        <w:spacing w:after="0"/>
        <w:tabs>
          <w:tab w:leader="none" w:pos="280" w:val="left"/>
        </w:tabs>
        <w:rPr>
          <w:sz w:val="20"/>
          <w:szCs w:val="20"/>
          <w:color w:val="auto"/>
        </w:rPr>
      </w:pPr>
      <w:r>
        <w:rPr>
          <w:rFonts w:ascii="Times New Roman" w:cs="Times New Roman" w:eastAsia="Times New Roman" w:hAnsi="Times New Roman"/>
          <w:sz w:val="20"/>
          <w:szCs w:val="20"/>
          <w:color w:val="auto"/>
        </w:rPr>
        <w:t>Reconciliation and tie between Trust Indenture Act of 1939 and Indenture, dated as of</w:t>
      </w:r>
      <w:r>
        <w:rPr>
          <w:sz w:val="20"/>
          <w:szCs w:val="20"/>
          <w:color w:val="auto"/>
        </w:rPr>
        <w:tab/>
      </w:r>
      <w:r>
        <w:rPr>
          <w:rFonts w:ascii="Times New Roman" w:cs="Times New Roman" w:eastAsia="Times New Roman" w:hAnsi="Times New Roman"/>
          <w:sz w:val="19"/>
          <w:szCs w:val="19"/>
          <w:color w:val="auto"/>
        </w:rPr>
        <w:t>, 20</w:t>
      </w:r>
    </w:p>
    <w:p>
      <w:pPr>
        <w:spacing w:after="0" w:line="270" w:lineRule="exact"/>
        <w:rPr>
          <w:sz w:val="20"/>
          <w:szCs w:val="20"/>
          <w:color w:val="auto"/>
        </w:rPr>
      </w:pPr>
    </w:p>
    <w:tbl>
      <w:tblPr>
        <w:tblLayout w:type="fixed"/>
        <w:tblInd w:w="2840" w:type="dxa"/>
        <w:tblCellMar>
          <w:top w:w="0" w:type="dxa"/>
          <w:left w:w="0" w:type="dxa"/>
          <w:bottom w:w="0" w:type="dxa"/>
          <w:right w:w="0" w:type="dxa"/>
        </w:tblCellMar>
      </w:tblPr>
      <w:tr>
        <w:trPr>
          <w:trHeight w:val="258"/>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w w:val="94"/>
              </w:rPr>
              <w:t>§ 310(a)(1)</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7.10</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(a)(2)</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7.10</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(a)(3)</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w w:val="97"/>
              </w:rPr>
              <w:t>Not Applicable</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(a)(4)</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w w:val="97"/>
              </w:rPr>
              <w:t>Not Applicable</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(a)(5)</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7.10</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7.10</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 311(a)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7.11</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7.11</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(c)</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w w:val="97"/>
              </w:rPr>
              <w:t>Not Applicable</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 312(a)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2.6</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10.3</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(c)</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10.3</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 313(a)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7.6</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(b)(1)</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7.6</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(b)(2)</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7.6</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(c)(1)</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7.6</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(d)</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7.6</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 314(a)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4.2, 10.5</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w w:val="97"/>
              </w:rPr>
              <w:t>Not Applicable</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(c)(1)</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10.4</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(c)(2)</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10.4</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(c)(3)</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w w:val="97"/>
              </w:rPr>
              <w:t>Not Applicable</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(d)</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w w:val="97"/>
              </w:rPr>
              <w:t>Not Applicable</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(e)</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10.5</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(f)</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w w:val="97"/>
              </w:rPr>
              <w:t>Not Applicable</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 315(a)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7.5</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(c)</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(d)</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7.1</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(e)</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6.14</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 316(a)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2.10</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(a)(1)(A)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6.12</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(a)(1)(B)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6.13</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6.8</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w w:val="94"/>
              </w:rPr>
              <w:t>§ 317(a)(1)</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6.3</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(a)(2)</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6.4</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(b)</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2.5</w:t>
            </w:r>
          </w:p>
        </w:tc>
      </w:tr>
      <w:tr>
        <w:trPr>
          <w:trHeight w:val="297"/>
        </w:trPr>
        <w:tc>
          <w:tcPr>
            <w:tcW w:w="278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 318(a)</w:t>
            </w:r>
          </w:p>
        </w:tc>
        <w:tc>
          <w:tcPr>
            <w:tcW w:w="310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10.1</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This reconciliation and tie shall not, for any purpose, be deemed to be part of the Indenture.</w:t>
      </w:r>
    </w:p>
    <w:p>
      <w:pPr>
        <w:sectPr>
          <w:pgSz w:w="11900" w:h="16838" w:orient="portrait"/>
          <w:cols w:equalWidth="0" w:num="1">
            <w:col w:w="10139"/>
          </w:cols>
          <w:pgMar w:left="320" w:top="1409" w:right="144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09" w:right="1440" w:bottom="559" w:gutter="0" w:footer="0" w:header="0"/>
          <w:type w:val="continuous"/>
        </w:sectPr>
      </w:pPr>
    </w:p>
    <w:bookmarkStart w:id="106" w:name="page107"/>
    <w:bookmarkEnd w:id="106"/>
    <w:p>
      <w:pPr>
        <w:ind w:firstLine="891"/>
        <w:spacing w:after="0" w:line="283" w:lineRule="auto"/>
        <w:rPr>
          <w:sz w:val="20"/>
          <w:szCs w:val="20"/>
          <w:color w:val="auto"/>
        </w:rPr>
      </w:pPr>
      <w:r>
        <w:rPr>
          <w:rFonts w:ascii="Times New Roman" w:cs="Times New Roman" w:eastAsia="Times New Roman" w:hAnsi="Times New Roman"/>
          <w:sz w:val="20"/>
          <w:szCs w:val="20"/>
          <w:color w:val="auto"/>
        </w:rPr>
        <w:t>Indenture dated as of , 20 between Nautilus Biotechnology, Inc., a company incorporated under the laws of Delaware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and [__________], a national banking association organized under the laws of the United States, as trustee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right="60" w:firstLine="891"/>
        <w:spacing w:after="0" w:line="283" w:lineRule="auto"/>
        <w:rPr>
          <w:sz w:val="20"/>
          <w:szCs w:val="20"/>
          <w:color w:val="auto"/>
        </w:rPr>
      </w:pPr>
      <w:r>
        <w:rPr>
          <w:rFonts w:ascii="Times New Roman" w:cs="Times New Roman" w:eastAsia="Times New Roman" w:hAnsi="Times New Roman"/>
          <w:sz w:val="20"/>
          <w:szCs w:val="20"/>
          <w:color w:val="auto"/>
        </w:rPr>
        <w:t>Each party agrees as follows for the benefit of the other party and for the equal and ratable benefit of the Holders of the Securities issued under this Indenture.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 AND INCORPORATION BY REFERENCE</w:t>
      </w:r>
    </w:p>
    <w:p>
      <w:pPr>
        <w:spacing w:after="0" w:line="21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right="40" w:firstLine="89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Additional Amounts</w:t>
      </w:r>
      <w:r>
        <w:rPr>
          <w:rFonts w:ascii="Times New Roman" w:cs="Times New Roman" w:eastAsia="Times New Roman" w:hAnsi="Times New Roman"/>
          <w:sz w:val="20"/>
          <w:szCs w:val="20"/>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75" w:lineRule="exact"/>
        <w:rPr>
          <w:sz w:val="20"/>
          <w:szCs w:val="20"/>
          <w:color w:val="auto"/>
        </w:rPr>
      </w:pPr>
    </w:p>
    <w:p>
      <w:pPr>
        <w:ind w:right="120" w:firstLine="89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 means any Registrar, Paying Agent or Notice Agent.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 of Directors</w:t>
      </w:r>
      <w:r>
        <w:rPr>
          <w:rFonts w:ascii="Times New Roman" w:cs="Times New Roman" w:eastAsia="Times New Roman" w:hAnsi="Times New Roman"/>
          <w:sz w:val="20"/>
          <w:szCs w:val="20"/>
          <w:color w:val="auto"/>
        </w:rPr>
        <w:t>” means the board of directors of the Company or any duly authorized committee thereof.</w:t>
      </w:r>
    </w:p>
    <w:p>
      <w:pPr>
        <w:spacing w:after="0" w:line="216" w:lineRule="exact"/>
        <w:rPr>
          <w:sz w:val="20"/>
          <w:szCs w:val="20"/>
          <w:color w:val="auto"/>
        </w:rPr>
      </w:pPr>
    </w:p>
    <w:p>
      <w:pPr>
        <w:ind w:right="20" w:firstLine="89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 Resolution</w:t>
      </w:r>
      <w:r>
        <w:rPr>
          <w:rFonts w:ascii="Times New Roman" w:cs="Times New Roman" w:eastAsia="Times New Roman" w:hAnsi="Times New Roman"/>
          <w:sz w:val="20"/>
          <w:szCs w:val="20"/>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5" w:lineRule="exact"/>
        <w:rPr>
          <w:sz w:val="20"/>
          <w:szCs w:val="20"/>
          <w:color w:val="auto"/>
        </w:rPr>
      </w:pPr>
    </w:p>
    <w:p>
      <w:pPr>
        <w:ind w:right="100" w:firstLine="89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Business Day</w:t>
      </w:r>
      <w:r>
        <w:rPr>
          <w:rFonts w:ascii="Times New Roman" w:cs="Times New Roman" w:eastAsia="Times New Roman" w:hAnsi="Times New Roman"/>
          <w:sz w:val="20"/>
          <w:szCs w:val="20"/>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 Stock</w:t>
      </w:r>
      <w:r>
        <w:rPr>
          <w:rFonts w:ascii="Times New Roman" w:cs="Times New Roman" w:eastAsia="Times New Roman" w:hAnsi="Times New Roman"/>
          <w:sz w:val="20"/>
          <w:szCs w:val="20"/>
          <w:color w:val="auto"/>
        </w:rPr>
        <w:t>” means any and all shares, interests, participations, rights or other equivalents (however designated) of corporate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Common Stock</w:t>
      </w:r>
      <w:r>
        <w:rPr>
          <w:rFonts w:ascii="Times New Roman" w:cs="Times New Roman" w:eastAsia="Times New Roman" w:hAnsi="Times New Roman"/>
          <w:sz w:val="20"/>
          <w:szCs w:val="20"/>
          <w:color w:val="auto"/>
        </w:rPr>
        <w:t>” means the common stock, par value $0.0001 per share, of the Company.</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means the party named as such above until a successor replaces it and thereafter means the successor.</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Company Order</w:t>
      </w:r>
      <w:r>
        <w:rPr>
          <w:rFonts w:ascii="Times New Roman" w:cs="Times New Roman" w:eastAsia="Times New Roman" w:hAnsi="Times New Roman"/>
          <w:sz w:val="20"/>
          <w:szCs w:val="20"/>
          <w:color w:val="auto"/>
        </w:rPr>
        <w:t>” means a written order signed in the name of the Company by an Officer.</w:t>
      </w:r>
    </w:p>
    <w:p>
      <w:pPr>
        <w:spacing w:after="0" w:line="229" w:lineRule="exact"/>
        <w:rPr>
          <w:sz w:val="20"/>
          <w:szCs w:val="20"/>
          <w:color w:val="auto"/>
        </w:rPr>
      </w:pPr>
    </w:p>
    <w:p>
      <w:pPr>
        <w:ind w:right="340" w:firstLine="89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Corporate Trust Office</w:t>
      </w:r>
      <w:r>
        <w:rPr>
          <w:rFonts w:ascii="Times New Roman" w:cs="Times New Roman" w:eastAsia="Times New Roman" w:hAnsi="Times New Roman"/>
          <w:sz w:val="20"/>
          <w:szCs w:val="20"/>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w:t>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261" w:lineRule="auto"/>
        <w:rPr>
          <w:sz w:val="20"/>
          <w:szCs w:val="20"/>
          <w:color w:val="auto"/>
        </w:rPr>
      </w:pPr>
      <w:r>
        <w:rPr>
          <w:rFonts w:ascii="Times New Roman" w:cs="Times New Roman" w:eastAsia="Times New Roman" w:hAnsi="Times New Roman"/>
          <w:sz w:val="20"/>
          <w:szCs w:val="20"/>
          <w:color w:val="auto"/>
        </w:rPr>
        <w:t>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w:t>
      </w:r>
      <w:r>
        <w:rPr>
          <w:rFonts w:ascii="Times New Roman" w:cs="Times New Roman" w:eastAsia="Times New Roman" w:hAnsi="Times New Roman"/>
          <w:sz w:val="20"/>
          <w:szCs w:val="20"/>
          <w:color w:val="auto"/>
        </w:rPr>
        <w:t>” means any event which is, or after notice or passage of time or both would be, an Event of Default.</w:t>
      </w:r>
    </w:p>
    <w:p>
      <w:pPr>
        <w:spacing w:after="0" w:line="216" w:lineRule="exact"/>
        <w:rPr>
          <w:sz w:val="20"/>
          <w:szCs w:val="20"/>
          <w:color w:val="auto"/>
        </w:rPr>
      </w:pPr>
    </w:p>
    <w:p>
      <w:pPr>
        <w:ind w:right="60" w:firstLine="891"/>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Depositary</w:t>
      </w:r>
      <w:r>
        <w:rPr>
          <w:rFonts w:ascii="Times New Roman" w:cs="Times New Roman" w:eastAsia="Times New Roman" w:hAnsi="Times New Roman"/>
          <w:sz w:val="20"/>
          <w:szCs w:val="20"/>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78" w:lineRule="exact"/>
        <w:rPr>
          <w:sz w:val="20"/>
          <w:szCs w:val="20"/>
          <w:color w:val="auto"/>
        </w:rPr>
      </w:pPr>
    </w:p>
    <w:p>
      <w:pPr>
        <w:ind w:right="220" w:firstLine="89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Discount Security</w:t>
      </w:r>
      <w:r>
        <w:rPr>
          <w:rFonts w:ascii="Times New Roman" w:cs="Times New Roman" w:eastAsia="Times New Roman" w:hAnsi="Times New Roman"/>
          <w:sz w:val="20"/>
          <w:szCs w:val="20"/>
          <w:color w:val="auto"/>
        </w:rPr>
        <w:t>” means any Security that provides for an amount less than the stated principal amount thereof to be due and payable upon declaration of acceleration of the maturity thereof pursuant to Section 6.2.</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means the currency of The United States of America.</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right="20" w:firstLine="891"/>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Foreign Currency</w:t>
      </w:r>
      <w:r>
        <w:rPr>
          <w:rFonts w:ascii="Times New Roman" w:cs="Times New Roman" w:eastAsia="Times New Roman" w:hAnsi="Times New Roman"/>
          <w:sz w:val="20"/>
          <w:szCs w:val="20"/>
          <w:color w:val="auto"/>
        </w:rPr>
        <w:t>” means any currency or currency unit issued by a government other than the government of The United States of America.</w:t>
      </w:r>
    </w:p>
    <w:p>
      <w:pPr>
        <w:spacing w:after="0" w:line="138" w:lineRule="exact"/>
        <w:rPr>
          <w:sz w:val="20"/>
          <w:szCs w:val="20"/>
          <w:color w:val="auto"/>
        </w:rPr>
      </w:pPr>
    </w:p>
    <w:p>
      <w:pPr>
        <w:ind w:right="40" w:firstLine="891"/>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Foreign Government Obligations</w:t>
      </w:r>
      <w:r>
        <w:rPr>
          <w:rFonts w:ascii="Times New Roman" w:cs="Times New Roman" w:eastAsia="Times New Roman" w:hAnsi="Times New Roman"/>
          <w:sz w:val="20"/>
          <w:szCs w:val="20"/>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55" w:lineRule="exact"/>
        <w:rPr>
          <w:sz w:val="20"/>
          <w:szCs w:val="20"/>
          <w:color w:val="auto"/>
        </w:rPr>
      </w:pPr>
    </w:p>
    <w:p>
      <w:pPr>
        <w:ind w:right="240" w:firstLine="891"/>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“GAAP” </w:t>
      </w:r>
      <w:r>
        <w:rPr>
          <w:rFonts w:ascii="Times New Roman" w:cs="Times New Roman" w:eastAsia="Times New Roman" w:hAnsi="Times New Roman"/>
          <w:sz w:val="20"/>
          <w:szCs w:val="20"/>
          <w:color w:val="auto"/>
        </w:rPr>
        <w:t>means accounting principles generally accepted in the United States of America set forth in the opinions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64" w:lineRule="exact"/>
        <w:rPr>
          <w:sz w:val="20"/>
          <w:szCs w:val="20"/>
          <w:color w:val="auto"/>
        </w:rPr>
      </w:pPr>
    </w:p>
    <w:p>
      <w:pPr>
        <w:ind w:right="40" w:firstLine="891"/>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Security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Global Securities</w:t>
      </w:r>
      <w:r>
        <w:rPr>
          <w:rFonts w:ascii="Times New Roman" w:cs="Times New Roman" w:eastAsia="Times New Roman" w:hAnsi="Times New Roman"/>
          <w:sz w:val="20"/>
          <w:szCs w:val="20"/>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Securityholder</w:t>
      </w:r>
      <w:r>
        <w:rPr>
          <w:rFonts w:ascii="Times New Roman" w:cs="Times New Roman" w:eastAsia="Times New Roman" w:hAnsi="Times New Roman"/>
          <w:sz w:val="20"/>
          <w:szCs w:val="20"/>
          <w:color w:val="auto"/>
        </w:rPr>
        <w:t>” means a person in whose name a Security is registered on the books of the Registrar.</w:t>
      </w:r>
    </w:p>
    <w:p>
      <w:pPr>
        <w:spacing w:after="0" w:line="229" w:lineRule="exact"/>
        <w:rPr>
          <w:sz w:val="20"/>
          <w:szCs w:val="20"/>
          <w:color w:val="auto"/>
        </w:rPr>
      </w:pPr>
    </w:p>
    <w:p>
      <w:pPr>
        <w:ind w:right="740" w:firstLine="89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means this Indenture as amended or supplemented from time to time and shall include the form and terms of particular Series of Securities established as contemplated hereunder.</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 with respect to any Discount Security which by its terms bears interest only after Maturity, means interest payable after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13" w:right="379" w:bottom="1440" w:gutter="0" w:footer="0" w:header="0"/>
        </w:sectPr>
      </w:pPr>
    </w:p>
    <w:bookmarkStart w:id="108" w:name="page109"/>
    <w:bookmarkEnd w:id="108"/>
    <w:p>
      <w:pPr>
        <w:jc w:val="both"/>
        <w:ind w:right="420" w:firstLine="891"/>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Maturity</w:t>
      </w:r>
      <w:r>
        <w:rPr>
          <w:rFonts w:ascii="Times New Roman" w:cs="Times New Roman" w:eastAsia="Times New Roman" w:hAnsi="Times New Roman"/>
          <w:sz w:val="19"/>
          <w:szCs w:val="19"/>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15" w:lineRule="exact"/>
        <w:rPr>
          <w:sz w:val="20"/>
          <w:szCs w:val="20"/>
          <w:color w:val="auto"/>
        </w:rPr>
      </w:pPr>
    </w:p>
    <w:p>
      <w:pPr>
        <w:ind w:right="140" w:firstLine="891"/>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w:t>
      </w:r>
      <w:r>
        <w:rPr>
          <w:rFonts w:ascii="Times New Roman" w:cs="Times New Roman" w:eastAsia="Times New Roman" w:hAnsi="Times New Roman"/>
          <w:sz w:val="20"/>
          <w:szCs w:val="20"/>
          <w:color w:val="auto"/>
        </w:rPr>
        <w:t>” means the Chief Executive Officer, President, the Chief Financial Officer, the Treasurer or any Assistant Treasurer, the Secretary or any Assistant Secretary, and any Vice President of the Company.</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means a certificate signed by any Officer that meets the requirements of Section 10.5.</w:t>
      </w:r>
    </w:p>
    <w:p>
      <w:pPr>
        <w:spacing w:after="0" w:line="229" w:lineRule="exact"/>
        <w:rPr>
          <w:sz w:val="20"/>
          <w:szCs w:val="20"/>
          <w:color w:val="auto"/>
        </w:rPr>
      </w:pPr>
    </w:p>
    <w:p>
      <w:pPr>
        <w:ind w:right="660" w:firstLine="891"/>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Opinion of Counsel</w:t>
      </w:r>
      <w:r>
        <w:rPr>
          <w:rFonts w:ascii="Times New Roman" w:cs="Times New Roman" w:eastAsia="Times New Roman" w:hAnsi="Times New Roman"/>
          <w:sz w:val="19"/>
          <w:szCs w:val="19"/>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15" w:lineRule="exact"/>
        <w:rPr>
          <w:sz w:val="20"/>
          <w:szCs w:val="20"/>
          <w:color w:val="auto"/>
        </w:rPr>
      </w:pPr>
    </w:p>
    <w:p>
      <w:pPr>
        <w:ind w:right="760" w:firstLine="891"/>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any individual, corporation, partnership, joint venture, association, limited liability company, joint-stock company, trust, unincorporated organization or government or any agency or political subdivision thereof.</w:t>
      </w:r>
    </w:p>
    <w:p>
      <w:pPr>
        <w:spacing w:after="0" w:line="138" w:lineRule="exact"/>
        <w:rPr>
          <w:sz w:val="20"/>
          <w:szCs w:val="20"/>
          <w:color w:val="auto"/>
        </w:rPr>
      </w:pPr>
    </w:p>
    <w:p>
      <w:pPr>
        <w:ind w:right="140" w:firstLine="891"/>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w:t>
      </w:r>
      <w:r>
        <w:rPr>
          <w:rFonts w:ascii="Times New Roman" w:cs="Times New Roman" w:eastAsia="Times New Roman" w:hAnsi="Times New Roman"/>
          <w:sz w:val="20"/>
          <w:szCs w:val="20"/>
          <w:color w:val="auto"/>
        </w:rPr>
        <w:t>” of a Security means the principal of the Security plus, when appropriate, the premium, if any, on, and any Additional Amounts in respect of, the Security.</w:t>
      </w:r>
    </w:p>
    <w:p>
      <w:pPr>
        <w:spacing w:after="0" w:line="152" w:lineRule="exact"/>
        <w:rPr>
          <w:sz w:val="20"/>
          <w:szCs w:val="20"/>
          <w:color w:val="auto"/>
        </w:rPr>
      </w:pPr>
    </w:p>
    <w:p>
      <w:pPr>
        <w:ind w:right="200" w:firstLine="89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Responsible Officer</w:t>
      </w:r>
      <w:r>
        <w:rPr>
          <w:rFonts w:ascii="Times New Roman" w:cs="Times New Roman" w:eastAsia="Times New Roman" w:hAnsi="Times New Roman"/>
          <w:sz w:val="20"/>
          <w:szCs w:val="20"/>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w:t>
      </w:r>
      <w:r>
        <w:rPr>
          <w:rFonts w:ascii="Times New Roman" w:cs="Times New Roman" w:eastAsia="Times New Roman" w:hAnsi="Times New Roman"/>
          <w:sz w:val="20"/>
          <w:szCs w:val="20"/>
          <w:color w:val="auto"/>
        </w:rPr>
        <w:t>” means the Securities and Exchange Commission.</w:t>
      </w:r>
    </w:p>
    <w:p>
      <w:pPr>
        <w:spacing w:after="0" w:line="229" w:lineRule="exact"/>
        <w:rPr>
          <w:sz w:val="20"/>
          <w:szCs w:val="20"/>
          <w:color w:val="auto"/>
        </w:rPr>
      </w:pPr>
    </w:p>
    <w:p>
      <w:pPr>
        <w:ind w:right="440" w:firstLine="891"/>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w:t>
      </w:r>
      <w:r>
        <w:rPr>
          <w:rFonts w:ascii="Times New Roman" w:cs="Times New Roman" w:eastAsia="Times New Roman" w:hAnsi="Times New Roman"/>
          <w:sz w:val="20"/>
          <w:szCs w:val="20"/>
          <w:color w:val="auto"/>
        </w:rPr>
        <w:t>” means the debentures, notes or other debt instruments of the Company of any Series authenticated and delivered under this Indenture.</w:t>
      </w:r>
    </w:p>
    <w:p>
      <w:pPr>
        <w:spacing w:after="0" w:line="138" w:lineRule="exact"/>
        <w:rPr>
          <w:sz w:val="20"/>
          <w:szCs w:val="20"/>
          <w:color w:val="auto"/>
        </w:rPr>
      </w:pPr>
    </w:p>
    <w:p>
      <w:pPr>
        <w:ind w:right="620" w:firstLine="891"/>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Series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Series of Securities</w:t>
      </w:r>
      <w:r>
        <w:rPr>
          <w:rFonts w:ascii="Times New Roman" w:cs="Times New Roman" w:eastAsia="Times New Roman" w:hAnsi="Times New Roman"/>
          <w:sz w:val="20"/>
          <w:szCs w:val="20"/>
          <w:color w:val="auto"/>
        </w:rPr>
        <w:t>” means each series of debentures, notes or other debt instruments of the Company created pursuant to Sections 2.1 and 2.2 hereof.</w:t>
      </w:r>
    </w:p>
    <w:p>
      <w:pPr>
        <w:spacing w:after="0" w:line="138" w:lineRule="exact"/>
        <w:rPr>
          <w:sz w:val="20"/>
          <w:szCs w:val="20"/>
          <w:color w:val="auto"/>
        </w:rPr>
      </w:pPr>
    </w:p>
    <w:p>
      <w:pPr>
        <w:ind w:firstLine="891"/>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Stated Maturity</w:t>
      </w:r>
      <w:r>
        <w:rPr>
          <w:rFonts w:ascii="Times New Roman" w:cs="Times New Roman" w:eastAsia="Times New Roman" w:hAnsi="Times New Roman"/>
          <w:sz w:val="20"/>
          <w:szCs w:val="20"/>
          <w:color w:val="auto"/>
        </w:rPr>
        <w:t>” when used with respect to any Security, means the date specified in such Security as the fixed date on which the principal of such Security or interest is due and payable.</w:t>
      </w:r>
    </w:p>
    <w:p>
      <w:pPr>
        <w:spacing w:after="0" w:line="138" w:lineRule="exact"/>
        <w:rPr>
          <w:sz w:val="20"/>
          <w:szCs w:val="20"/>
          <w:color w:val="auto"/>
        </w:rPr>
      </w:pPr>
    </w:p>
    <w:p>
      <w:pPr>
        <w:ind w:right="180" w:firstLine="891"/>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8" w:lineRule="exact"/>
        <w:rPr>
          <w:sz w:val="20"/>
          <w:szCs w:val="20"/>
          <w:color w:val="auto"/>
        </w:rPr>
      </w:pPr>
    </w:p>
    <w:p>
      <w:pPr>
        <w:ind w:right="20" w:firstLine="89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TIA</w:t>
      </w:r>
      <w:r>
        <w:rPr>
          <w:rFonts w:ascii="Times New Roman" w:cs="Times New Roman" w:eastAsia="Times New Roman" w:hAnsi="Times New Roman"/>
          <w:sz w:val="20"/>
          <w:szCs w:val="20"/>
          <w:color w:val="auto"/>
        </w:rPr>
        <w:t xml:space="preserve">” means the Trust Indenture Act of 1939 (15 U.S. Code §§ 77aaa-77bbbb) as in effect on the date of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the Trust Indenture Act of 1939 is amended after such date, “TIA” means, to the extent required by any such amendment, the Trust Indenture Act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09" w:right="359" w:bottom="1440" w:gutter="0" w:footer="0" w:header="0"/>
        </w:sectPr>
      </w:pPr>
    </w:p>
    <w:bookmarkStart w:id="109" w:name="page110"/>
    <w:bookmarkEnd w:id="109"/>
    <w:p>
      <w:pPr>
        <w:ind w:right="20" w:firstLine="891"/>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64"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Government Obligations</w:t>
      </w:r>
      <w:r>
        <w:rPr>
          <w:rFonts w:ascii="Times New Roman" w:cs="Times New Roman" w:eastAsia="Times New Roman" w:hAnsi="Times New Roman"/>
          <w:sz w:val="20"/>
          <w:szCs w:val="20"/>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ectPr>
          <w:pgSz w:w="11900" w:h="16838" w:orient="portrait"/>
          <w:cols w:equalWidth="0" w:num="1">
            <w:col w:w="11220"/>
          </w:cols>
          <w:pgMar w:left="320" w:top="1409" w:right="359" w:bottom="1440" w:gutter="0" w:footer="0" w:header="0"/>
        </w:sectPr>
      </w:pPr>
    </w:p>
    <w:p>
      <w:pPr>
        <w:spacing w:after="0" w:line="19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Other Definitions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22860</wp:posOffset>
            </wp:positionV>
            <wp:extent cx="3505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Bankruptcy Law</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Custodian</w:t>
      </w: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Event of Default</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Judgment Currency</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Legal Holiday</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mandatory sinking fund payment</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New York Banking Day</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Notice Agent</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optional sinking fund payment</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Paying Agent</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Registrar</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Required Currency</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Specified Courts</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successor person</w:t>
      </w:r>
      <w:r>
        <w:rPr>
          <w:rFonts w:ascii="Times New Roman" w:cs="Times New Roman" w:eastAsia="Times New Roman" w:hAnsi="Times New Roman"/>
          <w:sz w:val="20"/>
          <w:szCs w:val="20"/>
          <w:color w:val="auto"/>
        </w:rPr>
        <w:t>”</w:t>
      </w:r>
    </w:p>
    <w:p>
      <w:pPr>
        <w:spacing w:after="0" w:line="3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Incorporation by Reference of Trust Indenture Act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9"/>
          <w:szCs w:val="19"/>
          <w:color w:val="auto"/>
        </w:rPr>
        <w:t>DEFINED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29845</wp:posOffset>
            </wp:positionV>
            <wp:extent cx="22377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45"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6.1</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6.1</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6.1</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10.16</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10.7</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11.1</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10.16</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2.4</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11.1</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2.4</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2.4</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10.16</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10.10</w:t>
      </w:r>
    </w:p>
    <w:p>
      <w:pPr>
        <w:spacing w:after="0" w:line="6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20"/>
          <w:szCs w:val="20"/>
          <w:color w:val="auto"/>
        </w:rPr>
        <w:t>5.1</w:t>
      </w:r>
    </w:p>
    <w:p>
      <w:pPr>
        <w:spacing w:after="0" w:line="780" w:lineRule="exact"/>
        <w:rPr>
          <w:sz w:val="20"/>
          <w:szCs w:val="20"/>
          <w:color w:val="auto"/>
        </w:rPr>
      </w:pPr>
    </w:p>
    <w:p>
      <w:pPr>
        <w:sectPr>
          <w:pgSz w:w="11900" w:h="16838" w:orient="portrait"/>
          <w:cols w:equalWidth="0" w:num="2">
            <w:col w:w="7120" w:space="720"/>
            <w:col w:w="3380"/>
          </w:cols>
          <w:pgMar w:left="320" w:top="1409" w:right="359" w:bottom="1440" w:gutter="0" w:footer="0" w:header="0"/>
          <w:type w:val="continuous"/>
        </w:sectPr>
      </w:pPr>
    </w:p>
    <w:p>
      <w:pPr>
        <w:spacing w:after="0" w:line="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Whenever this Indenture refers to a provision of the TIA, the provision is incorporated by reference in and made a part of this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 The following TIA terms used in this Indenture have the following meanings: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Commission</w:t>
      </w:r>
      <w:r>
        <w:rPr>
          <w:rFonts w:ascii="Times New Roman" w:cs="Times New Roman" w:eastAsia="Times New Roman" w:hAnsi="Times New Roman"/>
          <w:sz w:val="20"/>
          <w:szCs w:val="20"/>
          <w:color w:val="auto"/>
        </w:rPr>
        <w:t>” means the SEC.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 securities</w:t>
      </w:r>
      <w:r>
        <w:rPr>
          <w:rFonts w:ascii="Times New Roman" w:cs="Times New Roman" w:eastAsia="Times New Roman" w:hAnsi="Times New Roman"/>
          <w:sz w:val="20"/>
          <w:szCs w:val="20"/>
          <w:color w:val="auto"/>
        </w:rPr>
        <w:t>” means the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 security holder</w:t>
      </w:r>
      <w:r>
        <w:rPr>
          <w:rFonts w:ascii="Times New Roman" w:cs="Times New Roman" w:eastAsia="Times New Roman" w:hAnsi="Times New Roman"/>
          <w:sz w:val="20"/>
          <w:szCs w:val="20"/>
          <w:color w:val="auto"/>
        </w:rPr>
        <w:t>” means a Securityholder.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 to be qualified”</w:t>
      </w:r>
      <w:r>
        <w:rPr>
          <w:rFonts w:ascii="Times New Roman" w:cs="Times New Roman" w:eastAsia="Times New Roman" w:hAnsi="Times New Roman"/>
          <w:sz w:val="20"/>
          <w:szCs w:val="20"/>
          <w:color w:val="auto"/>
        </w:rPr>
        <w:t xml:space="preserve"> means this Indenture.</w:t>
      </w:r>
    </w:p>
    <w:p>
      <w:pPr>
        <w:sectPr>
          <w:pgSz w:w="11900" w:h="16838" w:orient="portrait"/>
          <w:cols w:equalWidth="0" w:num="1">
            <w:col w:w="11220"/>
          </w:cols>
          <w:pgMar w:left="320" w:top="140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09" w:right="359" w:bottom="1440" w:gutter="0" w:footer="0" w:header="0"/>
          <w:type w:val="continuous"/>
        </w:sectPr>
      </w:pPr>
    </w:p>
    <w:bookmarkStart w:id="110" w:name="page111"/>
    <w:bookmarkEnd w:id="11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 trustee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institutional trustee</w:t>
      </w:r>
      <w:r>
        <w:rPr>
          <w:rFonts w:ascii="Times New Roman" w:cs="Times New Roman" w:eastAsia="Times New Roman" w:hAnsi="Times New Roman"/>
          <w:sz w:val="20"/>
          <w:szCs w:val="20"/>
          <w:color w:val="auto"/>
        </w:rPr>
        <w:t>” means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obligor</w:t>
      </w:r>
      <w:r>
        <w:rPr>
          <w:rFonts w:ascii="Times New Roman" w:cs="Times New Roman" w:eastAsia="Times New Roman" w:hAnsi="Times New Roman"/>
          <w:sz w:val="20"/>
          <w:szCs w:val="20"/>
          <w:color w:val="auto"/>
        </w:rPr>
        <w:t>” on the indenture securities means the Company and any successor obligor upon the Securities.</w:t>
      </w:r>
    </w:p>
    <w:p>
      <w:pPr>
        <w:spacing w:after="0" w:line="220" w:lineRule="exact"/>
        <w:rPr>
          <w:sz w:val="20"/>
          <w:szCs w:val="20"/>
          <w:color w:val="auto"/>
        </w:rPr>
      </w:pPr>
    </w:p>
    <w:p>
      <w:pPr>
        <w:ind w:firstLine="891"/>
        <w:spacing w:after="0" w:line="283" w:lineRule="auto"/>
        <w:rPr>
          <w:sz w:val="20"/>
          <w:szCs w:val="20"/>
          <w:color w:val="auto"/>
        </w:rPr>
      </w:pPr>
      <w:r>
        <w:rPr>
          <w:rFonts w:ascii="Times New Roman" w:cs="Times New Roman" w:eastAsia="Times New Roman" w:hAnsi="Times New Roman"/>
          <w:sz w:val="20"/>
          <w:szCs w:val="20"/>
          <w:color w:val="auto"/>
        </w:rPr>
        <w:t>All other terms used in this Indenture that are defined by the TIA, defined by TIA reference to another statute or defined by SEC rule under the TIA and not otherwise defined herein are used herein as so defined.</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Rules of Construction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Unless the context otherwise requires:</w:t>
      </w:r>
    </w:p>
    <w:p>
      <w:pPr>
        <w:spacing w:after="0" w:line="229" w:lineRule="exact"/>
        <w:rPr>
          <w:sz w:val="20"/>
          <w:szCs w:val="20"/>
          <w:color w:val="auto"/>
        </w:rPr>
      </w:pPr>
    </w:p>
    <w:p>
      <w:pPr>
        <w:ind w:left="1720" w:hanging="416"/>
        <w:spacing w:after="0"/>
        <w:tabs>
          <w:tab w:leader="none" w:pos="17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is not exclusive;</w:t>
      </w:r>
    </w:p>
    <w:p>
      <w:pPr>
        <w:spacing w:after="0" w:line="21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in the plural include the singular; and</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apply to successive events and transactions.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SECURITIES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Issuable in Series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891"/>
        <w:spacing w:after="0" w:line="251" w:lineRule="auto"/>
        <w:rPr>
          <w:sz w:val="20"/>
          <w:szCs w:val="20"/>
          <w:color w:val="auto"/>
        </w:rPr>
      </w:pPr>
      <w:r>
        <w:rPr>
          <w:rFonts w:ascii="Times New Roman" w:cs="Times New Roman" w:eastAsia="Times New Roman" w:hAnsi="Times New Roman"/>
          <w:sz w:val="20"/>
          <w:szCs w:val="20"/>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u w:val="single" w:color="auto"/>
          <w:color w:val="auto"/>
        </w:rPr>
        <w:t>Establishment of Terms of Series of Securities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891"/>
        <w:spacing w:after="0" w:line="254" w:lineRule="auto"/>
        <w:rPr>
          <w:sz w:val="20"/>
          <w:szCs w:val="20"/>
          <w:color w:val="auto"/>
        </w:rPr>
      </w:pPr>
      <w:r>
        <w:rPr>
          <w:rFonts w:ascii="Times New Roman" w:cs="Times New Roman" w:eastAsia="Times New Roman" w:hAnsi="Times New Roman"/>
          <w:sz w:val="20"/>
          <w:szCs w:val="20"/>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80"/>
          </w:cols>
          <w:pgMar w:left="320" w:top="1409" w:right="499" w:bottom="1440" w:gutter="0" w:footer="0" w:header="0"/>
        </w:sectPr>
      </w:pPr>
    </w:p>
    <w:bookmarkStart w:id="111" w:name="page112"/>
    <w:bookmarkEnd w:id="111"/>
    <w:p>
      <w:pPr>
        <w:ind w:right="600" w:firstLine="891"/>
        <w:spacing w:after="0" w:line="283" w:lineRule="auto"/>
        <w:rPr>
          <w:sz w:val="20"/>
          <w:szCs w:val="20"/>
          <w:color w:val="auto"/>
        </w:rPr>
      </w:pPr>
      <w:r>
        <w:rPr>
          <w:rFonts w:ascii="Times New Roman" w:cs="Times New Roman" w:eastAsia="Times New Roman" w:hAnsi="Times New Roman"/>
          <w:sz w:val="20"/>
          <w:szCs w:val="20"/>
          <w:color w:val="auto"/>
        </w:rPr>
        <w:t>2.2.1. the title (which shall distinguish the Securities of that particular Series from the Securities of any other Series) and ranking (including the terms of any subordination provisions) of the Series;</w:t>
      </w:r>
    </w:p>
    <w:p>
      <w:pPr>
        <w:spacing w:after="0" w:line="146"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20"/>
          <w:szCs w:val="20"/>
          <w:color w:val="auto"/>
        </w:rPr>
        <w:t>2.2.2. the price or prices (expressed as a percentage of the principal amount thereof) at which the Securities of the Series will be issued, including the portion of the principal amount of such Securities that is convertible into another Security or the method by which any such portion will be determined;</w:t>
      </w:r>
    </w:p>
    <w:p>
      <w:pPr>
        <w:spacing w:after="0" w:line="181"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20"/>
          <w:szCs w:val="20"/>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sz w:val="20"/>
          <w:szCs w:val="20"/>
          <w:color w:val="auto"/>
        </w:rPr>
      </w:pPr>
    </w:p>
    <w:p>
      <w:pPr>
        <w:ind w:left="900"/>
        <w:spacing w:after="0"/>
        <w:tabs>
          <w:tab w:leader="none" w:pos="152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the date or dates on which the principal of the Securities of the Series is payable;</w:t>
      </w:r>
    </w:p>
    <w:p>
      <w:pPr>
        <w:spacing w:after="0" w:line="216"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20"/>
          <w:szCs w:val="20"/>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sz w:val="20"/>
          <w:szCs w:val="20"/>
          <w:color w:val="auto"/>
        </w:rPr>
      </w:pPr>
    </w:p>
    <w:p>
      <w:pPr>
        <w:ind w:left="900"/>
        <w:spacing w:after="0"/>
        <w:tabs>
          <w:tab w:leader="none" w:pos="152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the right, if any, to defer payments of interest and the maximum length of any such deferral period;</w:t>
      </w:r>
    </w:p>
    <w:p>
      <w:pPr>
        <w:spacing w:after="0" w:line="216"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20"/>
          <w:szCs w:val="20"/>
          <w:color w:val="auto"/>
        </w:rPr>
        <w:t>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86"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20"/>
          <w:szCs w:val="20"/>
          <w:color w:val="auto"/>
        </w:rPr>
        <w:t>2.2.8. if applicable, the period or periods within which, the price or prices at which and the terms and conditions upon which the Securities of the Series may be redeemed, in whole or in part, at the option of the Company, and the manner in which any election by the Company to redeem the Securities will be evidenced;</w:t>
      </w:r>
    </w:p>
    <w:p>
      <w:pPr>
        <w:spacing w:after="0" w:line="168" w:lineRule="exact"/>
        <w:rPr>
          <w:sz w:val="20"/>
          <w:szCs w:val="20"/>
          <w:color w:val="auto"/>
        </w:rPr>
      </w:pPr>
    </w:p>
    <w:p>
      <w:pPr>
        <w:ind w:firstLine="891"/>
        <w:spacing w:after="0" w:line="268" w:lineRule="auto"/>
        <w:rPr>
          <w:sz w:val="20"/>
          <w:szCs w:val="20"/>
          <w:color w:val="auto"/>
        </w:rPr>
      </w:pPr>
      <w:r>
        <w:rPr>
          <w:rFonts w:ascii="Times New Roman" w:cs="Times New Roman" w:eastAsia="Times New Roman" w:hAnsi="Times New Roman"/>
          <w:sz w:val="20"/>
          <w:szCs w:val="20"/>
          <w:color w:val="auto"/>
        </w:rPr>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1" w:lineRule="exact"/>
        <w:rPr>
          <w:sz w:val="20"/>
          <w:szCs w:val="20"/>
          <w:color w:val="auto"/>
        </w:rPr>
      </w:pPr>
    </w:p>
    <w:p>
      <w:pPr>
        <w:ind w:firstLine="891"/>
        <w:spacing w:after="0" w:line="283" w:lineRule="auto"/>
        <w:rPr>
          <w:sz w:val="20"/>
          <w:szCs w:val="20"/>
          <w:color w:val="auto"/>
        </w:rPr>
      </w:pPr>
      <w:r>
        <w:rPr>
          <w:rFonts w:ascii="Times New Roman" w:cs="Times New Roman" w:eastAsia="Times New Roman" w:hAnsi="Times New Roman"/>
          <w:sz w:val="20"/>
          <w:szCs w:val="20"/>
          <w:color w:val="auto"/>
        </w:rPr>
        <w:t>2.2.10. if other than denominations of $1,000 and any integral multiple thereof, the denominations in which the Securities of the Series shall be issuable;</w:t>
      </w:r>
    </w:p>
    <w:p>
      <w:pPr>
        <w:spacing w:after="0" w:line="146"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20"/>
          <w:szCs w:val="20"/>
          <w:color w:val="auto"/>
        </w:rPr>
        <w:t>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13" w:right="379" w:bottom="1440" w:gutter="0" w:footer="0" w:header="0"/>
        </w:sectPr>
      </w:pPr>
    </w:p>
    <w:bookmarkStart w:id="112" w:name="page113"/>
    <w:bookmarkEnd w:id="112"/>
    <w:p>
      <w:pPr>
        <w:ind w:right="240"/>
        <w:spacing w:after="0" w:line="283" w:lineRule="auto"/>
        <w:rPr>
          <w:sz w:val="20"/>
          <w:szCs w:val="20"/>
          <w:color w:val="auto"/>
        </w:rPr>
      </w:pPr>
      <w:r>
        <w:rPr>
          <w:rFonts w:ascii="Times New Roman" w:cs="Times New Roman" w:eastAsia="Times New Roman" w:hAnsi="Times New Roman"/>
          <w:sz w:val="20"/>
          <w:szCs w:val="20"/>
          <w:color w:val="auto"/>
        </w:rPr>
        <w:t>conversion or exchange provisions, the applicable conversion or exchange period and the manner of settlement for any such conversion or exchange;</w:t>
      </w:r>
    </w:p>
    <w:p>
      <w:pPr>
        <w:spacing w:after="0" w:line="146" w:lineRule="exact"/>
        <w:rPr>
          <w:sz w:val="20"/>
          <w:szCs w:val="20"/>
          <w:color w:val="auto"/>
        </w:rPr>
      </w:pPr>
    </w:p>
    <w:p>
      <w:pPr>
        <w:ind w:right="220" w:firstLine="891"/>
        <w:spacing w:after="0" w:line="283" w:lineRule="auto"/>
        <w:rPr>
          <w:sz w:val="20"/>
          <w:szCs w:val="20"/>
          <w:color w:val="auto"/>
        </w:rPr>
      </w:pPr>
      <w:r>
        <w:rPr>
          <w:rFonts w:ascii="Times New Roman" w:cs="Times New Roman" w:eastAsia="Times New Roman" w:hAnsi="Times New Roman"/>
          <w:sz w:val="20"/>
          <w:szCs w:val="20"/>
          <w:color w:val="auto"/>
        </w:rPr>
        <w:t>2.2.12. the forms of the Securities of the Series and whether the Securities will be issuable as Global Securities (including the terms pertaining to the exchange of any such Securities)</w:t>
      </w:r>
    </w:p>
    <w:p>
      <w:pPr>
        <w:spacing w:after="0" w:line="146" w:lineRule="exact"/>
        <w:rPr>
          <w:sz w:val="20"/>
          <w:szCs w:val="20"/>
          <w:color w:val="auto"/>
        </w:rPr>
      </w:pPr>
    </w:p>
    <w:p>
      <w:pPr>
        <w:ind w:right="60" w:firstLine="891"/>
        <w:spacing w:after="0" w:line="283" w:lineRule="auto"/>
        <w:rPr>
          <w:sz w:val="20"/>
          <w:szCs w:val="20"/>
          <w:color w:val="auto"/>
        </w:rPr>
      </w:pPr>
      <w:r>
        <w:rPr>
          <w:rFonts w:ascii="Times New Roman" w:cs="Times New Roman" w:eastAsia="Times New Roman" w:hAnsi="Times New Roman"/>
          <w:sz w:val="20"/>
          <w:szCs w:val="20"/>
          <w:color w:val="auto"/>
        </w:rPr>
        <w:t>2.2.13. if other than the principal amount thereof, the portion of the principal amount of the Securities of the Series that shall be payable upon declaration of acceleration of the maturity thereof pursuant to Section 6.2;</w:t>
      </w:r>
    </w:p>
    <w:p>
      <w:pPr>
        <w:spacing w:after="0" w:line="160"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20"/>
          <w:szCs w:val="20"/>
          <w:color w:val="auto"/>
        </w:rPr>
        <w:t>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spacing w:after="0" w:line="168" w:lineRule="exact"/>
        <w:rPr>
          <w:sz w:val="20"/>
          <w:szCs w:val="20"/>
          <w:color w:val="auto"/>
        </w:rPr>
      </w:pPr>
    </w:p>
    <w:p>
      <w:pPr>
        <w:ind w:firstLine="891"/>
        <w:spacing w:after="0" w:line="268" w:lineRule="auto"/>
        <w:rPr>
          <w:sz w:val="20"/>
          <w:szCs w:val="20"/>
          <w:color w:val="auto"/>
        </w:rPr>
      </w:pPr>
      <w:r>
        <w:rPr>
          <w:rFonts w:ascii="Times New Roman" w:cs="Times New Roman" w:eastAsia="Times New Roman" w:hAnsi="Times New Roman"/>
          <w:sz w:val="20"/>
          <w:szCs w:val="20"/>
          <w:color w:val="auto"/>
        </w:rPr>
        <w:t>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61"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20"/>
          <w:szCs w:val="20"/>
          <w:color w:val="auto"/>
        </w:rPr>
        <w:t>2.2.16.</w:t>
      </w:r>
      <w:r>
        <w:rPr>
          <w:sz w:val="20"/>
          <w:szCs w:val="20"/>
          <w:color w:val="auto"/>
        </w:rPr>
        <w:tab/>
      </w:r>
      <w:r>
        <w:rPr>
          <w:rFonts w:ascii="Times New Roman" w:cs="Times New Roman" w:eastAsia="Times New Roman" w:hAnsi="Times New Roman"/>
          <w:sz w:val="19"/>
          <w:szCs w:val="19"/>
          <w:color w:val="auto"/>
        </w:rPr>
        <w:t>the provisions, if any, relating to any security provided for the Securities of the Series;</w:t>
      </w:r>
    </w:p>
    <w:p>
      <w:pPr>
        <w:spacing w:after="0" w:line="229"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20"/>
          <w:szCs w:val="20"/>
          <w:color w:val="auto"/>
        </w:rPr>
        <w:t>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spacing w:after="0" w:line="181" w:lineRule="exact"/>
        <w:rPr>
          <w:sz w:val="20"/>
          <w:szCs w:val="20"/>
          <w:color w:val="auto"/>
        </w:rPr>
      </w:pPr>
    </w:p>
    <w:p>
      <w:pPr>
        <w:ind w:right="320" w:firstLine="891"/>
        <w:spacing w:after="0" w:line="269" w:lineRule="auto"/>
        <w:rPr>
          <w:sz w:val="20"/>
          <w:szCs w:val="20"/>
          <w:color w:val="auto"/>
        </w:rPr>
      </w:pPr>
      <w:r>
        <w:rPr>
          <w:rFonts w:ascii="Times New Roman" w:cs="Times New Roman" w:eastAsia="Times New Roman" w:hAnsi="Times New Roman"/>
          <w:sz w:val="20"/>
          <w:szCs w:val="20"/>
          <w:color w:val="auto"/>
        </w:rPr>
        <w:t>2.2.18. any Depositaries, interest rate calculation agents, exchange rate calculation agents, conversion agents or other agents with respect to Securities of such Series if other than those appointed herein;</w:t>
      </w:r>
    </w:p>
    <w:p>
      <w:pPr>
        <w:spacing w:after="0" w:line="173" w:lineRule="exact"/>
        <w:rPr>
          <w:sz w:val="20"/>
          <w:szCs w:val="20"/>
          <w:color w:val="auto"/>
        </w:rPr>
      </w:pPr>
    </w:p>
    <w:p>
      <w:pPr>
        <w:ind w:right="160" w:firstLine="891"/>
        <w:spacing w:after="0" w:line="269" w:lineRule="auto"/>
        <w:rPr>
          <w:sz w:val="20"/>
          <w:szCs w:val="20"/>
          <w:color w:val="auto"/>
        </w:rPr>
      </w:pPr>
      <w:r>
        <w:rPr>
          <w:rFonts w:ascii="Times New Roman" w:cs="Times New Roman" w:eastAsia="Times New Roman" w:hAnsi="Times New Roman"/>
          <w:sz w:val="20"/>
          <w:szCs w:val="20"/>
          <w:color w:val="auto"/>
        </w:rPr>
        <w:t>2.2.19. if there is more than one Trustee or a different Trustee, the identity of the Trustee and, if not the Trustee, the identity of each Agent with respect to such Securities;</w:t>
      </w:r>
    </w:p>
    <w:p>
      <w:pPr>
        <w:spacing w:after="0" w:line="173" w:lineRule="exact"/>
        <w:rPr>
          <w:sz w:val="20"/>
          <w:szCs w:val="20"/>
          <w:color w:val="auto"/>
        </w:rPr>
      </w:pPr>
    </w:p>
    <w:p>
      <w:pPr>
        <w:jc w:val="both"/>
        <w:ind w:right="400" w:firstLine="891"/>
        <w:spacing w:after="0" w:line="261" w:lineRule="auto"/>
        <w:rPr>
          <w:sz w:val="20"/>
          <w:szCs w:val="20"/>
          <w:color w:val="auto"/>
        </w:rPr>
      </w:pPr>
      <w:r>
        <w:rPr>
          <w:rFonts w:ascii="Times New Roman" w:cs="Times New Roman" w:eastAsia="Times New Roman" w:hAnsi="Times New Roman"/>
          <w:sz w:val="20"/>
          <w:szCs w:val="20"/>
          <w:color w:val="auto"/>
        </w:rPr>
        <w:t>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1" w:lineRule="exact"/>
        <w:rPr>
          <w:sz w:val="20"/>
          <w:szCs w:val="20"/>
          <w:color w:val="auto"/>
        </w:rPr>
      </w:pPr>
    </w:p>
    <w:p>
      <w:pPr>
        <w:ind w:right="220" w:firstLine="891"/>
        <w:spacing w:after="0" w:line="269" w:lineRule="auto"/>
        <w:rPr>
          <w:sz w:val="20"/>
          <w:szCs w:val="20"/>
          <w:color w:val="auto"/>
        </w:rPr>
      </w:pPr>
      <w:r>
        <w:rPr>
          <w:rFonts w:ascii="Times New Roman" w:cs="Times New Roman" w:eastAsia="Times New Roman" w:hAnsi="Times New Roman"/>
          <w:sz w:val="20"/>
          <w:szCs w:val="20"/>
          <w:color w:val="auto"/>
        </w:rPr>
        <w:t>2.2.21. whether any of the Company’s direct or indirect Subsidiaries will guarantee the Securities of that Series, including the terms of subordination, if any, of such guarantees.</w:t>
      </w:r>
    </w:p>
    <w:p>
      <w:pPr>
        <w:spacing w:after="0" w:line="173"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20"/>
          <w:szCs w:val="20"/>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13" w:right="379" w:bottom="1440" w:gutter="0" w:footer="0" w:header="0"/>
        </w:sectPr>
      </w:pPr>
    </w:p>
    <w:bookmarkStart w:id="113" w:name="page114"/>
    <w:bookmarkEnd w:id="113"/>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u w:val="single" w:color="auto"/>
          <w:color w:val="auto"/>
        </w:rPr>
        <w:t>Execution and Authentication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An Officer shall sign the Securities for the Company by manual or facsimile signature.</w:t>
      </w:r>
    </w:p>
    <w:p>
      <w:pPr>
        <w:spacing w:after="0" w:line="216" w:lineRule="exact"/>
        <w:rPr>
          <w:sz w:val="20"/>
          <w:szCs w:val="20"/>
          <w:color w:val="auto"/>
        </w:rPr>
      </w:pPr>
    </w:p>
    <w:p>
      <w:pPr>
        <w:ind w:right="400" w:firstLine="891"/>
        <w:spacing w:after="0" w:line="283" w:lineRule="auto"/>
        <w:rPr>
          <w:sz w:val="20"/>
          <w:szCs w:val="20"/>
          <w:color w:val="auto"/>
        </w:rPr>
      </w:pPr>
      <w:r>
        <w:rPr>
          <w:rFonts w:ascii="Times New Roman" w:cs="Times New Roman" w:eastAsia="Times New Roman" w:hAnsi="Times New Roman"/>
          <w:sz w:val="20"/>
          <w:szCs w:val="20"/>
          <w:color w:val="auto"/>
        </w:rPr>
        <w:t>If an Officer whose signature is on a Security no longer holds that office at the time the Security is authenticated, the Security shall nevertheless be valid.</w:t>
      </w:r>
    </w:p>
    <w:p>
      <w:pPr>
        <w:spacing w:after="0" w:line="146" w:lineRule="exact"/>
        <w:rPr>
          <w:sz w:val="20"/>
          <w:szCs w:val="20"/>
          <w:color w:val="auto"/>
        </w:rPr>
      </w:pPr>
    </w:p>
    <w:p>
      <w:pPr>
        <w:ind w:right="200" w:firstLine="891"/>
        <w:spacing w:after="0" w:line="283" w:lineRule="auto"/>
        <w:rPr>
          <w:sz w:val="20"/>
          <w:szCs w:val="20"/>
          <w:color w:val="auto"/>
        </w:rPr>
      </w:pPr>
      <w:r>
        <w:rPr>
          <w:rFonts w:ascii="Times New Roman" w:cs="Times New Roman" w:eastAsia="Times New Roman" w:hAnsi="Times New Roman"/>
          <w:sz w:val="20"/>
          <w:szCs w:val="20"/>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0" w:lineRule="exact"/>
        <w:rPr>
          <w:sz w:val="20"/>
          <w:szCs w:val="20"/>
          <w:color w:val="auto"/>
        </w:rPr>
      </w:pPr>
    </w:p>
    <w:p>
      <w:pPr>
        <w:jc w:val="both"/>
        <w:ind w:right="80" w:firstLine="891"/>
        <w:spacing w:after="0" w:line="261" w:lineRule="auto"/>
        <w:rPr>
          <w:sz w:val="20"/>
          <w:szCs w:val="20"/>
          <w:color w:val="auto"/>
        </w:rPr>
      </w:pPr>
      <w:r>
        <w:rPr>
          <w:rFonts w:ascii="Times New Roman" w:cs="Times New Roman" w:eastAsia="Times New Roman" w:hAnsi="Times New Roman"/>
          <w:sz w:val="20"/>
          <w:szCs w:val="20"/>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68" w:lineRule="exact"/>
        <w:rPr>
          <w:sz w:val="20"/>
          <w:szCs w:val="20"/>
          <w:color w:val="auto"/>
        </w:rPr>
      </w:pPr>
    </w:p>
    <w:p>
      <w:pPr>
        <w:jc w:val="both"/>
        <w:ind w:right="160" w:firstLine="891"/>
        <w:spacing w:after="0" w:line="268" w:lineRule="auto"/>
        <w:rPr>
          <w:sz w:val="20"/>
          <w:szCs w:val="20"/>
          <w:color w:val="auto"/>
        </w:rPr>
      </w:pPr>
      <w:r>
        <w:rPr>
          <w:rFonts w:ascii="Times New Roman" w:cs="Times New Roman" w:eastAsia="Times New Roman" w:hAnsi="Times New Roman"/>
          <w:sz w:val="20"/>
          <w:szCs w:val="20"/>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61" w:lineRule="exact"/>
        <w:rPr>
          <w:sz w:val="20"/>
          <w:szCs w:val="20"/>
          <w:color w:val="auto"/>
        </w:rPr>
      </w:pPr>
    </w:p>
    <w:p>
      <w:pPr>
        <w:ind w:firstLine="891"/>
        <w:spacing w:after="0" w:line="251" w:lineRule="auto"/>
        <w:rPr>
          <w:sz w:val="20"/>
          <w:szCs w:val="20"/>
          <w:color w:val="auto"/>
        </w:rPr>
      </w:pPr>
      <w:r>
        <w:rPr>
          <w:rFonts w:ascii="Times New Roman" w:cs="Times New Roman" w:eastAsia="Times New Roman" w:hAnsi="Times New Roman"/>
          <w:sz w:val="20"/>
          <w:szCs w:val="20"/>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95"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20"/>
          <w:szCs w:val="20"/>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81" w:lineRule="exact"/>
        <w:rPr>
          <w:sz w:val="20"/>
          <w:szCs w:val="20"/>
          <w:color w:val="auto"/>
        </w:rPr>
      </w:pPr>
    </w:p>
    <w:p>
      <w:pPr>
        <w:ind w:right="260" w:firstLine="891"/>
        <w:spacing w:after="0" w:line="254"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u w:val="single" w:color="auto"/>
          <w:color w:val="auto"/>
        </w:rPr>
        <w:t>Registrar and Paying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120" w:firstLine="891"/>
        <w:spacing w:after="0" w:line="254" w:lineRule="auto"/>
        <w:rPr>
          <w:sz w:val="20"/>
          <w:szCs w:val="20"/>
          <w:color w:val="auto"/>
        </w:rPr>
      </w:pPr>
      <w:r>
        <w:rPr>
          <w:rFonts w:ascii="Times New Roman" w:cs="Times New Roman" w:eastAsia="Times New Roman" w:hAnsi="Times New Roman"/>
          <w:sz w:val="20"/>
          <w:szCs w:val="20"/>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20"/>
          <w:szCs w:val="20"/>
          <w:i w:val="1"/>
          <w:iCs w:val="1"/>
          <w:color w:val="auto"/>
        </w:rPr>
        <w:t>Paying Agent</w:t>
      </w:r>
      <w:r>
        <w:rPr>
          <w:rFonts w:ascii="Times New Roman" w:cs="Times New Roman" w:eastAsia="Times New Roman" w:hAnsi="Times New Roman"/>
          <w:sz w:val="20"/>
          <w:szCs w:val="20"/>
          <w:color w:val="auto"/>
        </w:rPr>
        <w:t>”), where Securities of such Series may be surrendered for registration of transfer or exchange (“</w:t>
      </w:r>
      <w:r>
        <w:rPr>
          <w:rFonts w:ascii="Times New Roman" w:cs="Times New Roman" w:eastAsia="Times New Roman" w:hAnsi="Times New Roman"/>
          <w:sz w:val="20"/>
          <w:szCs w:val="20"/>
          <w:i w:val="1"/>
          <w:iCs w:val="1"/>
          <w:color w:val="auto"/>
        </w:rPr>
        <w:t>Registrar</w:t>
      </w:r>
      <w:r>
        <w:rPr>
          <w:rFonts w:ascii="Times New Roman" w:cs="Times New Roman" w:eastAsia="Times New Roman" w:hAnsi="Times New Roman"/>
          <w:sz w:val="20"/>
          <w:szCs w:val="20"/>
          <w:color w:val="auto"/>
        </w:rPr>
        <w:t>”) and where notices and demands to or upon the Company in respect of the Securities of such Series and this Indenture may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3" w:right="339" w:bottom="1440" w:gutter="0" w:footer="0" w:header="0"/>
        </w:sectPr>
      </w:pPr>
    </w:p>
    <w:bookmarkStart w:id="114" w:name="page115"/>
    <w:bookmarkEnd w:id="114"/>
    <w:p>
      <w:pPr>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Notice Agent</w:t>
      </w:r>
      <w:r>
        <w:rPr>
          <w:rFonts w:ascii="Times New Roman" w:cs="Times New Roman" w:eastAsia="Times New Roman" w:hAnsi="Times New Roman"/>
          <w:sz w:val="20"/>
          <w:szCs w:val="20"/>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appointment of the Trustee as the Notice Agent shall exclude the appointment of the Trustee or any office of the Trustee as an agent to receive the service of legal process on the Company.</w:t>
      </w:r>
    </w:p>
    <w:p>
      <w:pPr>
        <w:spacing w:after="0" w:line="177"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20"/>
          <w:szCs w:val="20"/>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20"/>
          <w:szCs w:val="20"/>
          <w:i w:val="1"/>
          <w:iCs w:val="1"/>
          <w:color w:val="auto"/>
        </w:rPr>
        <w:t>Registrar</w:t>
      </w:r>
      <w:r>
        <w:rPr>
          <w:rFonts w:ascii="Times New Roman" w:cs="Times New Roman" w:eastAsia="Times New Roman" w:hAnsi="Times New Roman"/>
          <w:sz w:val="20"/>
          <w:szCs w:val="20"/>
          <w:color w:val="auto"/>
        </w:rPr>
        <w:t>” includes any co-registrar; the term “</w:t>
      </w:r>
      <w:r>
        <w:rPr>
          <w:rFonts w:ascii="Times New Roman" w:cs="Times New Roman" w:eastAsia="Times New Roman" w:hAnsi="Times New Roman"/>
          <w:sz w:val="20"/>
          <w:szCs w:val="20"/>
          <w:i w:val="1"/>
          <w:iCs w:val="1"/>
          <w:color w:val="auto"/>
        </w:rPr>
        <w:t>Paying Agent</w:t>
      </w:r>
      <w:r>
        <w:rPr>
          <w:rFonts w:ascii="Times New Roman" w:cs="Times New Roman" w:eastAsia="Times New Roman" w:hAnsi="Times New Roman"/>
          <w:sz w:val="20"/>
          <w:szCs w:val="20"/>
          <w:color w:val="auto"/>
        </w:rPr>
        <w:t>” includes any additional paying agent; and the term “</w:t>
      </w:r>
      <w:r>
        <w:rPr>
          <w:rFonts w:ascii="Times New Roman" w:cs="Times New Roman" w:eastAsia="Times New Roman" w:hAnsi="Times New Roman"/>
          <w:sz w:val="20"/>
          <w:szCs w:val="20"/>
          <w:i w:val="1"/>
          <w:iCs w:val="1"/>
          <w:color w:val="auto"/>
        </w:rPr>
        <w:t>Notice Agent</w:t>
      </w:r>
      <w:r>
        <w:rPr>
          <w:rFonts w:ascii="Times New Roman" w:cs="Times New Roman" w:eastAsia="Times New Roman" w:hAnsi="Times New Roman"/>
          <w:sz w:val="20"/>
          <w:szCs w:val="20"/>
          <w:color w:val="auto"/>
        </w:rPr>
        <w:t>” includes any additional notice agent. The Company or any of its Affiliates may serve as Registrar or Paying Agent.</w:t>
      </w:r>
    </w:p>
    <w:p>
      <w:pPr>
        <w:spacing w:after="0" w:line="179" w:lineRule="exact"/>
        <w:rPr>
          <w:sz w:val="20"/>
          <w:szCs w:val="20"/>
          <w:color w:val="auto"/>
        </w:rPr>
      </w:pPr>
    </w:p>
    <w:p>
      <w:pPr>
        <w:ind w:right="380" w:firstLine="891"/>
        <w:spacing w:after="0" w:line="310" w:lineRule="auto"/>
        <w:rPr>
          <w:sz w:val="20"/>
          <w:szCs w:val="20"/>
          <w:color w:val="auto"/>
        </w:rPr>
      </w:pPr>
      <w:r>
        <w:rPr>
          <w:rFonts w:ascii="Times New Roman" w:cs="Times New Roman" w:eastAsia="Times New Roman" w:hAnsi="Times New Roman"/>
          <w:sz w:val="19"/>
          <w:szCs w:val="19"/>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3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u w:val="single" w:color="auto"/>
          <w:color w:val="auto"/>
        </w:rPr>
        <w:t>Paying Agent to Hold Money in Trust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80" w:firstLine="891"/>
        <w:spacing w:after="0" w:line="267" w:lineRule="auto"/>
        <w:rPr>
          <w:sz w:val="20"/>
          <w:szCs w:val="20"/>
          <w:color w:val="auto"/>
        </w:rPr>
      </w:pPr>
      <w:r>
        <w:rPr>
          <w:rFonts w:ascii="Times New Roman" w:cs="Times New Roman" w:eastAsia="Times New Roman" w:hAnsi="Times New Roman"/>
          <w:sz w:val="19"/>
          <w:szCs w:val="19"/>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19"/>
          <w:szCs w:val="19"/>
          <w:u w:val="single" w:color="auto"/>
          <w:color w:val="auto"/>
        </w:rPr>
        <w:t>Securityholder Lists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20"/>
          <w:szCs w:val="20"/>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9" w:right="339" w:bottom="1440" w:gutter="0" w:footer="0" w:header="0"/>
        </w:sectPr>
      </w:pPr>
    </w:p>
    <w:bookmarkStart w:id="115" w:name="page116"/>
    <w:bookmarkEnd w:id="115"/>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u w:val="single" w:color="auto"/>
          <w:color w:val="auto"/>
        </w:rPr>
        <w:t>Transfer and Exchange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891"/>
        <w:spacing w:after="0" w:line="251" w:lineRule="auto"/>
        <w:rPr>
          <w:sz w:val="20"/>
          <w:szCs w:val="20"/>
          <w:color w:val="auto"/>
        </w:rPr>
      </w:pPr>
      <w:r>
        <w:rPr>
          <w:rFonts w:ascii="Times New Roman" w:cs="Times New Roman" w:eastAsia="Times New Roman" w:hAnsi="Times New Roman"/>
          <w:sz w:val="20"/>
          <w:szCs w:val="20"/>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93" w:lineRule="exact"/>
        <w:rPr>
          <w:sz w:val="20"/>
          <w:szCs w:val="20"/>
          <w:color w:val="auto"/>
        </w:rPr>
      </w:pPr>
    </w:p>
    <w:p>
      <w:pPr>
        <w:ind w:right="100" w:firstLine="891"/>
        <w:spacing w:after="0" w:line="253" w:lineRule="auto"/>
        <w:rPr>
          <w:sz w:val="20"/>
          <w:szCs w:val="20"/>
          <w:color w:val="auto"/>
        </w:rPr>
      </w:pPr>
      <w:r>
        <w:rPr>
          <w:rFonts w:ascii="Times New Roman" w:cs="Times New Roman" w:eastAsia="Times New Roman" w:hAnsi="Times New Roman"/>
          <w:sz w:val="20"/>
          <w:szCs w:val="20"/>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9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2.8</w:t>
      </w:r>
      <w:r>
        <w:rPr>
          <w:sz w:val="20"/>
          <w:szCs w:val="20"/>
          <w:color w:val="auto"/>
        </w:rPr>
        <w:tab/>
      </w:r>
      <w:r>
        <w:rPr>
          <w:rFonts w:ascii="Times New Roman" w:cs="Times New Roman" w:eastAsia="Times New Roman" w:hAnsi="Times New Roman"/>
          <w:sz w:val="19"/>
          <w:szCs w:val="19"/>
          <w:u w:val="single" w:color="auto"/>
          <w:color w:val="auto"/>
        </w:rPr>
        <w:t>Mutilated, Destroyed, Lost and Stolen Securities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891"/>
        <w:spacing w:after="0" w:line="268" w:lineRule="auto"/>
        <w:rPr>
          <w:sz w:val="20"/>
          <w:szCs w:val="20"/>
          <w:color w:val="auto"/>
        </w:rPr>
      </w:pPr>
      <w:r>
        <w:rPr>
          <w:rFonts w:ascii="Times New Roman" w:cs="Times New Roman" w:eastAsia="Times New Roman" w:hAnsi="Times New Roman"/>
          <w:sz w:val="20"/>
          <w:szCs w:val="20"/>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1"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20"/>
          <w:szCs w:val="20"/>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92" w:lineRule="exact"/>
        <w:rPr>
          <w:sz w:val="20"/>
          <w:szCs w:val="20"/>
          <w:color w:val="auto"/>
        </w:rPr>
      </w:pPr>
    </w:p>
    <w:p>
      <w:pPr>
        <w:ind w:right="120" w:firstLine="891"/>
        <w:spacing w:after="0" w:line="269" w:lineRule="auto"/>
        <w:rPr>
          <w:sz w:val="20"/>
          <w:szCs w:val="20"/>
          <w:color w:val="auto"/>
        </w:rPr>
      </w:pPr>
      <w:r>
        <w:rPr>
          <w:rFonts w:ascii="Times New Roman" w:cs="Times New Roman" w:eastAsia="Times New Roman" w:hAnsi="Times New Roman"/>
          <w:sz w:val="20"/>
          <w:szCs w:val="20"/>
          <w:color w:val="auto"/>
        </w:rPr>
        <w:t>In case any such mutilated, destroyed, lost or stolen Security has become or is about to become due and payable, the Company in its discretion may, instead of issuing a new Security, pay such Security.</w:t>
      </w:r>
    </w:p>
    <w:p>
      <w:pPr>
        <w:spacing w:after="0" w:line="173"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20"/>
          <w:szCs w:val="20"/>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1"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20"/>
          <w:szCs w:val="20"/>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160" w:firstLine="891"/>
        <w:spacing w:after="0" w:line="283" w:lineRule="auto"/>
        <w:rPr>
          <w:sz w:val="20"/>
          <w:szCs w:val="20"/>
          <w:color w:val="auto"/>
        </w:rPr>
      </w:pPr>
      <w:r>
        <w:rPr>
          <w:rFonts w:ascii="Times New Roman" w:cs="Times New Roman" w:eastAsia="Times New Roman" w:hAnsi="Times New Roman"/>
          <w:sz w:val="20"/>
          <w:szCs w:val="20"/>
          <w:color w:val="auto"/>
        </w:rPr>
        <w:t>The provisions of this Section are exclusive and shall preclude (to the extent lawful) all other rights and remedies with respect to the replacement or payment of mutilated, destroyed, lost or stolen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3" w:right="339" w:bottom="1440" w:gutter="0" w:footer="0" w:header="0"/>
        </w:sectPr>
      </w:pPr>
    </w:p>
    <w:bookmarkStart w:id="116" w:name="page117"/>
    <w:bookmarkEnd w:id="116"/>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2.9</w:t>
      </w:r>
      <w:r>
        <w:rPr>
          <w:sz w:val="20"/>
          <w:szCs w:val="20"/>
          <w:color w:val="auto"/>
        </w:rPr>
        <w:tab/>
      </w:r>
      <w:r>
        <w:rPr>
          <w:rFonts w:ascii="Times New Roman" w:cs="Times New Roman" w:eastAsia="Times New Roman" w:hAnsi="Times New Roman"/>
          <w:sz w:val="19"/>
          <w:szCs w:val="19"/>
          <w:u w:val="single" w:color="auto"/>
          <w:color w:val="auto"/>
        </w:rPr>
        <w:t>Outstanding Securities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20"/>
          <w:szCs w:val="20"/>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68" w:lineRule="exact"/>
        <w:rPr>
          <w:sz w:val="20"/>
          <w:szCs w:val="20"/>
          <w:color w:val="auto"/>
        </w:rPr>
      </w:pPr>
    </w:p>
    <w:p>
      <w:pPr>
        <w:ind w:right="200" w:firstLine="891"/>
        <w:spacing w:after="0" w:line="283" w:lineRule="auto"/>
        <w:rPr>
          <w:sz w:val="20"/>
          <w:szCs w:val="20"/>
          <w:color w:val="auto"/>
        </w:rPr>
      </w:pPr>
      <w:r>
        <w:rPr>
          <w:rFonts w:ascii="Times New Roman" w:cs="Times New Roman" w:eastAsia="Times New Roman" w:hAnsi="Times New Roman"/>
          <w:sz w:val="20"/>
          <w:szCs w:val="20"/>
          <w:color w:val="auto"/>
        </w:rPr>
        <w:t>If a Security is replaced pursuant to Section 2.8, it ceases to be outstanding until the Trustee receives proof satisfactory to it that the replaced Security is held by a bona fide purchaser.</w:t>
      </w:r>
    </w:p>
    <w:p>
      <w:pPr>
        <w:spacing w:after="0" w:line="160" w:lineRule="exact"/>
        <w:rPr>
          <w:sz w:val="20"/>
          <w:szCs w:val="20"/>
          <w:color w:val="auto"/>
        </w:rPr>
      </w:pPr>
    </w:p>
    <w:p>
      <w:pPr>
        <w:jc w:val="both"/>
        <w:ind w:right="40" w:firstLine="891"/>
        <w:spacing w:after="0" w:line="261" w:lineRule="auto"/>
        <w:rPr>
          <w:sz w:val="20"/>
          <w:szCs w:val="20"/>
          <w:color w:val="auto"/>
        </w:rPr>
      </w:pPr>
      <w:r>
        <w:rPr>
          <w:rFonts w:ascii="Times New Roman" w:cs="Times New Roman" w:eastAsia="Times New Roman" w:hAnsi="Times New Roman"/>
          <w:sz w:val="20"/>
          <w:szCs w:val="20"/>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68" w:lineRule="exact"/>
        <w:rPr>
          <w:sz w:val="20"/>
          <w:szCs w:val="20"/>
          <w:color w:val="auto"/>
        </w:rPr>
      </w:pPr>
    </w:p>
    <w:p>
      <w:pPr>
        <w:ind w:right="280" w:firstLine="891"/>
        <w:spacing w:after="0" w:line="268" w:lineRule="auto"/>
        <w:rPr>
          <w:sz w:val="20"/>
          <w:szCs w:val="20"/>
          <w:color w:val="auto"/>
        </w:rPr>
      </w:pPr>
      <w:r>
        <w:rPr>
          <w:rFonts w:ascii="Times New Roman" w:cs="Times New Roman" w:eastAsia="Times New Roman" w:hAnsi="Times New Roman"/>
          <w:sz w:val="20"/>
          <w:szCs w:val="20"/>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61"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20"/>
          <w:szCs w:val="20"/>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Treasury Securities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80" w:firstLine="891"/>
        <w:spacing w:after="0" w:line="253" w:lineRule="auto"/>
        <w:rPr>
          <w:sz w:val="20"/>
          <w:szCs w:val="20"/>
          <w:color w:val="auto"/>
        </w:rPr>
      </w:pPr>
      <w:r>
        <w:rPr>
          <w:rFonts w:ascii="Times New Roman" w:cs="Times New Roman" w:eastAsia="Times New Roman" w:hAnsi="Times New Roman"/>
          <w:sz w:val="20"/>
          <w:szCs w:val="20"/>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Temporary Securities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0" w:firstLine="891"/>
        <w:spacing w:after="0" w:line="270" w:lineRule="auto"/>
        <w:rPr>
          <w:sz w:val="20"/>
          <w:szCs w:val="20"/>
          <w:color w:val="auto"/>
        </w:rPr>
      </w:pPr>
      <w:r>
        <w:rPr>
          <w:rFonts w:ascii="Times New Roman" w:cs="Times New Roman" w:eastAsia="Times New Roman" w:hAnsi="Times New Roman"/>
          <w:sz w:val="19"/>
          <w:szCs w:val="19"/>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891"/>
        <w:spacing w:after="0" w:line="281" w:lineRule="auto"/>
        <w:rPr>
          <w:sz w:val="20"/>
          <w:szCs w:val="20"/>
          <w:color w:val="auto"/>
        </w:rPr>
      </w:pPr>
      <w:r>
        <w:rPr>
          <w:rFonts w:ascii="Times New Roman" w:cs="Times New Roman" w:eastAsia="Times New Roman" w:hAnsi="Times New Roman"/>
          <w:sz w:val="19"/>
          <w:szCs w:val="19"/>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13" w:right="359" w:bottom="1440" w:gutter="0" w:footer="0" w:header="0"/>
        </w:sectPr>
      </w:pPr>
    </w:p>
    <w:bookmarkStart w:id="117" w:name="page118"/>
    <w:bookmarkEnd w:id="117"/>
    <w:p>
      <w:pPr>
        <w:ind w:right="480"/>
        <w:spacing w:after="0" w:line="261" w:lineRule="auto"/>
        <w:rPr>
          <w:sz w:val="20"/>
          <w:szCs w:val="20"/>
          <w:color w:val="auto"/>
        </w:rPr>
      </w:pPr>
      <w:r>
        <w:rPr>
          <w:rFonts w:ascii="Times New Roman" w:cs="Times New Roman" w:eastAsia="Times New Roman" w:hAnsi="Times New Roman"/>
          <w:sz w:val="20"/>
          <w:szCs w:val="20"/>
          <w:color w:val="auto"/>
        </w:rPr>
        <w:t>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u w:val="single" w:color="auto"/>
          <w:color w:val="auto"/>
        </w:rPr>
        <w:t>Defaulted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881"/>
        <w:spacing w:after="0" w:line="257" w:lineRule="auto"/>
        <w:rPr>
          <w:sz w:val="20"/>
          <w:szCs w:val="20"/>
          <w:color w:val="auto"/>
        </w:rPr>
      </w:pPr>
      <w:r>
        <w:rPr>
          <w:rFonts w:ascii="Times New Roman" w:cs="Times New Roman" w:eastAsia="Times New Roman" w:hAnsi="Times New Roman"/>
          <w:sz w:val="20"/>
          <w:szCs w:val="20"/>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7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Global Securities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20"/>
          <w:szCs w:val="20"/>
          <w:color w:val="auto"/>
        </w:rPr>
        <w:t xml:space="preserve">2.14.1. </w:t>
      </w:r>
      <w:r>
        <w:rPr>
          <w:rFonts w:ascii="Times New Roman" w:cs="Times New Roman" w:eastAsia="Times New Roman" w:hAnsi="Times New Roman"/>
          <w:sz w:val="20"/>
          <w:szCs w:val="20"/>
          <w:u w:val="single" w:color="auto"/>
          <w:color w:val="auto"/>
        </w:rPr>
        <w:t>Terms of Securities</w:t>
      </w:r>
      <w:r>
        <w:rPr>
          <w:rFonts w:ascii="Times New Roman" w:cs="Times New Roman" w:eastAsia="Times New Roman" w:hAnsi="Times New Roman"/>
          <w:sz w:val="20"/>
          <w:szCs w:val="20"/>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1" w:lineRule="exact"/>
        <w:rPr>
          <w:sz w:val="20"/>
          <w:szCs w:val="20"/>
          <w:color w:val="auto"/>
        </w:rPr>
      </w:pPr>
    </w:p>
    <w:p>
      <w:pPr>
        <w:ind w:right="80" w:firstLine="891"/>
        <w:spacing w:after="0" w:line="251" w:lineRule="auto"/>
        <w:rPr>
          <w:sz w:val="20"/>
          <w:szCs w:val="20"/>
          <w:color w:val="auto"/>
        </w:rPr>
      </w:pPr>
      <w:r>
        <w:rPr>
          <w:rFonts w:ascii="Times New Roman" w:cs="Times New Roman" w:eastAsia="Times New Roman" w:hAnsi="Times New Roman"/>
          <w:sz w:val="20"/>
          <w:szCs w:val="20"/>
          <w:color w:val="auto"/>
        </w:rPr>
        <w:t xml:space="preserve">2.14.2. </w:t>
      </w:r>
      <w:r>
        <w:rPr>
          <w:rFonts w:ascii="Times New Roman" w:cs="Times New Roman" w:eastAsia="Times New Roman" w:hAnsi="Times New Roman"/>
          <w:sz w:val="20"/>
          <w:szCs w:val="20"/>
          <w:u w:val="single" w:color="auto"/>
          <w:color w:val="auto"/>
        </w:rPr>
        <w:t>Transfer and Exchange</w:t>
      </w:r>
      <w:r>
        <w:rPr>
          <w:rFonts w:ascii="Times New Roman" w:cs="Times New Roman" w:eastAsia="Times New Roman" w:hAnsi="Times New Roman"/>
          <w:sz w:val="20"/>
          <w:szCs w:val="20"/>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spacing w:after="0" w:line="19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Neither the Trustee nor any Agent shall have any responsibility for any actions taken or not taken by the Depositary.</w:t>
      </w:r>
    </w:p>
    <w:p>
      <w:pPr>
        <w:spacing w:after="0" w:line="229"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20"/>
          <w:szCs w:val="20"/>
          <w:color w:val="auto"/>
        </w:rPr>
        <w:t>2.14.3.</w:t>
      </w:r>
      <w:r>
        <w:rPr>
          <w:sz w:val="20"/>
          <w:szCs w:val="20"/>
          <w:color w:val="auto"/>
        </w:rPr>
        <w:tab/>
      </w:r>
      <w:r>
        <w:rPr>
          <w:rFonts w:ascii="Times New Roman" w:cs="Times New Roman" w:eastAsia="Times New Roman" w:hAnsi="Times New Roman"/>
          <w:sz w:val="19"/>
          <w:szCs w:val="19"/>
          <w:u w:val="single" w:color="auto"/>
          <w:color w:val="auto"/>
        </w:rPr>
        <w:t>Legends</w:t>
      </w:r>
      <w:r>
        <w:rPr>
          <w:rFonts w:ascii="Times New Roman" w:cs="Times New Roman" w:eastAsia="Times New Roman" w:hAnsi="Times New Roman"/>
          <w:sz w:val="19"/>
          <w:szCs w:val="19"/>
          <w:color w:val="auto"/>
        </w:rPr>
        <w:t>. Any Global Security issued hereunder shall bear a legend in substantially the following form:</w:t>
      </w:r>
    </w:p>
    <w:p>
      <w:pPr>
        <w:spacing w:after="0" w:line="229" w:lineRule="exact"/>
        <w:rPr>
          <w:sz w:val="20"/>
          <w:szCs w:val="20"/>
          <w:color w:val="auto"/>
        </w:rPr>
      </w:pPr>
    </w:p>
    <w:p>
      <w:pPr>
        <w:ind w:right="640" w:firstLine="891"/>
        <w:spacing w:after="0" w:line="281" w:lineRule="auto"/>
        <w:rPr>
          <w:sz w:val="20"/>
          <w:szCs w:val="20"/>
          <w:color w:val="auto"/>
        </w:rPr>
      </w:pPr>
      <w:r>
        <w:rPr>
          <w:rFonts w:ascii="Times New Roman" w:cs="Times New Roman" w:eastAsia="Times New Roman" w:hAnsi="Times New Roman"/>
          <w:sz w:val="19"/>
          <w:szCs w:val="19"/>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13" w:right="359" w:bottom="1440" w:gutter="0" w:footer="0" w:header="0"/>
        </w:sectPr>
      </w:pPr>
    </w:p>
    <w:bookmarkStart w:id="118" w:name="page119"/>
    <w:bookmarkEnd w:id="118"/>
    <w:p>
      <w:pPr>
        <w:ind w:right="40"/>
        <w:spacing w:after="0" w:line="276" w:lineRule="auto"/>
        <w:rPr>
          <w:sz w:val="20"/>
          <w:szCs w:val="20"/>
          <w:color w:val="auto"/>
        </w:rPr>
      </w:pPr>
      <w:r>
        <w:rPr>
          <w:rFonts w:ascii="Times New Roman" w:cs="Times New Roman" w:eastAsia="Times New Roman" w:hAnsi="Times New Roman"/>
          <w:sz w:val="19"/>
          <w:szCs w:val="19"/>
          <w:color w:val="auto"/>
        </w:rPr>
        <w:t>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52" w:lineRule="exact"/>
        <w:rPr>
          <w:sz w:val="20"/>
          <w:szCs w:val="20"/>
          <w:color w:val="auto"/>
        </w:rPr>
      </w:pPr>
    </w:p>
    <w:p>
      <w:pPr>
        <w:ind w:firstLine="891"/>
        <w:spacing w:after="0" w:line="287" w:lineRule="auto"/>
        <w:rPr>
          <w:sz w:val="20"/>
          <w:szCs w:val="20"/>
          <w:color w:val="auto"/>
        </w:rPr>
      </w:pPr>
      <w:r>
        <w:rPr>
          <w:rFonts w:ascii="Times New Roman" w:cs="Times New Roman" w:eastAsia="Times New Roman" w:hAnsi="Times New Roman"/>
          <w:sz w:val="20"/>
          <w:szCs w:val="20"/>
          <w:color w:val="auto"/>
        </w:rPr>
        <w:t>In addition, so long as the Depository Trust Company (“</w:t>
      </w:r>
      <w:r>
        <w:rPr>
          <w:rFonts w:ascii="Times New Roman" w:cs="Times New Roman" w:eastAsia="Times New Roman" w:hAnsi="Times New Roman"/>
          <w:sz w:val="20"/>
          <w:szCs w:val="20"/>
          <w:i w:val="1"/>
          <w:iCs w:val="1"/>
          <w:color w:val="auto"/>
        </w:rPr>
        <w:t>DTC</w:t>
      </w:r>
      <w:r>
        <w:rPr>
          <w:rFonts w:ascii="Times New Roman" w:cs="Times New Roman" w:eastAsia="Times New Roman" w:hAnsi="Times New Roman"/>
          <w:sz w:val="20"/>
          <w:szCs w:val="20"/>
          <w:color w:val="auto"/>
        </w:rPr>
        <w:t>”) is the Depositary, each Global Note registered in the name of DTC or its nominee shall bear a legend in substantially the following form:</w:t>
      </w:r>
    </w:p>
    <w:p>
      <w:pPr>
        <w:spacing w:after="0" w:line="156"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9"/>
          <w:szCs w:val="19"/>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81" w:lineRule="exact"/>
        <w:rPr>
          <w:sz w:val="20"/>
          <w:szCs w:val="20"/>
          <w:color w:val="auto"/>
        </w:rPr>
      </w:pPr>
    </w:p>
    <w:p>
      <w:pPr>
        <w:ind w:right="280" w:firstLine="891"/>
        <w:spacing w:after="0" w:line="261" w:lineRule="auto"/>
        <w:rPr>
          <w:sz w:val="20"/>
          <w:szCs w:val="20"/>
          <w:color w:val="auto"/>
        </w:rPr>
      </w:pPr>
      <w:r>
        <w:rPr>
          <w:rFonts w:ascii="Times New Roman" w:cs="Times New Roman" w:eastAsia="Times New Roman" w:hAnsi="Times New Roman"/>
          <w:sz w:val="20"/>
          <w:szCs w:val="20"/>
          <w:color w:val="auto"/>
        </w:rPr>
        <w:t xml:space="preserve">2.14.4. </w:t>
      </w:r>
      <w:r>
        <w:rPr>
          <w:rFonts w:ascii="Times New Roman" w:cs="Times New Roman" w:eastAsia="Times New Roman" w:hAnsi="Times New Roman"/>
          <w:sz w:val="20"/>
          <w:szCs w:val="20"/>
          <w:u w:val="single" w:color="auto"/>
          <w:color w:val="auto"/>
        </w:rPr>
        <w:t>Acts of Holders</w:t>
      </w:r>
      <w:r>
        <w:rPr>
          <w:rFonts w:ascii="Times New Roman" w:cs="Times New Roman" w:eastAsia="Times New Roman" w:hAnsi="Times New Roman"/>
          <w:sz w:val="20"/>
          <w:szCs w:val="20"/>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81" w:lineRule="exact"/>
        <w:rPr>
          <w:sz w:val="20"/>
          <w:szCs w:val="20"/>
          <w:color w:val="auto"/>
        </w:rPr>
      </w:pPr>
    </w:p>
    <w:p>
      <w:pPr>
        <w:ind w:right="120" w:firstLine="1304"/>
        <w:spacing w:after="0" w:line="251" w:lineRule="auto"/>
        <w:tabs>
          <w:tab w:leader="none" w:pos="170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81" w:lineRule="exact"/>
        <w:rPr>
          <w:rFonts w:ascii="Times New Roman" w:cs="Times New Roman" w:eastAsia="Times New Roman" w:hAnsi="Times New Roman"/>
          <w:sz w:val="20"/>
          <w:szCs w:val="20"/>
          <w:color w:val="auto"/>
        </w:rPr>
      </w:pPr>
    </w:p>
    <w:p>
      <w:pPr>
        <w:ind w:right="40" w:firstLine="1304"/>
        <w:spacing w:after="0" w:line="253" w:lineRule="auto"/>
        <w:tabs>
          <w:tab w:leader="none" w:pos="172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9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Global Securities or any Securities issued in certificated form shall be proved by the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13" w:right="359" w:bottom="1440" w:gutter="0" w:footer="0" w:header="0"/>
        </w:sectPr>
      </w:pPr>
    </w:p>
    <w:bookmarkStart w:id="119" w:name="page120"/>
    <w:bookmarkEnd w:id="119"/>
    <w:p>
      <w:pPr>
        <w:ind w:right="40" w:firstLine="1304"/>
        <w:spacing w:after="0" w:line="258" w:lineRule="auto"/>
        <w:tabs>
          <w:tab w:leader="none" w:pos="171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72" w:lineRule="exact"/>
        <w:rPr>
          <w:rFonts w:ascii="Times New Roman" w:cs="Times New Roman" w:eastAsia="Times New Roman" w:hAnsi="Times New Roman"/>
          <w:sz w:val="20"/>
          <w:szCs w:val="20"/>
          <w:color w:val="auto"/>
        </w:rPr>
      </w:pPr>
    </w:p>
    <w:p>
      <w:pPr>
        <w:ind w:right="20" w:firstLine="1304"/>
        <w:spacing w:after="0" w:line="252" w:lineRule="auto"/>
        <w:tabs>
          <w:tab w:leader="none" w:pos="171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77"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20"/>
          <w:szCs w:val="20"/>
          <w:color w:val="auto"/>
        </w:rPr>
        <w:t>2.14.5.</w:t>
      </w:r>
      <w:r>
        <w:rPr>
          <w:sz w:val="20"/>
          <w:szCs w:val="20"/>
          <w:color w:val="auto"/>
        </w:rPr>
        <w:tab/>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Notwithstanding the other provisions of this Indenture, unless otherwise specified as contemplated by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 payment of the principal of and interest, if any, on any Global Security shall be made to the Holder thereof.</w:t>
      </w:r>
    </w:p>
    <w:p>
      <w:pPr>
        <w:spacing w:after="0" w:line="214"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20"/>
          <w:szCs w:val="20"/>
          <w:color w:val="auto"/>
        </w:rPr>
        <w:t xml:space="preserve">2.14.6. </w:t>
      </w:r>
      <w:r>
        <w:rPr>
          <w:rFonts w:ascii="Times New Roman" w:cs="Times New Roman" w:eastAsia="Times New Roman" w:hAnsi="Times New Roman"/>
          <w:sz w:val="20"/>
          <w:szCs w:val="20"/>
          <w:u w:val="single" w:color="auto"/>
          <w:color w:val="auto"/>
        </w:rPr>
        <w:t>Consents, Declaration and Directions</w:t>
      </w:r>
      <w:r>
        <w:rPr>
          <w:rFonts w:ascii="Times New Roman" w:cs="Times New Roman" w:eastAsia="Times New Roman" w:hAnsi="Times New Roman"/>
          <w:sz w:val="20"/>
          <w:szCs w:val="20"/>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CUSIP Numbers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891"/>
        <w:spacing w:after="0" w:line="253" w:lineRule="auto"/>
        <w:rPr>
          <w:sz w:val="20"/>
          <w:szCs w:val="20"/>
          <w:color w:val="auto"/>
        </w:rPr>
      </w:pPr>
      <w:r>
        <w:rPr>
          <w:rFonts w:ascii="Times New Roman" w:cs="Times New Roman" w:eastAsia="Times New Roman" w:hAnsi="Times New Roman"/>
          <w:sz w:val="20"/>
          <w:szCs w:val="20"/>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REDEMPTION</w:t>
      </w:r>
    </w:p>
    <w:p>
      <w:pPr>
        <w:spacing w:after="0" w:line="20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3.1</w:t>
      </w:r>
      <w:r>
        <w:rPr>
          <w:sz w:val="20"/>
          <w:szCs w:val="20"/>
          <w:color w:val="auto"/>
        </w:rPr>
        <w:tab/>
      </w:r>
      <w:r>
        <w:rPr>
          <w:rFonts w:ascii="Times New Roman" w:cs="Times New Roman" w:eastAsia="Times New Roman" w:hAnsi="Times New Roman"/>
          <w:sz w:val="19"/>
          <w:szCs w:val="19"/>
          <w:u w:val="single" w:color="auto"/>
          <w:color w:val="auto"/>
        </w:rPr>
        <w:t>Notice to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891"/>
        <w:spacing w:after="0" w:line="281" w:lineRule="auto"/>
        <w:rPr>
          <w:sz w:val="20"/>
          <w:szCs w:val="20"/>
          <w:color w:val="auto"/>
        </w:rPr>
      </w:pPr>
      <w:r>
        <w:rPr>
          <w:rFonts w:ascii="Times New Roman" w:cs="Times New Roman" w:eastAsia="Times New Roman" w:hAnsi="Times New Roman"/>
          <w:sz w:val="19"/>
          <w:szCs w:val="19"/>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413" w:right="379" w:bottom="1440" w:gutter="0" w:footer="0" w:header="0"/>
        </w:sectPr>
      </w:pPr>
    </w:p>
    <w:bookmarkStart w:id="120" w:name="page121"/>
    <w:bookmarkEnd w:id="120"/>
    <w:p>
      <w:pPr>
        <w:spacing w:after="0" w:line="261" w:lineRule="auto"/>
        <w:rPr>
          <w:sz w:val="20"/>
          <w:szCs w:val="20"/>
          <w:color w:val="auto"/>
        </w:rPr>
      </w:pPr>
      <w:r>
        <w:rPr>
          <w:rFonts w:ascii="Times New Roman" w:cs="Times New Roman" w:eastAsia="Times New Roman" w:hAnsi="Times New Roman"/>
          <w:sz w:val="20"/>
          <w:szCs w:val="20"/>
          <w:color w:val="auto"/>
        </w:rPr>
        <w:t>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3.2</w:t>
      </w:r>
      <w:r>
        <w:rPr>
          <w:sz w:val="20"/>
          <w:szCs w:val="20"/>
          <w:color w:val="auto"/>
        </w:rPr>
        <w:tab/>
      </w:r>
      <w:r>
        <w:rPr>
          <w:rFonts w:ascii="Times New Roman" w:cs="Times New Roman" w:eastAsia="Times New Roman" w:hAnsi="Times New Roman"/>
          <w:sz w:val="19"/>
          <w:szCs w:val="19"/>
          <w:u w:val="single" w:color="auto"/>
          <w:color w:val="auto"/>
        </w:rPr>
        <w:t>Selection of Securities to be Redeemed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891"/>
        <w:spacing w:after="0" w:line="265" w:lineRule="auto"/>
        <w:rPr>
          <w:sz w:val="20"/>
          <w:szCs w:val="20"/>
          <w:color w:val="auto"/>
        </w:rPr>
      </w:pPr>
      <w:r>
        <w:rPr>
          <w:rFonts w:ascii="Times New Roman" w:cs="Times New Roman" w:eastAsia="Times New Roman" w:hAnsi="Times New Roman"/>
          <w:sz w:val="19"/>
          <w:szCs w:val="19"/>
          <w:color w:val="auto"/>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3.3</w:t>
      </w:r>
      <w:r>
        <w:rPr>
          <w:sz w:val="20"/>
          <w:szCs w:val="20"/>
          <w:color w:val="auto"/>
        </w:rPr>
        <w:tab/>
      </w:r>
      <w:r>
        <w:rPr>
          <w:rFonts w:ascii="Times New Roman" w:cs="Times New Roman" w:eastAsia="Times New Roman" w:hAnsi="Times New Roman"/>
          <w:sz w:val="19"/>
          <w:szCs w:val="19"/>
          <w:u w:val="single" w:color="auto"/>
          <w:color w:val="auto"/>
        </w:rPr>
        <w:t>Notice of Redemption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20"/>
          <w:szCs w:val="20"/>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The notice shall identify the Securities of the Series to be redeemed and shall state:</w:t>
      </w:r>
    </w:p>
    <w:p>
      <w:pPr>
        <w:spacing w:after="0" w:line="229" w:lineRule="exact"/>
        <w:rPr>
          <w:sz w:val="20"/>
          <w:szCs w:val="20"/>
          <w:color w:val="auto"/>
        </w:rPr>
      </w:pPr>
    </w:p>
    <w:p>
      <w:pPr>
        <w:ind w:left="1720" w:hanging="416"/>
        <w:spacing w:after="0"/>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(or manner of calculation if not then known);</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29" w:lineRule="exact"/>
        <w:rPr>
          <w:rFonts w:ascii="Times New Roman" w:cs="Times New Roman" w:eastAsia="Times New Roman" w:hAnsi="Times New Roman"/>
          <w:sz w:val="20"/>
          <w:szCs w:val="20"/>
          <w:color w:val="auto"/>
        </w:rPr>
      </w:pPr>
    </w:p>
    <w:p>
      <w:pPr>
        <w:ind w:right="40" w:firstLine="1304"/>
        <w:spacing w:after="0" w:line="261" w:lineRule="auto"/>
        <w:tabs>
          <w:tab w:leader="none" w:pos="172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Securities of the Series called for redemption must be surrendered to the Paying Agent to collect the redemption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w:t>
      </w:r>
    </w:p>
    <w:p>
      <w:pPr>
        <w:spacing w:after="0" w:line="207" w:lineRule="exact"/>
        <w:rPr>
          <w:rFonts w:ascii="Times New Roman" w:cs="Times New Roman" w:eastAsia="Times New Roman" w:hAnsi="Times New Roman"/>
          <w:sz w:val="20"/>
          <w:szCs w:val="20"/>
          <w:color w:val="auto"/>
        </w:rPr>
      </w:pPr>
    </w:p>
    <w:p>
      <w:pPr>
        <w:ind w:right="260" w:firstLine="1304"/>
        <w:spacing w:after="0" w:line="269" w:lineRule="auto"/>
        <w:tabs>
          <w:tab w:leader="none" w:pos="169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interest on Securities of the Series called for redemption ceases to accrue on and after the redemption date unless the Company defaults in the deposit of 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3" w:right="339" w:bottom="1440" w:gutter="0" w:footer="0" w:header="0"/>
        </w:sectPr>
      </w:pPr>
    </w:p>
    <w:bookmarkStart w:id="121" w:name="page122"/>
    <w:bookmarkEnd w:id="121"/>
    <w:p>
      <w:pPr>
        <w:ind w:left="1740" w:hanging="436"/>
        <w:spacing w:after="0"/>
        <w:tabs>
          <w:tab w:leader="none" w:pos="17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if any; and</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as may be required by the terms of the particular Series or the Securities of a Series being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redeemed.</w:t>
      </w:r>
    </w:p>
    <w:p>
      <w:pPr>
        <w:spacing w:after="0" w:line="207" w:lineRule="exact"/>
        <w:rPr>
          <w:sz w:val="20"/>
          <w:szCs w:val="20"/>
          <w:color w:val="auto"/>
        </w:rPr>
      </w:pPr>
    </w:p>
    <w:p>
      <w:pPr>
        <w:jc w:val="both"/>
        <w:ind w:right="180" w:firstLine="891"/>
        <w:spacing w:after="0" w:line="281" w:lineRule="auto"/>
        <w:rPr>
          <w:sz w:val="20"/>
          <w:szCs w:val="20"/>
          <w:color w:val="auto"/>
        </w:rPr>
      </w:pPr>
      <w:r>
        <w:rPr>
          <w:rFonts w:ascii="Times New Roman" w:cs="Times New Roman" w:eastAsia="Times New Roman" w:hAnsi="Times New Roman"/>
          <w:sz w:val="19"/>
          <w:szCs w:val="19"/>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6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3.4</w:t>
      </w:r>
      <w:r>
        <w:rPr>
          <w:sz w:val="20"/>
          <w:szCs w:val="20"/>
          <w:color w:val="auto"/>
        </w:rPr>
        <w:tab/>
      </w:r>
      <w:r>
        <w:rPr>
          <w:rFonts w:ascii="Times New Roman" w:cs="Times New Roman" w:eastAsia="Times New Roman" w:hAnsi="Times New Roman"/>
          <w:sz w:val="19"/>
          <w:szCs w:val="19"/>
          <w:u w:val="single" w:color="auto"/>
          <w:color w:val="auto"/>
        </w:rPr>
        <w:t>Effect of Notice of Redemption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20"/>
          <w:szCs w:val="20"/>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3.5</w:t>
      </w:r>
      <w:r>
        <w:rPr>
          <w:sz w:val="20"/>
          <w:szCs w:val="20"/>
          <w:color w:val="auto"/>
        </w:rPr>
        <w:tab/>
      </w:r>
      <w:r>
        <w:rPr>
          <w:rFonts w:ascii="Times New Roman" w:cs="Times New Roman" w:eastAsia="Times New Roman" w:hAnsi="Times New Roman"/>
          <w:sz w:val="19"/>
          <w:szCs w:val="19"/>
          <w:u w:val="single" w:color="auto"/>
          <w:color w:val="auto"/>
        </w:rPr>
        <w:t>Deposit of Redemption Price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80" w:firstLine="891"/>
        <w:spacing w:after="0" w:line="261" w:lineRule="auto"/>
        <w:rPr>
          <w:sz w:val="20"/>
          <w:szCs w:val="20"/>
          <w:color w:val="auto"/>
        </w:rPr>
      </w:pPr>
      <w:r>
        <w:rPr>
          <w:rFonts w:ascii="Times New Roman" w:cs="Times New Roman" w:eastAsia="Times New Roman" w:hAnsi="Times New Roman"/>
          <w:sz w:val="20"/>
          <w:szCs w:val="20"/>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3.6</w:t>
      </w:r>
      <w:r>
        <w:rPr>
          <w:sz w:val="20"/>
          <w:szCs w:val="20"/>
          <w:color w:val="auto"/>
        </w:rPr>
        <w:tab/>
      </w:r>
      <w:r>
        <w:rPr>
          <w:rFonts w:ascii="Times New Roman" w:cs="Times New Roman" w:eastAsia="Times New Roman" w:hAnsi="Times New Roman"/>
          <w:sz w:val="19"/>
          <w:szCs w:val="19"/>
          <w:u w:val="single" w:color="auto"/>
          <w:color w:val="auto"/>
        </w:rPr>
        <w:t>Securities Redeemed in Part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60" w:firstLine="891"/>
        <w:spacing w:after="0" w:line="269" w:lineRule="auto"/>
        <w:rPr>
          <w:sz w:val="20"/>
          <w:szCs w:val="20"/>
          <w:color w:val="auto"/>
        </w:rPr>
      </w:pPr>
      <w:r>
        <w:rPr>
          <w:rFonts w:ascii="Times New Roman" w:cs="Times New Roman" w:eastAsia="Times New Roman" w:hAnsi="Times New Roman"/>
          <w:sz w:val="20"/>
          <w:szCs w:val="20"/>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19"/>
          <w:szCs w:val="19"/>
          <w:u w:val="single" w:color="auto"/>
          <w:color w:val="auto"/>
        </w:rPr>
        <w:t>Payment of Principal and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80" w:firstLine="891"/>
        <w:spacing w:after="0" w:line="276" w:lineRule="auto"/>
        <w:rPr>
          <w:sz w:val="20"/>
          <w:szCs w:val="20"/>
          <w:color w:val="auto"/>
        </w:rPr>
      </w:pPr>
      <w:r>
        <w:rPr>
          <w:rFonts w:ascii="Times New Roman" w:cs="Times New Roman" w:eastAsia="Times New Roman" w:hAnsi="Times New Roman"/>
          <w:sz w:val="19"/>
          <w:szCs w:val="19"/>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7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4.2</w:t>
      </w:r>
      <w:r>
        <w:rPr>
          <w:sz w:val="20"/>
          <w:szCs w:val="20"/>
          <w:color w:val="auto"/>
        </w:rPr>
        <w:tab/>
      </w:r>
      <w:r>
        <w:rPr>
          <w:rFonts w:ascii="Times New Roman" w:cs="Times New Roman" w:eastAsia="Times New Roman" w:hAnsi="Times New Roman"/>
          <w:sz w:val="19"/>
          <w:szCs w:val="19"/>
          <w:u w:val="single" w:color="auto"/>
          <w:color w:val="auto"/>
        </w:rPr>
        <w:t>SEC Reports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20"/>
          <w:szCs w:val="20"/>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13" w:right="359" w:bottom="1440" w:gutter="0" w:footer="0" w:header="0"/>
        </w:sectPr>
      </w:pPr>
    </w:p>
    <w:bookmarkStart w:id="122" w:name="page123"/>
    <w:bookmarkEnd w:id="122"/>
    <w:p>
      <w:pPr>
        <w:ind w:right="100"/>
        <w:spacing w:after="0" w:line="261" w:lineRule="auto"/>
        <w:rPr>
          <w:sz w:val="20"/>
          <w:szCs w:val="20"/>
          <w:color w:val="auto"/>
        </w:rPr>
      </w:pPr>
      <w:r>
        <w:rPr>
          <w:rFonts w:ascii="Times New Roman" w:cs="Times New Roman" w:eastAsia="Times New Roman" w:hAnsi="Times New Roman"/>
          <w:sz w:val="20"/>
          <w:szCs w:val="20"/>
          <w:color w:val="auto"/>
        </w:rPr>
        <w:t>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81" w:lineRule="exact"/>
        <w:rPr>
          <w:sz w:val="20"/>
          <w:szCs w:val="20"/>
          <w:color w:val="auto"/>
        </w:rPr>
      </w:pPr>
    </w:p>
    <w:p>
      <w:pPr>
        <w:jc w:val="both"/>
        <w:ind w:firstLine="891"/>
        <w:spacing w:after="0" w:line="258" w:lineRule="auto"/>
        <w:rPr>
          <w:sz w:val="20"/>
          <w:szCs w:val="20"/>
          <w:color w:val="auto"/>
        </w:rPr>
      </w:pPr>
      <w:r>
        <w:rPr>
          <w:rFonts w:ascii="Times New Roman" w:cs="Times New Roman" w:eastAsia="Times New Roman" w:hAnsi="Times New Roman"/>
          <w:sz w:val="20"/>
          <w:szCs w:val="20"/>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9"/>
          <w:szCs w:val="19"/>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4.4</w:t>
      </w:r>
      <w:r>
        <w:rPr>
          <w:sz w:val="20"/>
          <w:szCs w:val="20"/>
          <w:color w:val="auto"/>
        </w:rPr>
        <w:tab/>
      </w:r>
      <w:r>
        <w:rPr>
          <w:rFonts w:ascii="Times New Roman" w:cs="Times New Roman" w:eastAsia="Times New Roman" w:hAnsi="Times New Roman"/>
          <w:sz w:val="19"/>
          <w:szCs w:val="19"/>
          <w:u w:val="single" w:color="auto"/>
          <w:color w:val="auto"/>
        </w:rPr>
        <w:t>Stay, Extension and Usury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51" w:lineRule="auto"/>
        <w:rPr>
          <w:sz w:val="20"/>
          <w:szCs w:val="20"/>
          <w:color w:val="auto"/>
        </w:rPr>
      </w:pPr>
      <w:r>
        <w:rPr>
          <w:rFonts w:ascii="Times New Roman" w:cs="Times New Roman" w:eastAsia="Times New Roman" w:hAnsi="Times New Roman"/>
          <w:sz w:val="20"/>
          <w:szCs w:val="20"/>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SUCCESSORS</w:t>
      </w:r>
    </w:p>
    <w:p>
      <w:pPr>
        <w:spacing w:after="0" w:line="20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u w:val="single" w:color="auto"/>
          <w:color w:val="auto"/>
        </w:rPr>
        <w:t>When Company May Merge,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00" w:firstLine="891"/>
        <w:spacing w:after="0" w:line="269" w:lineRule="auto"/>
        <w:rPr>
          <w:sz w:val="20"/>
          <w:szCs w:val="20"/>
          <w:color w:val="auto"/>
        </w:rPr>
      </w:pPr>
      <w:r>
        <w:rPr>
          <w:rFonts w:ascii="Times New Roman" w:cs="Times New Roman" w:eastAsia="Times New Roman" w:hAnsi="Times New Roman"/>
          <w:sz w:val="20"/>
          <w:szCs w:val="20"/>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20"/>
          <w:szCs w:val="20"/>
          <w:i w:val="1"/>
          <w:iCs w:val="1"/>
          <w:color w:val="auto"/>
        </w:rPr>
        <w:t>successor person</w:t>
      </w:r>
      <w:r>
        <w:rPr>
          <w:rFonts w:ascii="Times New Roman" w:cs="Times New Roman" w:eastAsia="Times New Roman" w:hAnsi="Times New Roman"/>
          <w:sz w:val="20"/>
          <w:szCs w:val="20"/>
          <w:color w:val="auto"/>
        </w:rPr>
        <w:t>”) unless:</w:t>
      </w:r>
    </w:p>
    <w:p>
      <w:pPr>
        <w:spacing w:after="0" w:line="173" w:lineRule="exact"/>
        <w:rPr>
          <w:sz w:val="20"/>
          <w:szCs w:val="20"/>
          <w:color w:val="auto"/>
        </w:rPr>
      </w:pPr>
    </w:p>
    <w:p>
      <w:pPr>
        <w:jc w:val="both"/>
        <w:ind w:right="740" w:firstLine="1304"/>
        <w:spacing w:after="0" w:line="281" w:lineRule="auto"/>
        <w:tabs>
          <w:tab w:leader="none" w:pos="1713"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64"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the transaction, no Default or Event of Default, shall have occurred and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13" w:right="359" w:bottom="1440" w:gutter="0" w:footer="0" w:header="0"/>
        </w:sectPr>
      </w:pPr>
    </w:p>
    <w:bookmarkStart w:id="123" w:name="page124"/>
    <w:bookmarkEnd w:id="123"/>
    <w:p>
      <w:pPr>
        <w:jc w:val="both"/>
        <w:ind w:right="140" w:firstLine="891"/>
        <w:spacing w:after="0" w:line="261" w:lineRule="auto"/>
        <w:rPr>
          <w:sz w:val="20"/>
          <w:szCs w:val="20"/>
          <w:color w:val="auto"/>
        </w:rPr>
      </w:pPr>
      <w:r>
        <w:rPr>
          <w:rFonts w:ascii="Times New Roman" w:cs="Times New Roman" w:eastAsia="Times New Roman" w:hAnsi="Times New Roman"/>
          <w:sz w:val="20"/>
          <w:szCs w:val="20"/>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1" w:lineRule="exact"/>
        <w:rPr>
          <w:sz w:val="20"/>
          <w:szCs w:val="20"/>
          <w:color w:val="auto"/>
        </w:rPr>
      </w:pPr>
    </w:p>
    <w:p>
      <w:pPr>
        <w:jc w:val="both"/>
        <w:ind w:right="700" w:firstLine="891"/>
        <w:spacing w:after="0" w:line="261" w:lineRule="auto"/>
        <w:rPr>
          <w:sz w:val="20"/>
          <w:szCs w:val="20"/>
          <w:color w:val="auto"/>
        </w:rPr>
      </w:pPr>
      <w:r>
        <w:rPr>
          <w:rFonts w:ascii="Times New Roman" w:cs="Times New Roman" w:eastAsia="Times New Roman" w:hAnsi="Times New Roman"/>
          <w:sz w:val="20"/>
          <w:szCs w:val="20"/>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5.2</w:t>
      </w:r>
      <w:r>
        <w:rPr>
          <w:sz w:val="20"/>
          <w:szCs w:val="20"/>
          <w:color w:val="auto"/>
        </w:rPr>
        <w:tab/>
      </w:r>
      <w:r>
        <w:rPr>
          <w:rFonts w:ascii="Times New Roman" w:cs="Times New Roman" w:eastAsia="Times New Roman" w:hAnsi="Times New Roman"/>
          <w:sz w:val="19"/>
          <w:szCs w:val="19"/>
          <w:u w:val="single" w:color="auto"/>
          <w:color w:val="auto"/>
        </w:rPr>
        <w:t>Successor Corporation Substituted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891"/>
        <w:spacing w:after="0" w:line="253" w:lineRule="auto"/>
        <w:rPr>
          <w:sz w:val="20"/>
          <w:szCs w:val="20"/>
          <w:color w:val="auto"/>
        </w:rPr>
      </w:pPr>
      <w:r>
        <w:rPr>
          <w:rFonts w:ascii="Times New Roman" w:cs="Times New Roman" w:eastAsia="Times New Roman" w:hAnsi="Times New Roman"/>
          <w:sz w:val="20"/>
          <w:szCs w:val="20"/>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predecessor Company in the case of a sale, conveyance or other disposition (other than a lease) shall be released from all obligations and covenants under this Indenture and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DEFAULTS AND REMEDIES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firstLine="89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Event of Default</w:t>
      </w:r>
      <w:r>
        <w:rPr>
          <w:rFonts w:ascii="Times New Roman" w:cs="Times New Roman" w:eastAsia="Times New Roman" w:hAnsi="Times New Roman"/>
          <w:sz w:val="20"/>
          <w:szCs w:val="20"/>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66" w:lineRule="exact"/>
        <w:rPr>
          <w:sz w:val="20"/>
          <w:szCs w:val="20"/>
          <w:color w:val="auto"/>
        </w:rPr>
      </w:pPr>
    </w:p>
    <w:p>
      <w:pPr>
        <w:ind w:right="80" w:firstLine="1304"/>
        <w:spacing w:after="0" w:line="270" w:lineRule="auto"/>
        <w:tabs>
          <w:tab w:leader="none" w:pos="171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such period); or</w:t>
      </w:r>
    </w:p>
    <w:p>
      <w:pPr>
        <w:spacing w:after="0" w:line="9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principal of any Security of that Series at its Maturity; or</w:t>
      </w:r>
    </w:p>
    <w:p>
      <w:pPr>
        <w:spacing w:after="0" w:line="229" w:lineRule="exact"/>
        <w:rPr>
          <w:rFonts w:ascii="Times New Roman" w:cs="Times New Roman" w:eastAsia="Times New Roman" w:hAnsi="Times New Roman"/>
          <w:sz w:val="20"/>
          <w:szCs w:val="20"/>
          <w:color w:val="auto"/>
        </w:rPr>
      </w:pPr>
    </w:p>
    <w:p>
      <w:pPr>
        <w:ind w:right="60" w:firstLine="1304"/>
        <w:spacing w:after="0" w:line="253" w:lineRule="auto"/>
        <w:tabs>
          <w:tab w:leader="none" w:pos="171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pursuant to or within the meaning of any Bankruptcy Law:</w:t>
      </w:r>
    </w:p>
    <w:p>
      <w:pPr>
        <w:spacing w:after="0" w:line="229" w:lineRule="exact"/>
        <w:rPr>
          <w:rFonts w:ascii="Times New Roman" w:cs="Times New Roman" w:eastAsia="Times New Roman" w:hAnsi="Times New Roman"/>
          <w:sz w:val="20"/>
          <w:szCs w:val="20"/>
          <w:color w:val="auto"/>
        </w:rPr>
      </w:pPr>
    </w:p>
    <w:p>
      <w:pPr>
        <w:ind w:left="2500" w:hanging="386"/>
        <w:spacing w:after="0"/>
        <w:tabs>
          <w:tab w:leader="none" w:pos="25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commences a voluntary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13" w:right="339" w:bottom="1440" w:gutter="0" w:footer="0" w:header="0"/>
        </w:sectPr>
      </w:pPr>
    </w:p>
    <w:bookmarkStart w:id="124" w:name="page125"/>
    <w:bookmarkEnd w:id="124"/>
    <w:p>
      <w:pPr>
        <w:ind w:left="2560" w:hanging="446"/>
        <w:spacing w:after="0"/>
        <w:tabs>
          <w:tab w:leader="none" w:pos="25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entry of an order for relief against it in an involuntary case,</w:t>
      </w:r>
    </w:p>
    <w:p>
      <w:pPr>
        <w:spacing w:after="0" w:line="229" w:lineRule="exact"/>
        <w:rPr>
          <w:rFonts w:ascii="Times New Roman" w:cs="Times New Roman" w:eastAsia="Times New Roman" w:hAnsi="Times New Roman"/>
          <w:sz w:val="20"/>
          <w:szCs w:val="20"/>
          <w:color w:val="auto"/>
        </w:rPr>
      </w:pPr>
    </w:p>
    <w:p>
      <w:pPr>
        <w:ind w:left="2600" w:hanging="486"/>
        <w:spacing w:after="0"/>
        <w:tabs>
          <w:tab w:leader="none" w:pos="26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appointment of a Custodian of it or for all or substantially all of its property,</w:t>
      </w:r>
    </w:p>
    <w:p>
      <w:pPr>
        <w:spacing w:after="0" w:line="215" w:lineRule="exact"/>
        <w:rPr>
          <w:rFonts w:ascii="Times New Roman" w:cs="Times New Roman" w:eastAsia="Times New Roman" w:hAnsi="Times New Roman"/>
          <w:sz w:val="20"/>
          <w:szCs w:val="20"/>
          <w:color w:val="auto"/>
        </w:rPr>
      </w:pPr>
    </w:p>
    <w:p>
      <w:pPr>
        <w:ind w:left="2600" w:hanging="486"/>
        <w:spacing w:after="0"/>
        <w:tabs>
          <w:tab w:leader="none" w:pos="26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for the benefit of its creditors, or</w:t>
      </w:r>
    </w:p>
    <w:p>
      <w:pPr>
        <w:spacing w:after="0" w:line="229" w:lineRule="exact"/>
        <w:rPr>
          <w:rFonts w:ascii="Times New Roman" w:cs="Times New Roman" w:eastAsia="Times New Roman" w:hAnsi="Times New Roman"/>
          <w:sz w:val="20"/>
          <w:szCs w:val="20"/>
          <w:color w:val="auto"/>
        </w:rPr>
      </w:pPr>
    </w:p>
    <w:p>
      <w:pPr>
        <w:ind w:left="2540" w:hanging="426"/>
        <w:spacing w:after="0"/>
        <w:tabs>
          <w:tab w:leader="none" w:pos="254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is unable to pay its debts as the same become due; or</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Bankruptcy Law that:</w:t>
      </w:r>
    </w:p>
    <w:p>
      <w:pPr>
        <w:spacing w:after="0" w:line="229" w:lineRule="exact"/>
        <w:rPr>
          <w:rFonts w:ascii="Times New Roman" w:cs="Times New Roman" w:eastAsia="Times New Roman" w:hAnsi="Times New Roman"/>
          <w:sz w:val="20"/>
          <w:szCs w:val="20"/>
          <w:color w:val="auto"/>
        </w:rPr>
      </w:pPr>
    </w:p>
    <w:p>
      <w:pPr>
        <w:ind w:left="2500" w:hanging="386"/>
        <w:spacing w:after="0"/>
        <w:tabs>
          <w:tab w:leader="none" w:pos="250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for relief against the Company in an involuntary case,</w:t>
      </w:r>
    </w:p>
    <w:p>
      <w:pPr>
        <w:spacing w:after="0" w:line="229" w:lineRule="exact"/>
        <w:rPr>
          <w:rFonts w:ascii="Times New Roman" w:cs="Times New Roman" w:eastAsia="Times New Roman" w:hAnsi="Times New Roman"/>
          <w:sz w:val="20"/>
          <w:szCs w:val="20"/>
          <w:color w:val="auto"/>
        </w:rPr>
      </w:pPr>
    </w:p>
    <w:p>
      <w:pPr>
        <w:ind w:left="2560" w:hanging="446"/>
        <w:spacing w:after="0"/>
        <w:tabs>
          <w:tab w:leader="none" w:pos="256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appoints a Custodian of the Company or for all or substantially all of its property, or</w:t>
      </w:r>
    </w:p>
    <w:p>
      <w:pPr>
        <w:spacing w:after="0" w:line="215" w:lineRule="exact"/>
        <w:rPr>
          <w:rFonts w:ascii="Times New Roman" w:cs="Times New Roman" w:eastAsia="Times New Roman" w:hAnsi="Times New Roman"/>
          <w:sz w:val="20"/>
          <w:szCs w:val="20"/>
          <w:color w:val="auto"/>
        </w:rPr>
      </w:pPr>
    </w:p>
    <w:p>
      <w:pPr>
        <w:ind w:left="2600" w:hanging="486"/>
        <w:spacing w:after="0"/>
        <w:tabs>
          <w:tab w:leader="none" w:pos="260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orders the liquidation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order or decree remains unstayed and in effect for 60 days; or</w:t>
      </w:r>
    </w:p>
    <w:p>
      <w:pPr>
        <w:spacing w:after="0" w:line="216" w:lineRule="exact"/>
        <w:rPr>
          <w:sz w:val="20"/>
          <w:szCs w:val="20"/>
          <w:color w:val="auto"/>
        </w:rPr>
      </w:pPr>
    </w:p>
    <w:p>
      <w:pPr>
        <w:ind w:firstLine="1304"/>
        <w:spacing w:after="0" w:line="283" w:lineRule="auto"/>
        <w:tabs>
          <w:tab w:leader="none" w:pos="169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of Default provided with respect to Securities of that Series, which is specified in a Board Resolution, a supplemental indenture hereto or an Officer’s Certificate, in accordance with Section 2.2.18.</w:t>
      </w:r>
    </w:p>
    <w:p>
      <w:pPr>
        <w:spacing w:after="0" w:line="156" w:lineRule="exact"/>
        <w:rPr>
          <w:sz w:val="20"/>
          <w:szCs w:val="20"/>
          <w:color w:val="auto"/>
        </w:rPr>
      </w:pPr>
    </w:p>
    <w:p>
      <w:pPr>
        <w:ind w:right="100" w:firstLine="891"/>
        <w:spacing w:after="0" w:line="273"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i w:val="1"/>
          <w:iCs w:val="1"/>
          <w:color w:val="auto"/>
        </w:rPr>
        <w:t>Bankruptcy Law</w:t>
      </w:r>
      <w:r>
        <w:rPr>
          <w:rFonts w:ascii="Times New Roman" w:cs="Times New Roman" w:eastAsia="Times New Roman" w:hAnsi="Times New Roman"/>
          <w:sz w:val="20"/>
          <w:szCs w:val="20"/>
          <w:color w:val="auto"/>
        </w:rPr>
        <w:t>” means title 11, U.S. Code or any similar U.S. Federal or State law for the relief of debtors. The term “</w:t>
      </w:r>
      <w:r>
        <w:rPr>
          <w:rFonts w:ascii="Times New Roman" w:cs="Times New Roman" w:eastAsia="Times New Roman" w:hAnsi="Times New Roman"/>
          <w:sz w:val="20"/>
          <w:szCs w:val="20"/>
          <w:i w:val="1"/>
          <w:iCs w:val="1"/>
          <w:color w:val="auto"/>
        </w:rPr>
        <w:t>Custodian</w:t>
      </w:r>
      <w:r>
        <w:rPr>
          <w:rFonts w:ascii="Times New Roman" w:cs="Times New Roman" w:eastAsia="Times New Roman" w:hAnsi="Times New Roman"/>
          <w:sz w:val="20"/>
          <w:szCs w:val="20"/>
          <w:color w:val="auto"/>
        </w:rPr>
        <w:t>” means any receiver, trustee, assignee, liquidator or similar official under any Bankruptcy Law.</w:t>
      </w:r>
    </w:p>
    <w:p>
      <w:pPr>
        <w:spacing w:after="0" w:line="169" w:lineRule="exact"/>
        <w:rPr>
          <w:sz w:val="20"/>
          <w:szCs w:val="20"/>
          <w:color w:val="auto"/>
        </w:rPr>
      </w:pPr>
    </w:p>
    <w:p>
      <w:pPr>
        <w:jc w:val="both"/>
        <w:ind w:right="40" w:firstLine="891"/>
        <w:spacing w:after="0" w:line="261" w:lineRule="auto"/>
        <w:rPr>
          <w:sz w:val="20"/>
          <w:szCs w:val="20"/>
          <w:color w:val="auto"/>
        </w:rPr>
      </w:pPr>
      <w:r>
        <w:rPr>
          <w:rFonts w:ascii="Times New Roman" w:cs="Times New Roman" w:eastAsia="Times New Roman" w:hAnsi="Times New Roman"/>
          <w:sz w:val="20"/>
          <w:szCs w:val="20"/>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6.2</w:t>
      </w:r>
      <w:r>
        <w:rPr>
          <w:sz w:val="20"/>
          <w:szCs w:val="20"/>
          <w:color w:val="auto"/>
        </w:rPr>
        <w:tab/>
      </w:r>
      <w:r>
        <w:rPr>
          <w:rFonts w:ascii="Times New Roman" w:cs="Times New Roman" w:eastAsia="Times New Roman" w:hAnsi="Times New Roman"/>
          <w:sz w:val="19"/>
          <w:szCs w:val="19"/>
          <w:u w:val="single" w:color="auto"/>
          <w:color w:val="auto"/>
        </w:rPr>
        <w:t>Acceleration of Maturity; Rescission and Annulment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891"/>
        <w:spacing w:after="0" w:line="252" w:lineRule="auto"/>
        <w:rPr>
          <w:sz w:val="20"/>
          <w:szCs w:val="20"/>
          <w:color w:val="auto"/>
        </w:rPr>
      </w:pPr>
      <w:r>
        <w:rPr>
          <w:rFonts w:ascii="Times New Roman" w:cs="Times New Roman" w:eastAsia="Times New Roman" w:hAnsi="Times New Roman"/>
          <w:sz w:val="20"/>
          <w:szCs w:val="20"/>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20"/>
          <w:szCs w:val="20"/>
          <w:i w:val="1"/>
          <w:iCs w:val="1"/>
          <w:color w:val="auto"/>
        </w:rPr>
        <w:t>ipso facto</w:t>
      </w:r>
      <w:r>
        <w:rPr>
          <w:rFonts w:ascii="Times New Roman" w:cs="Times New Roman" w:eastAsia="Times New Roman" w:hAnsi="Times New Roman"/>
          <w:sz w:val="20"/>
          <w:szCs w:val="20"/>
          <w:color w:val="auto"/>
        </w:rPr>
        <w:t xml:space="preserve"> become and be immediately due and payable without any declaration or other act on the part of the Trustee or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00"/>
          </w:cols>
          <w:pgMar w:left="320" w:top="1413" w:right="379" w:bottom="1440" w:gutter="0" w:footer="0" w:header="0"/>
        </w:sectPr>
      </w:pPr>
    </w:p>
    <w:bookmarkStart w:id="125" w:name="page126"/>
    <w:bookmarkEnd w:id="125"/>
    <w:p>
      <w:pPr>
        <w:ind w:right="40" w:firstLine="891"/>
        <w:spacing w:after="0" w:line="253" w:lineRule="auto"/>
        <w:rPr>
          <w:sz w:val="20"/>
          <w:szCs w:val="20"/>
          <w:color w:val="auto"/>
        </w:rPr>
      </w:pPr>
      <w:r>
        <w:rPr>
          <w:rFonts w:ascii="Times New Roman" w:cs="Times New Roman" w:eastAsia="Times New Roman" w:hAnsi="Times New Roman"/>
          <w:sz w:val="20"/>
          <w:szCs w:val="20"/>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No such rescission shall affect any subsequent Default or impair any right consequent thereon.</w:t>
      </w:r>
    </w:p>
    <w:p>
      <w:pPr>
        <w:spacing w:after="0" w:line="21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6.3</w:t>
      </w:r>
      <w:r>
        <w:rPr>
          <w:sz w:val="20"/>
          <w:szCs w:val="20"/>
          <w:color w:val="auto"/>
        </w:rPr>
        <w:tab/>
      </w:r>
      <w:r>
        <w:rPr>
          <w:rFonts w:ascii="Times New Roman" w:cs="Times New Roman" w:eastAsia="Times New Roman" w:hAnsi="Times New Roman"/>
          <w:sz w:val="19"/>
          <w:szCs w:val="19"/>
          <w:u w:val="single" w:color="auto"/>
          <w:color w:val="auto"/>
        </w:rPr>
        <w:t>Collection of Indebtedness and Suits for Enforcement by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The Company covenants that if</w:t>
      </w:r>
    </w:p>
    <w:p>
      <w:pPr>
        <w:spacing w:after="0" w:line="216" w:lineRule="exact"/>
        <w:rPr>
          <w:sz w:val="20"/>
          <w:szCs w:val="20"/>
          <w:color w:val="auto"/>
        </w:rPr>
      </w:pPr>
    </w:p>
    <w:p>
      <w:pPr>
        <w:ind w:right="220" w:firstLine="1304"/>
        <w:spacing w:after="0" w:line="283" w:lineRule="auto"/>
        <w:tabs>
          <w:tab w:leader="none" w:pos="171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is made in the payment of any interest on any Security when such interest becomes due and payable and such default continues for a period of 30 days, or</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is made in the payment of principal of any Security at the Maturity thereof, or</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is made in the deposit of any sinking fund payment, if any, when and as due by the terms of a Security,</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i w:val="1"/>
          <w:iCs w:val="1"/>
          <w:color w:val="auto"/>
        </w:rPr>
        <w:t>then</w:t>
      </w:r>
      <w:r>
        <w:rPr>
          <w:rFonts w:ascii="Times New Roman" w:cs="Times New Roman" w:eastAsia="Times New Roman" w:hAnsi="Times New Roman"/>
          <w:sz w:val="20"/>
          <w:szCs w:val="20"/>
          <w:color w:val="auto"/>
        </w:rPr>
        <w:t>, the Company will, upon demand of the Trustee, pay to it, for the benefit of the Holders of such Securities, the whole amount then due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91"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20"/>
          <w:szCs w:val="20"/>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92"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20"/>
          <w:szCs w:val="20"/>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6.4</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20"/>
          <w:szCs w:val="20"/>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00"/>
          </w:cols>
          <w:pgMar w:left="320" w:top="1413" w:right="379" w:bottom="1440" w:gutter="0" w:footer="0" w:header="0"/>
        </w:sectPr>
      </w:pPr>
    </w:p>
    <w:bookmarkStart w:id="126" w:name="page127"/>
    <w:bookmarkEnd w:id="126"/>
    <w:p>
      <w:pPr>
        <w:ind w:right="140"/>
        <w:spacing w:after="0" w:line="261" w:lineRule="auto"/>
        <w:rPr>
          <w:sz w:val="20"/>
          <w:szCs w:val="20"/>
          <w:color w:val="auto"/>
        </w:rPr>
      </w:pPr>
      <w:r>
        <w:rPr>
          <w:rFonts w:ascii="Times New Roman" w:cs="Times New Roman" w:eastAsia="Times New Roman" w:hAnsi="Times New Roman"/>
          <w:sz w:val="20"/>
          <w:szCs w:val="20"/>
          <w:color w:val="auto"/>
        </w:rPr>
        <w:t>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1" w:lineRule="exact"/>
        <w:rPr>
          <w:sz w:val="20"/>
          <w:szCs w:val="20"/>
          <w:color w:val="auto"/>
        </w:rPr>
      </w:pPr>
    </w:p>
    <w:p>
      <w:pPr>
        <w:jc w:val="both"/>
        <w:ind w:right="60" w:firstLine="1304"/>
        <w:spacing w:after="0" w:line="258" w:lineRule="auto"/>
        <w:tabs>
          <w:tab w:leader="none" w:pos="171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72" w:lineRule="exact"/>
        <w:rPr>
          <w:rFonts w:ascii="Times New Roman" w:cs="Times New Roman" w:eastAsia="Times New Roman" w:hAnsi="Times New Roman"/>
          <w:sz w:val="20"/>
          <w:szCs w:val="20"/>
          <w:color w:val="auto"/>
        </w:rPr>
      </w:pPr>
    </w:p>
    <w:p>
      <w:pPr>
        <w:ind w:right="60" w:firstLine="1304"/>
        <w:spacing w:after="0" w:line="257" w:lineRule="auto"/>
        <w:tabs>
          <w:tab w:leader="none" w:pos="172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73" w:lineRule="exact"/>
        <w:rPr>
          <w:sz w:val="20"/>
          <w:szCs w:val="20"/>
          <w:color w:val="auto"/>
        </w:rPr>
      </w:pPr>
    </w:p>
    <w:p>
      <w:pPr>
        <w:jc w:val="both"/>
        <w:ind w:right="180" w:firstLine="891"/>
        <w:spacing w:after="0" w:line="261" w:lineRule="auto"/>
        <w:rPr>
          <w:sz w:val="20"/>
          <w:szCs w:val="20"/>
          <w:color w:val="auto"/>
        </w:rPr>
      </w:pPr>
      <w:r>
        <w:rPr>
          <w:rFonts w:ascii="Times New Roman" w:cs="Times New Roman" w:eastAsia="Times New Roman" w:hAnsi="Times New Roman"/>
          <w:sz w:val="20"/>
          <w:szCs w:val="20"/>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6.5</w:t>
      </w:r>
      <w:r>
        <w:rPr>
          <w:sz w:val="20"/>
          <w:szCs w:val="20"/>
          <w:color w:val="auto"/>
        </w:rPr>
        <w:tab/>
      </w:r>
      <w:r>
        <w:rPr>
          <w:rFonts w:ascii="Times New Roman" w:cs="Times New Roman" w:eastAsia="Times New Roman" w:hAnsi="Times New Roman"/>
          <w:sz w:val="19"/>
          <w:szCs w:val="19"/>
          <w:u w:val="single" w:color="auto"/>
          <w:color w:val="auto"/>
        </w:rPr>
        <w:t>Trustee May Enforce Claims Without Possession of Securities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20"/>
          <w:szCs w:val="20"/>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7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6.6</w:t>
      </w:r>
      <w:r>
        <w:rPr>
          <w:sz w:val="20"/>
          <w:szCs w:val="20"/>
          <w:color w:val="auto"/>
        </w:rPr>
        <w:tab/>
      </w:r>
      <w:r>
        <w:rPr>
          <w:rFonts w:ascii="Times New Roman" w:cs="Times New Roman" w:eastAsia="Times New Roman" w:hAnsi="Times New Roman"/>
          <w:sz w:val="19"/>
          <w:szCs w:val="19"/>
          <w:u w:val="single" w:color="auto"/>
          <w:color w:val="auto"/>
        </w:rPr>
        <w:t>Application of Money Collected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20"/>
          <w:szCs w:val="20"/>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First: To the payment of all amounts due the Trustee under Section 7.7; and</w:t>
      </w:r>
    </w:p>
    <w:p>
      <w:pPr>
        <w:spacing w:after="0" w:line="216" w:lineRule="exact"/>
        <w:rPr>
          <w:sz w:val="20"/>
          <w:szCs w:val="20"/>
          <w:color w:val="auto"/>
        </w:rPr>
      </w:pPr>
    </w:p>
    <w:p>
      <w:pPr>
        <w:ind w:right="40" w:firstLine="891"/>
        <w:spacing w:after="0" w:line="268" w:lineRule="auto"/>
        <w:rPr>
          <w:sz w:val="20"/>
          <w:szCs w:val="20"/>
          <w:color w:val="auto"/>
        </w:rPr>
      </w:pPr>
      <w:r>
        <w:rPr>
          <w:rFonts w:ascii="Times New Roman" w:cs="Times New Roman" w:eastAsia="Times New Roman" w:hAnsi="Times New Roman"/>
          <w:sz w:val="20"/>
          <w:szCs w:val="20"/>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Third: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13" w:right="359" w:bottom="1440" w:gutter="0" w:footer="0" w:header="0"/>
        </w:sectPr>
      </w:pPr>
    </w:p>
    <w:bookmarkStart w:id="127" w:name="page128"/>
    <w:bookmarkEnd w:id="127"/>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6.7</w:t>
      </w:r>
      <w:r>
        <w:rPr>
          <w:sz w:val="20"/>
          <w:szCs w:val="20"/>
          <w:color w:val="auto"/>
        </w:rPr>
        <w:tab/>
      </w:r>
      <w:r>
        <w:rPr>
          <w:rFonts w:ascii="Times New Roman" w:cs="Times New Roman" w:eastAsia="Times New Roman" w:hAnsi="Times New Roman"/>
          <w:sz w:val="19"/>
          <w:szCs w:val="19"/>
          <w:u w:val="single" w:color="auto"/>
          <w:color w:val="auto"/>
        </w:rPr>
        <w:t>Limitation on Suits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firstLine="891"/>
        <w:spacing w:after="0" w:line="269" w:lineRule="auto"/>
        <w:rPr>
          <w:sz w:val="20"/>
          <w:szCs w:val="20"/>
          <w:color w:val="auto"/>
        </w:rPr>
      </w:pPr>
      <w:r>
        <w:rPr>
          <w:rFonts w:ascii="Times New Roman" w:cs="Times New Roman" w:eastAsia="Times New Roman" w:hAnsi="Times New Roman"/>
          <w:sz w:val="20"/>
          <w:szCs w:val="20"/>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3" w:lineRule="exact"/>
        <w:rPr>
          <w:sz w:val="20"/>
          <w:szCs w:val="20"/>
          <w:color w:val="auto"/>
        </w:rPr>
      </w:pPr>
    </w:p>
    <w:p>
      <w:pPr>
        <w:ind w:firstLine="1304"/>
        <w:spacing w:after="0" w:line="269" w:lineRule="auto"/>
        <w:tabs>
          <w:tab w:leader="none" w:pos="179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has previously given written notice to the Trustee of a continuing Event of Default with respect to the Securities of that Series;</w:t>
      </w:r>
    </w:p>
    <w:p>
      <w:pPr>
        <w:spacing w:after="0" w:line="172" w:lineRule="exact"/>
        <w:rPr>
          <w:rFonts w:ascii="Times New Roman" w:cs="Times New Roman" w:eastAsia="Times New Roman" w:hAnsi="Times New Roman"/>
          <w:sz w:val="20"/>
          <w:szCs w:val="20"/>
          <w:color w:val="auto"/>
        </w:rPr>
      </w:pPr>
    </w:p>
    <w:p>
      <w:pPr>
        <w:ind w:right="600" w:firstLine="1304"/>
        <w:spacing w:after="0" w:line="310" w:lineRule="auto"/>
        <w:tabs>
          <w:tab w:leader="none" w:pos="172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24" w:lineRule="exact"/>
        <w:rPr>
          <w:rFonts w:ascii="Times New Roman" w:cs="Times New Roman" w:eastAsia="Times New Roman" w:hAnsi="Times New Roman"/>
          <w:sz w:val="19"/>
          <w:szCs w:val="19"/>
          <w:color w:val="auto"/>
        </w:rPr>
      </w:pPr>
    </w:p>
    <w:p>
      <w:pPr>
        <w:ind w:right="260" w:firstLine="1304"/>
        <w:spacing w:after="0" w:line="283" w:lineRule="auto"/>
        <w:tabs>
          <w:tab w:leader="none" w:pos="171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or Holders have offered to the Trustee indemnity or security satisfactory to the Trustee against the costs, expenses and liabilities which might be incurred by the Trustee in compliance with such request;</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for 60 days after its receipt of such notice, request and offer of indemnity has failed to institute any such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proceeding; and</w:t>
      </w:r>
    </w:p>
    <w:p>
      <w:pPr>
        <w:spacing w:after="0" w:line="213" w:lineRule="exact"/>
        <w:rPr>
          <w:rFonts w:ascii="Times New Roman" w:cs="Times New Roman" w:eastAsia="Times New Roman" w:hAnsi="Times New Roman"/>
          <w:sz w:val="20"/>
          <w:szCs w:val="20"/>
          <w:color w:val="auto"/>
        </w:rPr>
      </w:pPr>
    </w:p>
    <w:p>
      <w:pPr>
        <w:ind w:right="500" w:firstLine="1304"/>
        <w:spacing w:after="0" w:line="269" w:lineRule="auto"/>
        <w:tabs>
          <w:tab w:leader="none" w:pos="171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direction inconsistent with such written request has been given to the Trustee during such 60-day period by the Holders of a majority in principal amount of the outstanding Securities of that Series;</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9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6.8</w:t>
      </w:r>
      <w:r>
        <w:rPr>
          <w:sz w:val="20"/>
          <w:szCs w:val="20"/>
          <w:color w:val="auto"/>
        </w:rPr>
        <w:tab/>
      </w:r>
      <w:r>
        <w:rPr>
          <w:rFonts w:ascii="Times New Roman" w:cs="Times New Roman" w:eastAsia="Times New Roman" w:hAnsi="Times New Roman"/>
          <w:sz w:val="19"/>
          <w:szCs w:val="19"/>
          <w:u w:val="single" w:color="auto"/>
          <w:color w:val="auto"/>
        </w:rPr>
        <w:t>Unconditional Right of Holders to Receive Principal and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20"/>
          <w:szCs w:val="20"/>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6.9</w:t>
      </w:r>
      <w:r>
        <w:rPr>
          <w:sz w:val="20"/>
          <w:szCs w:val="20"/>
          <w:color w:val="auto"/>
        </w:rPr>
        <w:tab/>
      </w:r>
      <w:r>
        <w:rPr>
          <w:rFonts w:ascii="Times New Roman" w:cs="Times New Roman" w:eastAsia="Times New Roman" w:hAnsi="Times New Roman"/>
          <w:sz w:val="19"/>
          <w:szCs w:val="19"/>
          <w:u w:val="single" w:color="auto"/>
          <w:color w:val="auto"/>
        </w:rPr>
        <w:t>Restoration of Rights and Remedies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20"/>
          <w:szCs w:val="20"/>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13" w:right="339" w:bottom="1440" w:gutter="0" w:footer="0" w:header="0"/>
        </w:sectPr>
      </w:pPr>
    </w:p>
    <w:bookmarkStart w:id="128" w:name="page129"/>
    <w:bookmarkEnd w:id="128"/>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6.10</w:t>
      </w:r>
      <w:r>
        <w:rPr>
          <w:sz w:val="20"/>
          <w:szCs w:val="20"/>
          <w:color w:val="auto"/>
        </w:rPr>
        <w:tab/>
      </w:r>
      <w:r>
        <w:rPr>
          <w:rFonts w:ascii="Times New Roman" w:cs="Times New Roman" w:eastAsia="Times New Roman" w:hAnsi="Times New Roman"/>
          <w:sz w:val="19"/>
          <w:szCs w:val="19"/>
          <w:u w:val="single" w:color="auto"/>
          <w:color w:val="auto"/>
        </w:rPr>
        <w:t>Rights and Remedies Cumulative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00" w:firstLine="891"/>
        <w:spacing w:after="0" w:line="253" w:lineRule="auto"/>
        <w:rPr>
          <w:sz w:val="20"/>
          <w:szCs w:val="20"/>
          <w:color w:val="auto"/>
        </w:rPr>
      </w:pPr>
      <w:r>
        <w:rPr>
          <w:rFonts w:ascii="Times New Roman" w:cs="Times New Roman" w:eastAsia="Times New Roman" w:hAnsi="Times New Roman"/>
          <w:sz w:val="20"/>
          <w:szCs w:val="20"/>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9"/>
          <w:szCs w:val="19"/>
          <w:u w:val="single" w:color="auto"/>
          <w:color w:val="auto"/>
        </w:rPr>
        <w:t>Delay or Omission Not Waiver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20"/>
          <w:szCs w:val="20"/>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u w:val="single" w:color="auto"/>
          <w:color w:val="auto"/>
        </w:rPr>
        <w:t>Control by 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300" w:firstLine="891"/>
        <w:spacing w:after="0" w:line="261" w:lineRule="auto"/>
        <w:rPr>
          <w:sz w:val="20"/>
          <w:szCs w:val="20"/>
          <w:color w:val="auto"/>
        </w:rPr>
      </w:pPr>
      <w:r>
        <w:rPr>
          <w:rFonts w:ascii="Times New Roman" w:cs="Times New Roman" w:eastAsia="Times New Roman" w:hAnsi="Times New Roman"/>
          <w:sz w:val="20"/>
          <w:szCs w:val="20"/>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1720" w:hanging="416"/>
        <w:spacing w:after="0"/>
        <w:tabs>
          <w:tab w:leader="none" w:pos="17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direction shall not be in conflict with any rule of law or with this Indenture,</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take any other action deemed proper by the Trustee which is not inconsistent with such direction,</w:t>
      </w:r>
    </w:p>
    <w:p>
      <w:pPr>
        <w:spacing w:after="0" w:line="229" w:lineRule="exact"/>
        <w:rPr>
          <w:rFonts w:ascii="Times New Roman" w:cs="Times New Roman" w:eastAsia="Times New Roman" w:hAnsi="Times New Roman"/>
          <w:sz w:val="20"/>
          <w:szCs w:val="20"/>
          <w:color w:val="auto"/>
        </w:rPr>
      </w:pPr>
    </w:p>
    <w:p>
      <w:pPr>
        <w:ind w:right="260" w:firstLine="1304"/>
        <w:spacing w:after="0" w:line="261" w:lineRule="auto"/>
        <w:tabs>
          <w:tab w:leader="none" w:pos="171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67" w:lineRule="exact"/>
        <w:rPr>
          <w:rFonts w:ascii="Times New Roman" w:cs="Times New Roman" w:eastAsia="Times New Roman" w:hAnsi="Times New Roman"/>
          <w:sz w:val="20"/>
          <w:szCs w:val="20"/>
          <w:color w:val="auto"/>
        </w:rPr>
      </w:pPr>
    </w:p>
    <w:p>
      <w:pPr>
        <w:ind w:right="80" w:firstLine="1304"/>
        <w:spacing w:after="0" w:line="283" w:lineRule="auto"/>
        <w:tabs>
          <w:tab w:leader="none" w:pos="172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6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6.13</w:t>
      </w:r>
      <w:r>
        <w:rPr>
          <w:sz w:val="20"/>
          <w:szCs w:val="20"/>
          <w:color w:val="auto"/>
        </w:rPr>
        <w:tab/>
      </w:r>
      <w:r>
        <w:rPr>
          <w:rFonts w:ascii="Times New Roman" w:cs="Times New Roman" w:eastAsia="Times New Roman" w:hAnsi="Times New Roman"/>
          <w:sz w:val="19"/>
          <w:szCs w:val="19"/>
          <w:u w:val="single" w:color="auto"/>
          <w:color w:val="auto"/>
        </w:rPr>
        <w:t>Waiver of Past Defaults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20"/>
          <w:szCs w:val="20"/>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13" w:right="339" w:bottom="1440" w:gutter="0" w:footer="0" w:header="0"/>
        </w:sectPr>
      </w:pPr>
    </w:p>
    <w:bookmarkStart w:id="129" w:name="page130"/>
    <w:bookmarkEnd w:id="129"/>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6.14</w:t>
      </w:r>
      <w:r>
        <w:rPr>
          <w:sz w:val="20"/>
          <w:szCs w:val="20"/>
          <w:color w:val="auto"/>
        </w:rPr>
        <w:tab/>
      </w:r>
      <w:r>
        <w:rPr>
          <w:rFonts w:ascii="Times New Roman" w:cs="Times New Roman" w:eastAsia="Times New Roman" w:hAnsi="Times New Roman"/>
          <w:sz w:val="19"/>
          <w:szCs w:val="19"/>
          <w:u w:val="single" w:color="auto"/>
          <w:color w:val="auto"/>
        </w:rPr>
        <w:t>Undertaking for Costs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50" w:lineRule="auto"/>
        <w:rPr>
          <w:sz w:val="20"/>
          <w:szCs w:val="20"/>
          <w:color w:val="auto"/>
        </w:rPr>
      </w:pPr>
      <w:r>
        <w:rPr>
          <w:rFonts w:ascii="Times New Roman" w:cs="Times New Roman" w:eastAsia="Times New Roman" w:hAnsi="Times New Roman"/>
          <w:sz w:val="20"/>
          <w:szCs w:val="20"/>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TRUSTEE</w:t>
      </w:r>
    </w:p>
    <w:p>
      <w:pPr>
        <w:spacing w:after="0" w:line="20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u w:val="single" w:color="auto"/>
          <w:color w:val="auto"/>
        </w:rPr>
        <w:t>Duties of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304"/>
        <w:spacing w:after="0" w:line="261" w:lineRule="auto"/>
        <w:tabs>
          <w:tab w:leader="none" w:pos="171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15" w:lineRule="exact"/>
        <w:rPr>
          <w:rFonts w:ascii="Times New Roman" w:cs="Times New Roman" w:eastAsia="Times New Roman" w:hAnsi="Times New Roman"/>
          <w:sz w:val="20"/>
          <w:szCs w:val="20"/>
          <w:color w:val="auto"/>
        </w:rPr>
      </w:pPr>
    </w:p>
    <w:p>
      <w:pPr>
        <w:ind w:right="40" w:firstLine="1952"/>
        <w:spacing w:after="0" w:line="283" w:lineRule="auto"/>
        <w:tabs>
          <w:tab w:leader="none" w:pos="232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need perform only those duties that are specifically set forth in this Indenture and no others, and no implied covenants or obligations shall be read into this Indenture against the Trustee.</w:t>
      </w:r>
    </w:p>
    <w:p>
      <w:pPr>
        <w:spacing w:after="0" w:line="146" w:lineRule="exact"/>
        <w:rPr>
          <w:rFonts w:ascii="Times New Roman" w:cs="Times New Roman" w:eastAsia="Times New Roman" w:hAnsi="Times New Roman"/>
          <w:sz w:val="20"/>
          <w:szCs w:val="20"/>
          <w:color w:val="auto"/>
        </w:rPr>
      </w:pPr>
    </w:p>
    <w:p>
      <w:pPr>
        <w:ind w:right="20" w:firstLine="1952"/>
        <w:spacing w:after="0" w:line="253" w:lineRule="auto"/>
        <w:tabs>
          <w:tab w:leader="none" w:pos="238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92" w:lineRule="exact"/>
        <w:rPr>
          <w:rFonts w:ascii="Times New Roman" w:cs="Times New Roman" w:eastAsia="Times New Roman" w:hAnsi="Times New Roman"/>
          <w:sz w:val="20"/>
          <w:szCs w:val="20"/>
          <w:color w:val="auto"/>
        </w:rPr>
      </w:pPr>
    </w:p>
    <w:p>
      <w:pPr>
        <w:ind w:right="260" w:firstLine="1304"/>
        <w:spacing w:after="0" w:line="269" w:lineRule="auto"/>
        <w:tabs>
          <w:tab w:leader="none" w:pos="171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liability for its own negligent action, its own negligent failure to act or its own willful misconduct, except that:</w:t>
      </w:r>
    </w:p>
    <w:p>
      <w:pPr>
        <w:spacing w:after="0" w:line="172"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paragraph does not limit the effect of paragraph (b) of this Section.</w:t>
      </w:r>
    </w:p>
    <w:p>
      <w:pPr>
        <w:spacing w:after="0" w:line="229" w:lineRule="exact"/>
        <w:rPr>
          <w:rFonts w:ascii="Times New Roman" w:cs="Times New Roman" w:eastAsia="Times New Roman" w:hAnsi="Times New Roman"/>
          <w:sz w:val="20"/>
          <w:szCs w:val="20"/>
          <w:color w:val="auto"/>
        </w:rPr>
      </w:pPr>
    </w:p>
    <w:p>
      <w:pPr>
        <w:ind w:right="80" w:firstLine="1952"/>
        <w:spacing w:after="0" w:line="269" w:lineRule="auto"/>
        <w:tabs>
          <w:tab w:leader="none" w:pos="238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413" w:right="359" w:bottom="1440" w:gutter="0" w:footer="0" w:header="0"/>
        </w:sectPr>
      </w:pPr>
    </w:p>
    <w:bookmarkStart w:id="130" w:name="page131"/>
    <w:bookmarkEnd w:id="130"/>
    <w:p>
      <w:pPr>
        <w:ind w:right="340" w:firstLine="1952"/>
        <w:spacing w:after="0" w:line="253" w:lineRule="auto"/>
        <w:tabs>
          <w:tab w:leader="none" w:pos="243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9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provision of this Indenture that in any way relates to the Trustee is subject to paragraph (a), (b) and (c) of this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w:t>
      </w:r>
    </w:p>
    <w:p>
      <w:pPr>
        <w:spacing w:after="0" w:line="200" w:lineRule="exact"/>
        <w:rPr>
          <w:rFonts w:ascii="Times New Roman" w:cs="Times New Roman" w:eastAsia="Times New Roman" w:hAnsi="Times New Roman"/>
          <w:sz w:val="20"/>
          <w:szCs w:val="20"/>
          <w:color w:val="auto"/>
        </w:rPr>
      </w:pPr>
    </w:p>
    <w:p>
      <w:pPr>
        <w:ind w:firstLine="1304"/>
        <w:spacing w:after="0" w:line="283" w:lineRule="auto"/>
        <w:tabs>
          <w:tab w:leader="none" w:pos="171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46" w:lineRule="exact"/>
        <w:rPr>
          <w:rFonts w:ascii="Times New Roman" w:cs="Times New Roman" w:eastAsia="Times New Roman" w:hAnsi="Times New Roman"/>
          <w:sz w:val="20"/>
          <w:szCs w:val="20"/>
          <w:color w:val="auto"/>
        </w:rPr>
      </w:pPr>
    </w:p>
    <w:p>
      <w:pPr>
        <w:ind w:right="20" w:firstLine="1304"/>
        <w:spacing w:after="0" w:line="310" w:lineRule="auto"/>
        <w:tabs>
          <w:tab w:leader="none" w:pos="1688"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37" w:lineRule="exact"/>
        <w:rPr>
          <w:rFonts w:ascii="Times New Roman" w:cs="Times New Roman" w:eastAsia="Times New Roman" w:hAnsi="Times New Roman"/>
          <w:sz w:val="19"/>
          <w:szCs w:val="19"/>
          <w:color w:val="auto"/>
        </w:rPr>
      </w:pPr>
    </w:p>
    <w:p>
      <w:pPr>
        <w:ind w:right="60" w:firstLine="1304"/>
        <w:spacing w:after="0" w:line="269" w:lineRule="auto"/>
        <w:tabs>
          <w:tab w:leader="none" w:pos="172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172" w:lineRule="exact"/>
        <w:rPr>
          <w:rFonts w:ascii="Times New Roman" w:cs="Times New Roman" w:eastAsia="Times New Roman" w:hAnsi="Times New Roman"/>
          <w:sz w:val="20"/>
          <w:szCs w:val="20"/>
          <w:color w:val="auto"/>
        </w:rPr>
      </w:pPr>
    </w:p>
    <w:p>
      <w:pPr>
        <w:ind w:right="120" w:firstLine="1304"/>
        <w:spacing w:after="0" w:line="269" w:lineRule="auto"/>
        <w:tabs>
          <w:tab w:leader="none" w:pos="172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7.2</w:t>
      </w:r>
      <w:r>
        <w:rPr>
          <w:sz w:val="20"/>
          <w:szCs w:val="20"/>
          <w:color w:val="auto"/>
        </w:rPr>
        <w:tab/>
      </w:r>
      <w:r>
        <w:rPr>
          <w:rFonts w:ascii="Times New Roman" w:cs="Times New Roman" w:eastAsia="Times New Roman" w:hAnsi="Times New Roman"/>
          <w:sz w:val="19"/>
          <w:szCs w:val="19"/>
          <w:u w:val="single" w:color="auto"/>
          <w:color w:val="auto"/>
        </w:rPr>
        <w:t>Rights of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80" w:firstLine="1304"/>
        <w:spacing w:after="0" w:line="261" w:lineRule="auto"/>
        <w:tabs>
          <w:tab w:leader="none" w:pos="171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67" w:lineRule="exact"/>
        <w:rPr>
          <w:rFonts w:ascii="Times New Roman" w:cs="Times New Roman" w:eastAsia="Times New Roman" w:hAnsi="Times New Roman"/>
          <w:sz w:val="20"/>
          <w:szCs w:val="20"/>
          <w:color w:val="auto"/>
        </w:rPr>
      </w:pPr>
    </w:p>
    <w:p>
      <w:pPr>
        <w:ind w:right="20" w:firstLine="1304"/>
        <w:spacing w:after="0" w:line="261" w:lineRule="auto"/>
        <w:tabs>
          <w:tab w:leader="none" w:pos="172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81" w:lineRule="exact"/>
        <w:rPr>
          <w:rFonts w:ascii="Times New Roman" w:cs="Times New Roman" w:eastAsia="Times New Roman" w:hAnsi="Times New Roman"/>
          <w:sz w:val="20"/>
          <w:szCs w:val="20"/>
          <w:color w:val="auto"/>
        </w:rPr>
      </w:pPr>
    </w:p>
    <w:p>
      <w:pPr>
        <w:ind w:right="200" w:firstLine="1304"/>
        <w:spacing w:after="0" w:line="261" w:lineRule="auto"/>
        <w:tabs>
          <w:tab w:leader="none" w:pos="171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81" w:lineRule="exact"/>
        <w:rPr>
          <w:rFonts w:ascii="Times New Roman" w:cs="Times New Roman" w:eastAsia="Times New Roman" w:hAnsi="Times New Roman"/>
          <w:sz w:val="20"/>
          <w:szCs w:val="20"/>
          <w:color w:val="auto"/>
        </w:rPr>
      </w:pPr>
    </w:p>
    <w:p>
      <w:pPr>
        <w:ind w:right="60" w:firstLine="1304"/>
        <w:spacing w:after="0" w:line="269" w:lineRule="auto"/>
        <w:tabs>
          <w:tab w:leader="none" w:pos="172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72" w:lineRule="exact"/>
        <w:rPr>
          <w:rFonts w:ascii="Times New Roman" w:cs="Times New Roman" w:eastAsia="Times New Roman" w:hAnsi="Times New Roman"/>
          <w:sz w:val="20"/>
          <w:szCs w:val="20"/>
          <w:color w:val="auto"/>
        </w:rPr>
      </w:pPr>
    </w:p>
    <w:p>
      <w:pPr>
        <w:jc w:val="both"/>
        <w:ind w:right="540" w:firstLine="1304"/>
        <w:spacing w:after="0" w:line="261" w:lineRule="auto"/>
        <w:tabs>
          <w:tab w:leader="none" w:pos="171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13" w:right="359" w:bottom="1440" w:gutter="0" w:footer="0" w:header="0"/>
        </w:sectPr>
      </w:pPr>
    </w:p>
    <w:bookmarkStart w:id="131" w:name="page132"/>
    <w:bookmarkEnd w:id="131"/>
    <w:p>
      <w:pPr>
        <w:ind w:right="380" w:firstLine="1304"/>
        <w:spacing w:after="0" w:line="258" w:lineRule="auto"/>
        <w:tabs>
          <w:tab w:leader="none" w:pos="168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172" w:lineRule="exact"/>
        <w:rPr>
          <w:rFonts w:ascii="Times New Roman" w:cs="Times New Roman" w:eastAsia="Times New Roman" w:hAnsi="Times New Roman"/>
          <w:sz w:val="20"/>
          <w:szCs w:val="20"/>
          <w:color w:val="auto"/>
        </w:rPr>
      </w:pPr>
    </w:p>
    <w:p>
      <w:pPr>
        <w:ind w:right="40" w:firstLine="1304"/>
        <w:spacing w:after="0" w:line="258" w:lineRule="auto"/>
        <w:tabs>
          <w:tab w:leader="none" w:pos="172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5" w:lineRule="exact"/>
        <w:rPr>
          <w:rFonts w:ascii="Times New Roman" w:cs="Times New Roman" w:eastAsia="Times New Roman" w:hAnsi="Times New Roman"/>
          <w:sz w:val="20"/>
          <w:szCs w:val="20"/>
          <w:color w:val="auto"/>
        </w:rPr>
      </w:pPr>
    </w:p>
    <w:p>
      <w:pPr>
        <w:ind w:right="160" w:firstLine="1304"/>
        <w:spacing w:after="0" w:line="258" w:lineRule="auto"/>
        <w:tabs>
          <w:tab w:leader="none" w:pos="172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72" w:lineRule="exact"/>
        <w:rPr>
          <w:rFonts w:ascii="Times New Roman" w:cs="Times New Roman" w:eastAsia="Times New Roman" w:hAnsi="Times New Roman"/>
          <w:sz w:val="20"/>
          <w:szCs w:val="20"/>
          <w:color w:val="auto"/>
        </w:rPr>
      </w:pPr>
    </w:p>
    <w:p>
      <w:pPr>
        <w:jc w:val="both"/>
        <w:ind w:right="560" w:firstLine="1304"/>
        <w:spacing w:after="0" w:line="261" w:lineRule="auto"/>
        <w:tabs>
          <w:tab w:leader="none" w:pos="168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181"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permissive right of the Trustee to take the actions permitted by this Indenture shall not be construed as an obligation</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 duty to do so.</w:t>
      </w:r>
    </w:p>
    <w:p>
      <w:pPr>
        <w:spacing w:after="0" w:line="200"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bond or surety shall be required with respect to performance of Trustee’s duties and powers.</w:t>
      </w:r>
    </w:p>
    <w:p>
      <w:pPr>
        <w:spacing w:after="0" w:line="22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no circumstances shall the Trustee be liable in its individual capacity for the obligations evidenced by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w:t>
      </w:r>
    </w:p>
    <w:p>
      <w:pPr>
        <w:spacing w:after="0" w:line="207" w:lineRule="exact"/>
        <w:rPr>
          <w:rFonts w:ascii="Times New Roman" w:cs="Times New Roman" w:eastAsia="Times New Roman" w:hAnsi="Times New Roman"/>
          <w:sz w:val="20"/>
          <w:szCs w:val="20"/>
          <w:color w:val="auto"/>
        </w:rPr>
      </w:pPr>
    </w:p>
    <w:p>
      <w:pPr>
        <w:ind w:right="260" w:firstLine="1304"/>
        <w:spacing w:after="0" w:line="269" w:lineRule="auto"/>
        <w:tabs>
          <w:tab w:leader="none" w:pos="176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or direction of the Company mentioned herein shall be sufficiently evidenced by a Company Order and any resolution of the Board of Directors may be sufficiently evidenced by a Board Resolution.</w:t>
      </w:r>
    </w:p>
    <w:p>
      <w:pPr>
        <w:spacing w:after="0" w:line="172" w:lineRule="exact"/>
        <w:rPr>
          <w:rFonts w:ascii="Times New Roman" w:cs="Times New Roman" w:eastAsia="Times New Roman" w:hAnsi="Times New Roman"/>
          <w:sz w:val="20"/>
          <w:szCs w:val="20"/>
          <w:color w:val="auto"/>
        </w:rPr>
      </w:pPr>
    </w:p>
    <w:p>
      <w:pPr>
        <w:ind w:right="300" w:firstLine="1304"/>
        <w:spacing w:after="0" w:line="283" w:lineRule="auto"/>
        <w:tabs>
          <w:tab w:leader="none" w:pos="172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 pursuant to this Indenture.</w:t>
      </w:r>
    </w:p>
    <w:p>
      <w:pPr>
        <w:spacing w:after="0" w:line="146" w:lineRule="exact"/>
        <w:rPr>
          <w:rFonts w:ascii="Times New Roman" w:cs="Times New Roman" w:eastAsia="Times New Roman" w:hAnsi="Times New Roman"/>
          <w:sz w:val="20"/>
          <w:szCs w:val="20"/>
          <w:color w:val="auto"/>
        </w:rPr>
      </w:pPr>
    </w:p>
    <w:p>
      <w:pPr>
        <w:jc w:val="both"/>
        <w:ind w:right="80" w:firstLine="1304"/>
        <w:spacing w:after="0" w:line="261" w:lineRule="auto"/>
        <w:tabs>
          <w:tab w:leader="none" w:pos="172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7.3</w:t>
      </w:r>
      <w:r>
        <w:rPr>
          <w:sz w:val="20"/>
          <w:szCs w:val="20"/>
          <w:color w:val="auto"/>
        </w:rPr>
        <w:tab/>
      </w:r>
      <w:r>
        <w:rPr>
          <w:rFonts w:ascii="Times New Roman" w:cs="Times New Roman" w:eastAsia="Times New Roman" w:hAnsi="Times New Roman"/>
          <w:sz w:val="19"/>
          <w:szCs w:val="19"/>
          <w:u w:val="single" w:color="auto"/>
          <w:color w:val="auto"/>
        </w:rPr>
        <w:t>Individual Rights of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40" w:firstLine="891"/>
        <w:spacing w:after="0" w:line="269" w:lineRule="auto"/>
        <w:rPr>
          <w:sz w:val="20"/>
          <w:szCs w:val="20"/>
          <w:color w:val="auto"/>
        </w:rPr>
      </w:pPr>
      <w:r>
        <w:rPr>
          <w:rFonts w:ascii="Times New Roman" w:cs="Times New Roman" w:eastAsia="Times New Roman" w:hAnsi="Times New Roman"/>
          <w:sz w:val="20"/>
          <w:szCs w:val="20"/>
          <w:color w:val="auto"/>
        </w:rPr>
        <w:t>The Trustee in its individual or any other capacity may become the owner or pledgee of Securities and may otherwise deal with the Company or an Affiliate of the Company with the same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1413"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it would have if it were not Trustee. Any Agent may do the same with like rights. The Trustee is also subject to Sections 7.10 and 7.11.</w:t>
      </w:r>
    </w:p>
    <w:p>
      <w:pPr>
        <w:spacing w:after="0" w:line="22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7.4</w:t>
      </w:r>
      <w:r>
        <w:rPr>
          <w:sz w:val="20"/>
          <w:szCs w:val="20"/>
          <w:color w:val="auto"/>
        </w:rPr>
        <w:tab/>
      </w:r>
      <w:r>
        <w:rPr>
          <w:rFonts w:ascii="Times New Roman" w:cs="Times New Roman" w:eastAsia="Times New Roman" w:hAnsi="Times New Roman"/>
          <w:sz w:val="19"/>
          <w:szCs w:val="19"/>
          <w:u w:val="single" w:color="auto"/>
          <w:color w:val="auto"/>
        </w:rPr>
        <w:t>Trustee’s Disclaimer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20"/>
          <w:szCs w:val="20"/>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7.5</w:t>
      </w:r>
      <w:r>
        <w:rPr>
          <w:sz w:val="20"/>
          <w:szCs w:val="20"/>
          <w:color w:val="auto"/>
        </w:rPr>
        <w:tab/>
      </w:r>
      <w:r>
        <w:rPr>
          <w:rFonts w:ascii="Times New Roman" w:cs="Times New Roman" w:eastAsia="Times New Roman" w:hAnsi="Times New Roman"/>
          <w:sz w:val="19"/>
          <w:szCs w:val="19"/>
          <w:u w:val="single" w:color="auto"/>
          <w:color w:val="auto"/>
        </w:rPr>
        <w:t>Notice of Defaults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20"/>
          <w:szCs w:val="20"/>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9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7.6</w:t>
      </w:r>
      <w:r>
        <w:rPr>
          <w:sz w:val="20"/>
          <w:szCs w:val="20"/>
          <w:color w:val="auto"/>
        </w:rPr>
        <w:tab/>
      </w:r>
      <w:r>
        <w:rPr>
          <w:rFonts w:ascii="Times New Roman" w:cs="Times New Roman" w:eastAsia="Times New Roman" w:hAnsi="Times New Roman"/>
          <w:sz w:val="19"/>
          <w:szCs w:val="19"/>
          <w:u w:val="single" w:color="auto"/>
          <w:color w:val="auto"/>
        </w:rPr>
        <w:t>Reports by Trustee to Holders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60" w:firstLine="891"/>
        <w:spacing w:after="0" w:line="261" w:lineRule="auto"/>
        <w:rPr>
          <w:sz w:val="20"/>
          <w:szCs w:val="20"/>
          <w:color w:val="auto"/>
        </w:rPr>
      </w:pPr>
      <w:r>
        <w:rPr>
          <w:rFonts w:ascii="Times New Roman" w:cs="Times New Roman" w:eastAsia="Times New Roman" w:hAnsi="Times New Roman"/>
          <w:sz w:val="20"/>
          <w:szCs w:val="20"/>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1" w:lineRule="exact"/>
        <w:rPr>
          <w:sz w:val="20"/>
          <w:szCs w:val="20"/>
          <w:color w:val="auto"/>
        </w:rPr>
      </w:pPr>
    </w:p>
    <w:p>
      <w:pPr>
        <w:ind w:right="420" w:firstLine="891"/>
        <w:spacing w:after="0" w:line="261" w:lineRule="auto"/>
        <w:rPr>
          <w:sz w:val="20"/>
          <w:szCs w:val="20"/>
          <w:color w:val="auto"/>
        </w:rPr>
      </w:pPr>
      <w:r>
        <w:rPr>
          <w:rFonts w:ascii="Times New Roman" w:cs="Times New Roman" w:eastAsia="Times New Roman" w:hAnsi="Times New Roman"/>
          <w:sz w:val="20"/>
          <w:szCs w:val="20"/>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7.7</w:t>
      </w:r>
      <w:r>
        <w:rPr>
          <w:sz w:val="20"/>
          <w:szCs w:val="20"/>
          <w:color w:val="auto"/>
        </w:rPr>
        <w:tab/>
      </w:r>
      <w:r>
        <w:rPr>
          <w:rFonts w:ascii="Times New Roman" w:cs="Times New Roman" w:eastAsia="Times New Roman" w:hAnsi="Times New Roman"/>
          <w:sz w:val="19"/>
          <w:szCs w:val="19"/>
          <w:u w:val="single" w:color="auto"/>
          <w:color w:val="auto"/>
        </w:rPr>
        <w:t>Compensation and Indemnity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20"/>
          <w:szCs w:val="20"/>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6" w:lineRule="exact"/>
        <w:rPr>
          <w:sz w:val="20"/>
          <w:szCs w:val="20"/>
          <w:color w:val="auto"/>
        </w:rPr>
      </w:pPr>
    </w:p>
    <w:p>
      <w:pPr>
        <w:jc w:val="both"/>
        <w:ind w:right="60" w:firstLine="891"/>
        <w:spacing w:after="0" w:line="254" w:lineRule="auto"/>
        <w:rPr>
          <w:sz w:val="20"/>
          <w:szCs w:val="20"/>
          <w:color w:val="auto"/>
        </w:rPr>
      </w:pPr>
      <w:r>
        <w:rPr>
          <w:rFonts w:ascii="Times New Roman" w:cs="Times New Roman" w:eastAsia="Times New Roman" w:hAnsi="Times New Roman"/>
          <w:sz w:val="20"/>
          <w:szCs w:val="20"/>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13" w:right="339" w:bottom="1440" w:gutter="0" w:footer="0" w:header="0"/>
        </w:sectPr>
      </w:pPr>
    </w:p>
    <w:bookmarkStart w:id="133" w:name="page134"/>
    <w:bookmarkEnd w:id="133"/>
    <w:p>
      <w:pPr>
        <w:ind w:right="20"/>
        <w:spacing w:after="0" w:line="253" w:lineRule="auto"/>
        <w:rPr>
          <w:sz w:val="20"/>
          <w:szCs w:val="20"/>
          <w:color w:val="auto"/>
        </w:rPr>
      </w:pPr>
      <w:r>
        <w:rPr>
          <w:rFonts w:ascii="Times New Roman" w:cs="Times New Roman" w:eastAsia="Times New Roman" w:hAnsi="Times New Roman"/>
          <w:sz w:val="20"/>
          <w:szCs w:val="20"/>
          <w:color w:val="auto"/>
        </w:rPr>
        <w:t>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20"/>
          <w:szCs w:val="20"/>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81" w:lineRule="exact"/>
        <w:rPr>
          <w:sz w:val="20"/>
          <w:szCs w:val="20"/>
          <w:color w:val="auto"/>
        </w:rPr>
      </w:pPr>
    </w:p>
    <w:p>
      <w:pPr>
        <w:jc w:val="both"/>
        <w:ind w:right="20" w:firstLine="891"/>
        <w:spacing w:after="0" w:line="261" w:lineRule="auto"/>
        <w:rPr>
          <w:sz w:val="20"/>
          <w:szCs w:val="20"/>
          <w:color w:val="auto"/>
        </w:rPr>
      </w:pPr>
      <w:r>
        <w:rPr>
          <w:rFonts w:ascii="Times New Roman" w:cs="Times New Roman" w:eastAsia="Times New Roman" w:hAnsi="Times New Roman"/>
          <w:sz w:val="20"/>
          <w:szCs w:val="20"/>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81" w:lineRule="exact"/>
        <w:rPr>
          <w:sz w:val="20"/>
          <w:szCs w:val="20"/>
          <w:color w:val="auto"/>
        </w:rPr>
      </w:pPr>
    </w:p>
    <w:p>
      <w:pPr>
        <w:ind w:right="480" w:firstLine="891"/>
        <w:spacing w:after="0" w:line="269" w:lineRule="auto"/>
        <w:rPr>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The provisions of this Section shall survive the termination of this Indenture or the resignation or removal of the Trustee.</w:t>
      </w:r>
    </w:p>
    <w:p>
      <w:pPr>
        <w:spacing w:after="0" w:line="21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7.8</w:t>
      </w:r>
      <w:r>
        <w:rPr>
          <w:sz w:val="20"/>
          <w:szCs w:val="20"/>
          <w:color w:val="auto"/>
        </w:rPr>
        <w:tab/>
      </w:r>
      <w:r>
        <w:rPr>
          <w:rFonts w:ascii="Times New Roman" w:cs="Times New Roman" w:eastAsia="Times New Roman" w:hAnsi="Times New Roman"/>
          <w:sz w:val="19"/>
          <w:szCs w:val="19"/>
          <w:u w:val="single" w:color="auto"/>
          <w:color w:val="auto"/>
        </w:rPr>
        <w:t>Replacement of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0" w:firstLine="891"/>
        <w:spacing w:after="0" w:line="283" w:lineRule="auto"/>
        <w:rPr>
          <w:sz w:val="20"/>
          <w:szCs w:val="20"/>
          <w:color w:val="auto"/>
        </w:rPr>
      </w:pPr>
      <w:r>
        <w:rPr>
          <w:rFonts w:ascii="Times New Roman" w:cs="Times New Roman" w:eastAsia="Times New Roman" w:hAnsi="Times New Roman"/>
          <w:sz w:val="20"/>
          <w:szCs w:val="20"/>
          <w:color w:val="auto"/>
        </w:rPr>
        <w:t>A resignation or removal of the Trustee and appointment of a successor Trustee shall become effective only upon the successor Trustee’s acceptance of appointment as provided in this Section.</w:t>
      </w:r>
    </w:p>
    <w:p>
      <w:pPr>
        <w:spacing w:after="0" w:line="146"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20"/>
          <w:szCs w:val="20"/>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172" w:lineRule="exact"/>
        <w:rPr>
          <w:sz w:val="20"/>
          <w:szCs w:val="20"/>
          <w:color w:val="auto"/>
        </w:rPr>
      </w:pPr>
    </w:p>
    <w:p>
      <w:pPr>
        <w:ind w:left="1720" w:hanging="416"/>
        <w:spacing w:after="0"/>
        <w:tabs>
          <w:tab w:leader="none" w:pos="17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fails to comply with Section 7.10;</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is adjudged a bankrupt or an insolvent or an order for relief is entered with respect to the Trustee under any</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Bankruptcy Law;</w:t>
      </w:r>
    </w:p>
    <w:p>
      <w:pPr>
        <w:spacing w:after="0" w:line="200" w:lineRule="exact"/>
        <w:rPr>
          <w:rFonts w:ascii="Times New Roman" w:cs="Times New Roman" w:eastAsia="Times New Roman" w:hAnsi="Times New Roman"/>
          <w:sz w:val="19"/>
          <w:szCs w:val="19"/>
          <w:color w:val="auto"/>
        </w:rPr>
      </w:pPr>
    </w:p>
    <w:p>
      <w:pPr>
        <w:ind w:left="1720" w:hanging="416"/>
        <w:spacing w:after="0"/>
        <w:tabs>
          <w:tab w:leader="none" w:pos="17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 or</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w:t>
      </w:r>
    </w:p>
    <w:p>
      <w:pPr>
        <w:spacing w:after="0" w:line="216" w:lineRule="exact"/>
        <w:rPr>
          <w:sz w:val="20"/>
          <w:szCs w:val="20"/>
          <w:color w:val="auto"/>
        </w:rPr>
      </w:pPr>
    </w:p>
    <w:p>
      <w:pPr>
        <w:jc w:val="both"/>
        <w:ind w:right="300" w:firstLine="891"/>
        <w:spacing w:after="0" w:line="268" w:lineRule="auto"/>
        <w:rPr>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160"/>
          </w:cols>
          <w:pgMar w:left="320" w:top="1413" w:right="419" w:bottom="1440" w:gutter="0" w:footer="0" w:header="0"/>
        </w:sectPr>
      </w:pPr>
    </w:p>
    <w:bookmarkStart w:id="134" w:name="page135"/>
    <w:bookmarkEnd w:id="134"/>
    <w:p>
      <w:pPr>
        <w:jc w:val="both"/>
        <w:ind w:firstLine="891"/>
        <w:spacing w:after="0" w:line="261" w:lineRule="auto"/>
        <w:rPr>
          <w:sz w:val="20"/>
          <w:szCs w:val="20"/>
          <w:color w:val="auto"/>
        </w:rPr>
      </w:pPr>
      <w:r>
        <w:rPr>
          <w:rFonts w:ascii="Times New Roman" w:cs="Times New Roman" w:eastAsia="Times New Roman" w:hAnsi="Times New Roman"/>
          <w:sz w:val="20"/>
          <w:szCs w:val="20"/>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ind w:right="20" w:firstLine="891"/>
        <w:spacing w:after="0" w:line="251" w:lineRule="auto"/>
        <w:rPr>
          <w:sz w:val="20"/>
          <w:szCs w:val="20"/>
          <w:color w:val="auto"/>
        </w:rPr>
      </w:pPr>
      <w:r>
        <w:rPr>
          <w:rFonts w:ascii="Times New Roman" w:cs="Times New Roman" w:eastAsia="Times New Roman" w:hAnsi="Times New Roman"/>
          <w:sz w:val="20"/>
          <w:szCs w:val="20"/>
          <w:color w:val="auto"/>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9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7.9</w:t>
      </w:r>
      <w:r>
        <w:rPr>
          <w:sz w:val="20"/>
          <w:szCs w:val="20"/>
          <w:color w:val="auto"/>
        </w:rPr>
        <w:tab/>
      </w:r>
      <w:r>
        <w:rPr>
          <w:rFonts w:ascii="Times New Roman" w:cs="Times New Roman" w:eastAsia="Times New Roman" w:hAnsi="Times New Roman"/>
          <w:sz w:val="19"/>
          <w:szCs w:val="19"/>
          <w:u w:val="single" w:color="auto"/>
          <w:color w:val="auto"/>
        </w:rPr>
        <w:t>Successor Trustee by Merger,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20"/>
          <w:szCs w:val="20"/>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7.10</w:t>
      </w:r>
      <w:r>
        <w:rPr>
          <w:sz w:val="20"/>
          <w:szCs w:val="20"/>
          <w:color w:val="auto"/>
        </w:rPr>
        <w:tab/>
      </w:r>
      <w:r>
        <w:rPr>
          <w:rFonts w:ascii="Times New Roman" w:cs="Times New Roman" w:eastAsia="Times New Roman" w:hAnsi="Times New Roman"/>
          <w:sz w:val="19"/>
          <w:szCs w:val="19"/>
          <w:u w:val="single" w:color="auto"/>
          <w:color w:val="auto"/>
        </w:rPr>
        <w:t>Eligibility; Disqualification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80" w:firstLine="891"/>
        <w:spacing w:after="0" w:line="261" w:lineRule="auto"/>
        <w:rPr>
          <w:sz w:val="20"/>
          <w:szCs w:val="20"/>
          <w:color w:val="auto"/>
        </w:rPr>
      </w:pPr>
      <w:r>
        <w:rPr>
          <w:rFonts w:ascii="Times New Roman" w:cs="Times New Roman" w:eastAsia="Times New Roman" w:hAnsi="Times New Roman"/>
          <w:sz w:val="20"/>
          <w:szCs w:val="20"/>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6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7.11</w:t>
      </w:r>
      <w:r>
        <w:rPr>
          <w:sz w:val="20"/>
          <w:szCs w:val="20"/>
          <w:color w:val="auto"/>
        </w:rPr>
        <w:tab/>
      </w:r>
      <w:r>
        <w:rPr>
          <w:rFonts w:ascii="Times New Roman" w:cs="Times New Roman" w:eastAsia="Times New Roman" w:hAnsi="Times New Roman"/>
          <w:sz w:val="19"/>
          <w:szCs w:val="19"/>
          <w:u w:val="single" w:color="auto"/>
          <w:color w:val="auto"/>
        </w:rPr>
        <w:t>Preferential Collection of Claims Against Company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00" w:firstLine="891"/>
        <w:spacing w:after="0" w:line="269" w:lineRule="auto"/>
        <w:rPr>
          <w:sz w:val="20"/>
          <w:szCs w:val="20"/>
          <w:color w:val="auto"/>
        </w:rPr>
      </w:pPr>
      <w:r>
        <w:rPr>
          <w:rFonts w:ascii="Times New Roman" w:cs="Times New Roman" w:eastAsia="Times New Roman" w:hAnsi="Times New Roman"/>
          <w:sz w:val="20"/>
          <w:szCs w:val="20"/>
          <w:color w:val="auto"/>
        </w:rPr>
        <w:t>The Trustee is subject to TIA § 311(a), excluding any creditor relationship listed in TIA § 311(b). A Trustee who has resigned or been removed shall be subject to TIA § 311(a) to the extent indicated.</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SATISFACTION AND DISCHARGE; DEFEASANCE</w:t>
      </w:r>
    </w:p>
    <w:p>
      <w:pPr>
        <w:spacing w:after="0" w:line="20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u w:val="single" w:color="auto"/>
          <w:color w:val="auto"/>
        </w:rPr>
        <w:t>Satisfaction and Discharge of Indenture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20" w:firstLine="891"/>
        <w:spacing w:after="0" w:line="269" w:lineRule="auto"/>
        <w:rPr>
          <w:sz w:val="20"/>
          <w:szCs w:val="20"/>
          <w:color w:val="auto"/>
        </w:rPr>
      </w:pPr>
      <w:r>
        <w:rPr>
          <w:rFonts w:ascii="Times New Roman" w:cs="Times New Roman" w:eastAsia="Times New Roman" w:hAnsi="Times New Roman"/>
          <w:sz w:val="20"/>
          <w:szCs w:val="20"/>
          <w:color w:val="auto"/>
        </w:rPr>
        <w:t>This Indenture shall upon Company Order be discharged with respect to the Securities of any Series and cease to be of further effect as to all Securities of such Series (except as hereinafter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80"/>
          </w:cols>
          <w:pgMar w:left="320" w:top="1413" w:right="399" w:bottom="1440" w:gutter="0" w:footer="0" w:header="0"/>
        </w:sectPr>
      </w:pPr>
    </w:p>
    <w:bookmarkStart w:id="135" w:name="page136"/>
    <w:bookmarkEnd w:id="135"/>
    <w:p>
      <w:pPr>
        <w:ind w:right="100"/>
        <w:spacing w:after="0" w:line="283" w:lineRule="auto"/>
        <w:rPr>
          <w:sz w:val="20"/>
          <w:szCs w:val="20"/>
          <w:color w:val="auto"/>
        </w:rPr>
      </w:pPr>
      <w:r>
        <w:rPr>
          <w:rFonts w:ascii="Times New Roman" w:cs="Times New Roman" w:eastAsia="Times New Roman" w:hAnsi="Times New Roman"/>
          <w:sz w:val="20"/>
          <w:szCs w:val="20"/>
          <w:color w:val="auto"/>
        </w:rPr>
        <w:t>this Section 8.1), and the Trustee, at the expense of the Company, shall execute instruments acknowledging satisfaction and discharge of this Indenture, when</w:t>
      </w:r>
    </w:p>
    <w:p>
      <w:pPr>
        <w:spacing w:after="0" w:line="146" w:lineRule="exact"/>
        <w:rPr>
          <w:sz w:val="20"/>
          <w:szCs w:val="20"/>
          <w:color w:val="auto"/>
        </w:rPr>
      </w:pPr>
    </w:p>
    <w:p>
      <w:pPr>
        <w:ind w:left="1720" w:hanging="416"/>
        <w:spacing w:after="0"/>
        <w:tabs>
          <w:tab w:leader="none" w:pos="17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29" w:lineRule="exact"/>
        <w:rPr>
          <w:rFonts w:ascii="Times New Roman" w:cs="Times New Roman" w:eastAsia="Times New Roman" w:hAnsi="Times New Roman"/>
          <w:sz w:val="20"/>
          <w:szCs w:val="20"/>
          <w:color w:val="auto"/>
        </w:rPr>
      </w:pPr>
    </w:p>
    <w:p>
      <w:pPr>
        <w:ind w:right="480" w:firstLine="2114"/>
        <w:spacing w:after="0" w:line="269" w:lineRule="auto"/>
        <w:tabs>
          <w:tab w:leader="none" w:pos="2491"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72" w:lineRule="exact"/>
        <w:rPr>
          <w:rFonts w:ascii="Times New Roman" w:cs="Times New Roman" w:eastAsia="Times New Roman" w:hAnsi="Times New Roman"/>
          <w:sz w:val="20"/>
          <w:szCs w:val="20"/>
          <w:color w:val="auto"/>
        </w:rPr>
      </w:pPr>
    </w:p>
    <w:p>
      <w:pPr>
        <w:ind w:left="2560" w:hanging="446"/>
        <w:spacing w:after="0"/>
        <w:tabs>
          <w:tab w:leader="none" w:pos="256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Securities of such Series not theretofore delivered to the Trustee for cancellation</w:t>
      </w:r>
    </w:p>
    <w:p>
      <w:pPr>
        <w:spacing w:after="0" w:line="229"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become due and payable by reason of sending a notice of redemption or otherwise, or</w:t>
      </w:r>
    </w:p>
    <w:p>
      <w:pPr>
        <w:spacing w:after="0" w:line="215"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become due and payable at their Stated Maturity within one year, or</w:t>
      </w:r>
    </w:p>
    <w:p>
      <w:pPr>
        <w:spacing w:after="0" w:line="229" w:lineRule="exact"/>
        <w:rPr>
          <w:rFonts w:ascii="Times New Roman" w:cs="Times New Roman" w:eastAsia="Times New Roman" w:hAnsi="Times New Roman"/>
          <w:sz w:val="20"/>
          <w:szCs w:val="20"/>
          <w:color w:val="auto"/>
        </w:rPr>
      </w:pPr>
    </w:p>
    <w:p>
      <w:pPr>
        <w:ind w:right="60" w:firstLine="2600"/>
        <w:spacing w:after="0" w:line="295" w:lineRule="auto"/>
        <w:tabs>
          <w:tab w:leader="none" w:pos="3021" w:val="left"/>
        </w:tabs>
        <w:numPr>
          <w:ilvl w:val="2"/>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51" w:lineRule="exact"/>
        <w:rPr>
          <w:rFonts w:ascii="Times New Roman" w:cs="Times New Roman" w:eastAsia="Times New Roman" w:hAnsi="Times New Roman"/>
          <w:sz w:val="19"/>
          <w:szCs w:val="19"/>
          <w:color w:val="auto"/>
        </w:rPr>
      </w:pPr>
    </w:p>
    <w:p>
      <w:pPr>
        <w:ind w:left="3020" w:hanging="420"/>
        <w:spacing w:after="0"/>
        <w:tabs>
          <w:tab w:leader="none" w:pos="3020"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deemed paid and discharged pursuant to Section 8.3, as applicable;</w:t>
      </w:r>
    </w:p>
    <w:p>
      <w:pPr>
        <w:spacing w:after="0" w:line="229"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left="1740" w:hanging="436"/>
        <w:spacing w:after="0"/>
        <w:tabs>
          <w:tab w:leader="none" w:pos="17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paid or caused to be paid all other sums payable hereunder by the Company; and</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71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73"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20"/>
          <w:szCs w:val="20"/>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8.2</w:t>
      </w:r>
      <w:r>
        <w:rPr>
          <w:sz w:val="20"/>
          <w:szCs w:val="20"/>
          <w:color w:val="auto"/>
        </w:rPr>
        <w:tab/>
      </w:r>
      <w:r>
        <w:rPr>
          <w:rFonts w:ascii="Times New Roman" w:cs="Times New Roman" w:eastAsia="Times New Roman" w:hAnsi="Times New Roman"/>
          <w:sz w:val="19"/>
          <w:szCs w:val="19"/>
          <w:u w:val="single" w:color="auto"/>
          <w:color w:val="auto"/>
        </w:rPr>
        <w:t>Application of Trust Funds; Indemnification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20" w:firstLine="1304"/>
        <w:spacing w:after="0" w:line="258" w:lineRule="auto"/>
        <w:tabs>
          <w:tab w:leader="none" w:pos="171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13" w:right="339" w:bottom="1440" w:gutter="0" w:footer="0" w:header="0"/>
        </w:sectPr>
      </w:pPr>
    </w:p>
    <w:bookmarkStart w:id="136" w:name="page137"/>
    <w:bookmarkEnd w:id="136"/>
    <w:p>
      <w:pPr>
        <w:ind w:right="40"/>
        <w:spacing w:after="0" w:line="261" w:lineRule="auto"/>
        <w:rPr>
          <w:sz w:val="20"/>
          <w:szCs w:val="20"/>
          <w:color w:val="auto"/>
        </w:rPr>
      </w:pPr>
      <w:r>
        <w:rPr>
          <w:rFonts w:ascii="Times New Roman" w:cs="Times New Roman" w:eastAsia="Times New Roman" w:hAnsi="Times New Roman"/>
          <w:sz w:val="20"/>
          <w:szCs w:val="20"/>
          <w:color w:val="auto"/>
        </w:rPr>
        <w:t>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1" w:lineRule="exact"/>
        <w:rPr>
          <w:sz w:val="20"/>
          <w:szCs w:val="20"/>
          <w:color w:val="auto"/>
        </w:rPr>
      </w:pPr>
    </w:p>
    <w:p>
      <w:pPr>
        <w:ind w:right="280" w:firstLine="1304"/>
        <w:spacing w:after="0" w:line="261" w:lineRule="auto"/>
        <w:tabs>
          <w:tab w:leader="none" w:pos="172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1" w:lineRule="exact"/>
        <w:rPr>
          <w:rFonts w:ascii="Times New Roman" w:cs="Times New Roman" w:eastAsia="Times New Roman" w:hAnsi="Times New Roman"/>
          <w:sz w:val="20"/>
          <w:szCs w:val="20"/>
          <w:color w:val="auto"/>
        </w:rPr>
      </w:pPr>
    </w:p>
    <w:p>
      <w:pPr>
        <w:ind w:right="200" w:firstLine="1304"/>
        <w:spacing w:after="0" w:line="269" w:lineRule="auto"/>
        <w:tabs>
          <w:tab w:leader="none" w:pos="171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6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8.3</w:t>
      </w:r>
      <w:r>
        <w:rPr>
          <w:sz w:val="20"/>
          <w:szCs w:val="20"/>
          <w:color w:val="auto"/>
        </w:rPr>
        <w:tab/>
      </w:r>
      <w:r>
        <w:rPr>
          <w:rFonts w:ascii="Times New Roman" w:cs="Times New Roman" w:eastAsia="Times New Roman" w:hAnsi="Times New Roman"/>
          <w:sz w:val="19"/>
          <w:szCs w:val="19"/>
          <w:u w:val="single" w:color="auto"/>
          <w:color w:val="auto"/>
        </w:rPr>
        <w:t>Legal Defeasance of Securities of any Series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891"/>
        <w:spacing w:after="0" w:line="253" w:lineRule="auto"/>
        <w:rPr>
          <w:sz w:val="20"/>
          <w:szCs w:val="20"/>
          <w:color w:val="auto"/>
        </w:rPr>
      </w:pPr>
      <w:r>
        <w:rPr>
          <w:rFonts w:ascii="Times New Roman" w:cs="Times New Roman" w:eastAsia="Times New Roman" w:hAnsi="Times New Roman"/>
          <w:sz w:val="20"/>
          <w:szCs w:val="20"/>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92" w:lineRule="exact"/>
        <w:rPr>
          <w:sz w:val="20"/>
          <w:szCs w:val="20"/>
          <w:color w:val="auto"/>
        </w:rPr>
      </w:pPr>
    </w:p>
    <w:p>
      <w:pPr>
        <w:ind w:left="1720" w:hanging="416"/>
        <w:spacing w:after="0"/>
        <w:tabs>
          <w:tab w:leader="none" w:pos="172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Holders of Securities of such Series to receive, from the trust funds described in subparagraph (d) hereof,</w:t>
      </w:r>
    </w:p>
    <w:p>
      <w:pPr>
        <w:spacing w:after="0" w:line="21" w:lineRule="exact"/>
        <w:rPr>
          <w:rFonts w:ascii="Times New Roman" w:cs="Times New Roman" w:eastAsia="Times New Roman" w:hAnsi="Times New Roman"/>
          <w:sz w:val="20"/>
          <w:szCs w:val="20"/>
          <w:color w:val="auto"/>
        </w:rPr>
      </w:pPr>
    </w:p>
    <w:p>
      <w:pPr>
        <w:ind w:left="240" w:hanging="232"/>
        <w:spacing w:after="0"/>
        <w:tabs>
          <w:tab w:leader="none" w:pos="24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the principal of and each installment of principal of and interest on the outstanding Securities of such Series on the Maturity of</w:t>
      </w:r>
    </w:p>
    <w:p>
      <w:pPr>
        <w:spacing w:after="0" w:line="1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89" w:lineRule="exact"/>
        <w:rPr>
          <w:sz w:val="20"/>
          <w:szCs w:val="20"/>
          <w:color w:val="auto"/>
        </w:rPr>
      </w:pPr>
    </w:p>
    <w:p>
      <w:pPr>
        <w:ind w:left="1740" w:hanging="436"/>
        <w:spacing w:after="0"/>
        <w:tabs>
          <w:tab w:leader="none" w:pos="17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Sections 2.4, 2.5, 2.7, 2.8, 7.7, 8.2, 8.3, 8.5 and 8.6; and</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and immunities of the Trustee hereunder and the Company’s obligations in connection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therewith;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that, the following conditions shall have been satisfied:</w:t>
      </w:r>
    </w:p>
    <w:p>
      <w:pPr>
        <w:spacing w:after="0" w:line="229" w:lineRule="exact"/>
        <w:rPr>
          <w:sz w:val="20"/>
          <w:szCs w:val="20"/>
          <w:color w:val="auto"/>
        </w:rPr>
      </w:pPr>
    </w:p>
    <w:p>
      <w:pPr>
        <w:ind w:firstLine="1304"/>
        <w:spacing w:after="0" w:line="253" w:lineRule="auto"/>
        <w:tabs>
          <w:tab w:leader="none" w:pos="172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13" w:right="339" w:bottom="1440" w:gutter="0" w:footer="0" w:header="0"/>
        </w:sectPr>
      </w:pPr>
    </w:p>
    <w:bookmarkStart w:id="137" w:name="page138"/>
    <w:bookmarkEnd w:id="137"/>
    <w:p>
      <w:pPr>
        <w:ind w:right="60"/>
        <w:spacing w:after="0" w:line="253" w:lineRule="auto"/>
        <w:rPr>
          <w:sz w:val="20"/>
          <w:szCs w:val="20"/>
          <w:color w:val="auto"/>
        </w:rPr>
      </w:pPr>
      <w:r>
        <w:rPr>
          <w:rFonts w:ascii="Times New Roman" w:cs="Times New Roman" w:eastAsia="Times New Roman" w:hAnsi="Times New Roman"/>
          <w:sz w:val="20"/>
          <w:szCs w:val="20"/>
          <w:color w:val="auto"/>
        </w:rPr>
        <w:t>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92" w:lineRule="exact"/>
        <w:rPr>
          <w:sz w:val="20"/>
          <w:szCs w:val="20"/>
          <w:color w:val="auto"/>
        </w:rPr>
      </w:pPr>
    </w:p>
    <w:p>
      <w:pPr>
        <w:ind w:right="760" w:firstLine="1304"/>
        <w:spacing w:after="0" w:line="283" w:lineRule="auto"/>
        <w:tabs>
          <w:tab w:leader="none" w:pos="171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deposit will not result in a breach or violation of, or constitute a default under, this Indenture or any other agreement or instrument to which the Company is a party or by which it is bound;</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69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with respect to the Securities of such Series shall have occurred and be continuing on the date of such deposit or during the period ending on the 91st day after such date;</w:t>
      </w:r>
    </w:p>
    <w:p>
      <w:pPr>
        <w:spacing w:after="0" w:line="146" w:lineRule="exact"/>
        <w:rPr>
          <w:rFonts w:ascii="Times New Roman" w:cs="Times New Roman" w:eastAsia="Times New Roman" w:hAnsi="Times New Roman"/>
          <w:sz w:val="20"/>
          <w:szCs w:val="20"/>
          <w:color w:val="auto"/>
        </w:rPr>
      </w:pPr>
    </w:p>
    <w:p>
      <w:pPr>
        <w:ind w:right="20" w:firstLine="1304"/>
        <w:spacing w:after="0" w:line="253" w:lineRule="auto"/>
        <w:tabs>
          <w:tab w:leader="none" w:pos="172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92" w:lineRule="exact"/>
        <w:rPr>
          <w:rFonts w:ascii="Times New Roman" w:cs="Times New Roman" w:eastAsia="Times New Roman" w:hAnsi="Times New Roman"/>
          <w:sz w:val="20"/>
          <w:szCs w:val="20"/>
          <w:color w:val="auto"/>
        </w:rPr>
      </w:pPr>
    </w:p>
    <w:p>
      <w:pPr>
        <w:ind w:right="280" w:firstLine="1304"/>
        <w:spacing w:after="0" w:line="283" w:lineRule="auto"/>
        <w:tabs>
          <w:tab w:leader="none" w:pos="172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46" w:lineRule="exact"/>
        <w:rPr>
          <w:rFonts w:ascii="Times New Roman" w:cs="Times New Roman" w:eastAsia="Times New Roman" w:hAnsi="Times New Roman"/>
          <w:sz w:val="20"/>
          <w:szCs w:val="20"/>
          <w:color w:val="auto"/>
        </w:rPr>
      </w:pPr>
    </w:p>
    <w:p>
      <w:pPr>
        <w:ind w:right="20" w:firstLine="1304"/>
        <w:spacing w:after="0" w:line="283" w:lineRule="auto"/>
        <w:tabs>
          <w:tab w:leader="none" w:pos="1681"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8.4</w:t>
      </w:r>
      <w:r>
        <w:rPr>
          <w:sz w:val="20"/>
          <w:szCs w:val="20"/>
          <w:color w:val="auto"/>
        </w:rPr>
        <w:tab/>
      </w:r>
      <w:r>
        <w:rPr>
          <w:rFonts w:ascii="Times New Roman" w:cs="Times New Roman" w:eastAsia="Times New Roman" w:hAnsi="Times New Roman"/>
          <w:sz w:val="19"/>
          <w:szCs w:val="19"/>
          <w:u w:val="single" w:color="auto"/>
          <w:color w:val="auto"/>
        </w:rPr>
        <w:t>Covenant Defeasance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891"/>
        <w:spacing w:after="0" w:line="252" w:lineRule="auto"/>
        <w:rPr>
          <w:sz w:val="20"/>
          <w:szCs w:val="20"/>
          <w:color w:val="auto"/>
        </w:rPr>
      </w:pPr>
      <w:r>
        <w:rPr>
          <w:rFonts w:ascii="Times New Roman" w:cs="Times New Roman" w:eastAsia="Times New Roman" w:hAnsi="Times New Roman"/>
          <w:sz w:val="20"/>
          <w:szCs w:val="20"/>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76" w:lineRule="exact"/>
        <w:rPr>
          <w:sz w:val="20"/>
          <w:szCs w:val="20"/>
          <w:color w:val="auto"/>
        </w:rPr>
      </w:pPr>
    </w:p>
    <w:p>
      <w:pPr>
        <w:ind w:right="20" w:firstLine="1304"/>
        <w:spacing w:after="0" w:line="261" w:lineRule="auto"/>
        <w:tabs>
          <w:tab w:leader="none" w:pos="171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413" w:right="359" w:bottom="1440" w:gutter="0" w:footer="0" w:header="0"/>
        </w:sectPr>
      </w:pPr>
    </w:p>
    <w:bookmarkStart w:id="138" w:name="page139"/>
    <w:bookmarkEnd w:id="138"/>
    <w:p>
      <w:pPr>
        <w:spacing w:after="0" w:line="251" w:lineRule="auto"/>
        <w:rPr>
          <w:sz w:val="20"/>
          <w:szCs w:val="20"/>
          <w:color w:val="auto"/>
        </w:rPr>
      </w:pPr>
      <w:r>
        <w:rPr>
          <w:rFonts w:ascii="Times New Roman" w:cs="Times New Roman" w:eastAsia="Times New Roman" w:hAnsi="Times New Roman"/>
          <w:sz w:val="20"/>
          <w:szCs w:val="20"/>
          <w:color w:val="auto"/>
        </w:rPr>
        <w:t>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95" w:lineRule="exact"/>
        <w:rPr>
          <w:sz w:val="20"/>
          <w:szCs w:val="20"/>
          <w:color w:val="auto"/>
        </w:rPr>
      </w:pPr>
    </w:p>
    <w:p>
      <w:pPr>
        <w:ind w:right="760" w:firstLine="1304"/>
        <w:spacing w:after="0" w:line="269" w:lineRule="auto"/>
        <w:tabs>
          <w:tab w:leader="none" w:pos="17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deposit will not result in a breach or violation of, or constitute a default under, this Indenture or any other agreement or instrument to which the Company is a party or by which it is bound;</w:t>
      </w:r>
    </w:p>
    <w:p>
      <w:pPr>
        <w:spacing w:after="0" w:line="17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with respect to the Securities of such Series shall have occurred and be continuing on the</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date of such deposit;</w:t>
      </w:r>
    </w:p>
    <w:p>
      <w:pPr>
        <w:spacing w:after="0" w:line="200" w:lineRule="exact"/>
        <w:rPr>
          <w:rFonts w:ascii="Times New Roman" w:cs="Times New Roman" w:eastAsia="Times New Roman" w:hAnsi="Times New Roman"/>
          <w:sz w:val="19"/>
          <w:szCs w:val="19"/>
          <w:color w:val="auto"/>
        </w:rPr>
      </w:pPr>
    </w:p>
    <w:p>
      <w:pPr>
        <w:ind w:right="40" w:firstLine="1304"/>
        <w:spacing w:after="0" w:line="253" w:lineRule="auto"/>
        <w:tabs>
          <w:tab w:leader="none" w:pos="17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79" w:lineRule="exact"/>
        <w:rPr>
          <w:rFonts w:ascii="Times New Roman" w:cs="Times New Roman" w:eastAsia="Times New Roman" w:hAnsi="Times New Roman"/>
          <w:sz w:val="20"/>
          <w:szCs w:val="20"/>
          <w:color w:val="auto"/>
        </w:rPr>
      </w:pPr>
    </w:p>
    <w:p>
      <w:pPr>
        <w:ind w:right="600" w:firstLine="1304"/>
        <w:spacing w:after="0" w:line="283" w:lineRule="auto"/>
        <w:tabs>
          <w:tab w:leader="none" w:pos="171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46" w:lineRule="exact"/>
        <w:rPr>
          <w:rFonts w:ascii="Times New Roman" w:cs="Times New Roman" w:eastAsia="Times New Roman" w:hAnsi="Times New Roman"/>
          <w:sz w:val="20"/>
          <w:szCs w:val="20"/>
          <w:color w:val="auto"/>
        </w:rPr>
      </w:pPr>
    </w:p>
    <w:p>
      <w:pPr>
        <w:ind w:right="220" w:firstLine="1304"/>
        <w:spacing w:after="0" w:line="310" w:lineRule="auto"/>
        <w:tabs>
          <w:tab w:leader="none" w:pos="168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8.5</w:t>
      </w:r>
      <w:r>
        <w:rPr>
          <w:sz w:val="20"/>
          <w:szCs w:val="20"/>
          <w:color w:val="auto"/>
        </w:rPr>
        <w:tab/>
      </w:r>
      <w:r>
        <w:rPr>
          <w:rFonts w:ascii="Times New Roman" w:cs="Times New Roman" w:eastAsia="Times New Roman" w:hAnsi="Times New Roman"/>
          <w:sz w:val="19"/>
          <w:szCs w:val="19"/>
          <w:u w:val="single" w:color="auto"/>
          <w:color w:val="auto"/>
        </w:rPr>
        <w:t>Repayment to Company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20"/>
          <w:szCs w:val="20"/>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8.6</w:t>
      </w:r>
      <w:r>
        <w:rPr>
          <w:sz w:val="20"/>
          <w:szCs w:val="20"/>
          <w:color w:val="auto"/>
        </w:rPr>
        <w:tab/>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0" w:firstLine="891"/>
        <w:spacing w:after="0" w:line="261" w:lineRule="auto"/>
        <w:rPr>
          <w:sz w:val="20"/>
          <w:szCs w:val="20"/>
          <w:color w:val="auto"/>
        </w:rPr>
      </w:pPr>
      <w:r>
        <w:rPr>
          <w:rFonts w:ascii="Times New Roman" w:cs="Times New Roman" w:eastAsia="Times New Roman" w:hAnsi="Times New Roman"/>
          <w:sz w:val="20"/>
          <w:szCs w:val="20"/>
          <w:color w:val="auto"/>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13" w:right="339" w:bottom="1440" w:gutter="0" w:footer="0" w:header="0"/>
        </w:sectPr>
      </w:pPr>
    </w:p>
    <w:bookmarkStart w:id="139" w:name="page140"/>
    <w:bookmarkEnd w:id="139"/>
    <w:p>
      <w:pPr>
        <w:ind w:right="20"/>
        <w:spacing w:after="0" w:line="253" w:lineRule="auto"/>
        <w:rPr>
          <w:sz w:val="20"/>
          <w:szCs w:val="20"/>
          <w:color w:val="auto"/>
        </w:rPr>
      </w:pPr>
      <w:r>
        <w:rPr>
          <w:rFonts w:ascii="Times New Roman" w:cs="Times New Roman" w:eastAsia="Times New Roman" w:hAnsi="Times New Roman"/>
          <w:sz w:val="20"/>
          <w:szCs w:val="20"/>
          <w:color w:val="auto"/>
        </w:rPr>
        <w:t xml:space="preserve">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AMENDMENTS AND WAIVERS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19"/>
          <w:szCs w:val="19"/>
          <w:u w:val="single" w:color="auto"/>
          <w:color w:val="auto"/>
        </w:rPr>
        <w:t>Without Consent of Holders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640" w:firstLine="891"/>
        <w:spacing w:after="0" w:line="283" w:lineRule="auto"/>
        <w:rPr>
          <w:sz w:val="20"/>
          <w:szCs w:val="20"/>
          <w:color w:val="auto"/>
        </w:rPr>
      </w:pPr>
      <w:r>
        <w:rPr>
          <w:rFonts w:ascii="Times New Roman" w:cs="Times New Roman" w:eastAsia="Times New Roman" w:hAnsi="Times New Roman"/>
          <w:sz w:val="20"/>
          <w:szCs w:val="20"/>
          <w:color w:val="auto"/>
        </w:rPr>
        <w:t>The Company and the Trustee may amend or supplement this Indenture or the Securities of one or more Series without the consent of any Securityholder:</w:t>
      </w:r>
    </w:p>
    <w:p>
      <w:pPr>
        <w:spacing w:after="0" w:line="160" w:lineRule="exact"/>
        <w:rPr>
          <w:sz w:val="20"/>
          <w:szCs w:val="20"/>
          <w:color w:val="auto"/>
        </w:rPr>
      </w:pPr>
    </w:p>
    <w:p>
      <w:pPr>
        <w:ind w:left="1720" w:hanging="416"/>
        <w:spacing w:after="0"/>
        <w:tabs>
          <w:tab w:leader="none" w:pos="17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 as evidenced by an Officer Certificate;</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Article V;</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Securities in addition to or in place of certificated Securities;</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guarantees with respect to Securities of any Series or secure Securities of any Series;</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surrender any of the Company’s rights or powers under this Indenture;</w:t>
      </w:r>
    </w:p>
    <w:p>
      <w:pPr>
        <w:spacing w:after="0" w:line="229" w:lineRule="exact"/>
        <w:rPr>
          <w:rFonts w:ascii="Times New Roman" w:cs="Times New Roman" w:eastAsia="Times New Roman" w:hAnsi="Times New Roman"/>
          <w:sz w:val="20"/>
          <w:szCs w:val="20"/>
          <w:color w:val="auto"/>
        </w:rPr>
      </w:pPr>
    </w:p>
    <w:p>
      <w:pPr>
        <w:ind w:right="160" w:firstLine="1304"/>
        <w:spacing w:after="0" w:line="261" w:lineRule="auto"/>
        <w:tabs>
          <w:tab w:leader="none" w:pos="169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covenants or events of default for the benefit of the holders of Securities of any Series (and if such covenants or events of default are to be for the benefit of less than all Series of Securities, stating that such covenants or events of default, as applicable, are expressly being included solely for the benefit of such Series);</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applicable procedures of the applicable depositary;</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does not adversely affect the rights of any Securityholder;</w:t>
      </w:r>
    </w:p>
    <w:p>
      <w:pPr>
        <w:spacing w:after="0" w:line="21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the issuance of and establish the form and terms and conditions of Securities of any Series as permitted by</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Indenture;</w:t>
      </w:r>
    </w:p>
    <w:p>
      <w:pPr>
        <w:spacing w:after="0" w:line="213" w:lineRule="exact"/>
        <w:rPr>
          <w:rFonts w:ascii="Times New Roman" w:cs="Times New Roman" w:eastAsia="Times New Roman" w:hAnsi="Times New Roman"/>
          <w:sz w:val="19"/>
          <w:szCs w:val="19"/>
          <w:color w:val="auto"/>
        </w:rPr>
      </w:pPr>
    </w:p>
    <w:p>
      <w:pPr>
        <w:jc w:val="both"/>
        <w:ind w:right="680" w:firstLine="1304"/>
        <w:spacing w:after="0" w:line="261" w:lineRule="auto"/>
        <w:tabs>
          <w:tab w:leader="none" w:pos="168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comply with requirements of the SEC in order to effect or maintain the qualification of this Indenture under the 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13" w:right="339" w:bottom="1440" w:gutter="0" w:footer="0" w:header="0"/>
        </w:sectPr>
      </w:pPr>
    </w:p>
    <w:bookmarkStart w:id="140" w:name="page141"/>
    <w:bookmarkEnd w:id="140"/>
    <w:p>
      <w:pPr>
        <w:jc w:val="both"/>
        <w:ind w:right="160" w:firstLine="656"/>
        <w:spacing w:after="0" w:line="281" w:lineRule="auto"/>
        <w:tabs>
          <w:tab w:leader="none" w:pos="1033"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164" w:lineRule="exact"/>
        <w:rPr>
          <w:rFonts w:ascii="Times New Roman" w:cs="Times New Roman" w:eastAsia="Times New Roman" w:hAnsi="Times New Roman"/>
          <w:sz w:val="19"/>
          <w:szCs w:val="19"/>
          <w:color w:val="auto"/>
        </w:rPr>
      </w:pPr>
    </w:p>
    <w:p>
      <w:pPr>
        <w:ind w:right="560" w:firstLine="656"/>
        <w:spacing w:after="0" w:line="269" w:lineRule="auto"/>
        <w:tabs>
          <w:tab w:leader="none" w:pos="11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9.2</w:t>
      </w:r>
      <w:r>
        <w:rPr>
          <w:sz w:val="20"/>
          <w:szCs w:val="20"/>
          <w:color w:val="auto"/>
        </w:rPr>
        <w:tab/>
      </w:r>
      <w:r>
        <w:rPr>
          <w:rFonts w:ascii="Times New Roman" w:cs="Times New Roman" w:eastAsia="Times New Roman" w:hAnsi="Times New Roman"/>
          <w:sz w:val="19"/>
          <w:szCs w:val="19"/>
          <w:u w:val="single" w:color="auto"/>
          <w:color w:val="auto"/>
        </w:rPr>
        <w:t>With Consent of 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51" w:lineRule="auto"/>
        <w:rPr>
          <w:sz w:val="20"/>
          <w:szCs w:val="20"/>
          <w:color w:val="auto"/>
        </w:rPr>
      </w:pPr>
      <w:r>
        <w:rPr>
          <w:rFonts w:ascii="Times New Roman" w:cs="Times New Roman" w:eastAsia="Times New Roman" w:hAnsi="Times New Roman"/>
          <w:sz w:val="20"/>
          <w:szCs w:val="20"/>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2" w:lineRule="exact"/>
        <w:rPr>
          <w:sz w:val="20"/>
          <w:szCs w:val="20"/>
          <w:color w:val="auto"/>
        </w:rPr>
      </w:pPr>
    </w:p>
    <w:p>
      <w:pPr>
        <w:ind w:right="220" w:firstLine="891"/>
        <w:spacing w:after="0" w:line="257" w:lineRule="auto"/>
        <w:rPr>
          <w:sz w:val="20"/>
          <w:szCs w:val="20"/>
          <w:color w:val="auto"/>
        </w:rPr>
      </w:pPr>
      <w:r>
        <w:rPr>
          <w:rFonts w:ascii="Times New Roman" w:cs="Times New Roman" w:eastAsia="Times New Roman" w:hAnsi="Times New Roman"/>
          <w:sz w:val="20"/>
          <w:szCs w:val="20"/>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9.3</w:t>
      </w:r>
      <w:r>
        <w:rPr>
          <w:sz w:val="20"/>
          <w:szCs w:val="20"/>
          <w:color w:val="auto"/>
        </w:rPr>
        <w:tab/>
      </w: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Without the consent of each Securityholder affected, an amendment or waiver may not:</w:t>
      </w:r>
    </w:p>
    <w:p>
      <w:pPr>
        <w:spacing w:after="0" w:line="216" w:lineRule="exact"/>
        <w:rPr>
          <w:sz w:val="20"/>
          <w:szCs w:val="20"/>
          <w:color w:val="auto"/>
        </w:rPr>
      </w:pPr>
    </w:p>
    <w:p>
      <w:pPr>
        <w:ind w:left="1720" w:hanging="416"/>
        <w:spacing w:after="0"/>
        <w:tabs>
          <w:tab w:leader="none" w:pos="17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Securities whose Holders must consent to an amendment, supplement or waiver;</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extend the time for payment of interest (including default interest) on any Security;</w:t>
      </w:r>
    </w:p>
    <w:p>
      <w:pPr>
        <w:spacing w:after="0" w:line="229" w:lineRule="exact"/>
        <w:rPr>
          <w:rFonts w:ascii="Times New Roman" w:cs="Times New Roman" w:eastAsia="Times New Roman" w:hAnsi="Times New Roman"/>
          <w:sz w:val="20"/>
          <w:szCs w:val="20"/>
          <w:color w:val="auto"/>
        </w:rPr>
      </w:pPr>
    </w:p>
    <w:p>
      <w:pPr>
        <w:ind w:right="180" w:firstLine="1304"/>
        <w:spacing w:after="0" w:line="269" w:lineRule="auto"/>
        <w:tabs>
          <w:tab w:leader="none" w:pos="171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or change the Stated Maturity of any Security or reduce the amount of, or postpone the date fixed for, the payment of any sinking fund or analogous obligation;</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Discount Securities payable upon acceleration of the maturity thereof;</w:t>
      </w:r>
    </w:p>
    <w:p>
      <w:pPr>
        <w:spacing w:after="0" w:line="215" w:lineRule="exact"/>
        <w:rPr>
          <w:rFonts w:ascii="Times New Roman" w:cs="Times New Roman" w:eastAsia="Times New Roman" w:hAnsi="Times New Roman"/>
          <w:sz w:val="20"/>
          <w:szCs w:val="20"/>
          <w:color w:val="auto"/>
        </w:rPr>
      </w:pPr>
    </w:p>
    <w:p>
      <w:pPr>
        <w:ind w:right="460" w:firstLine="1304"/>
        <w:spacing w:after="0" w:line="283" w:lineRule="auto"/>
        <w:tabs>
          <w:tab w:leader="none" w:pos="171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the principal of or interest, if any, on any Security (except a rescission of acceleration of the Securities of any Series by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413" w:right="359" w:bottom="1440" w:gutter="0" w:footer="0" w:header="0"/>
        </w:sectPr>
      </w:pPr>
    </w:p>
    <w:bookmarkStart w:id="141" w:name="page142"/>
    <w:bookmarkEnd w:id="141"/>
    <w:p>
      <w:pPr>
        <w:ind w:right="180"/>
        <w:spacing w:after="0" w:line="283" w:lineRule="auto"/>
        <w:rPr>
          <w:sz w:val="20"/>
          <w:szCs w:val="20"/>
          <w:color w:val="auto"/>
        </w:rPr>
      </w:pPr>
      <w:r>
        <w:rPr>
          <w:rFonts w:ascii="Times New Roman" w:cs="Times New Roman" w:eastAsia="Times New Roman" w:hAnsi="Times New Roman"/>
          <w:sz w:val="20"/>
          <w:szCs w:val="20"/>
          <w:color w:val="auto"/>
        </w:rPr>
        <w:t>of at least a majority in principal amount of the outstanding Securities of such Series and a waiver of the payment default that resulted from such acceleration);</w:t>
      </w:r>
    </w:p>
    <w:p>
      <w:pPr>
        <w:spacing w:after="0" w:line="146" w:lineRule="exact"/>
        <w:rPr>
          <w:sz w:val="20"/>
          <w:szCs w:val="20"/>
          <w:color w:val="auto"/>
        </w:rPr>
      </w:pPr>
    </w:p>
    <w:p>
      <w:pPr>
        <w:ind w:left="1700" w:hanging="396"/>
        <w:spacing w:after="0"/>
        <w:tabs>
          <w:tab w:leader="none" w:pos="17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the principal of or interest, if any, on any Security payable in any currency other than that stated in the Security;</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Sections 6.8, 6.13 or 9.3 (this sentence); or</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redemption payment with respect to any Security, provided that such redemption is made at the Company’s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21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9.4</w:t>
      </w:r>
      <w:r>
        <w:rPr>
          <w:sz w:val="20"/>
          <w:szCs w:val="20"/>
          <w:color w:val="auto"/>
        </w:rPr>
        <w:tab/>
      </w:r>
      <w:r>
        <w:rPr>
          <w:rFonts w:ascii="Times New Roman" w:cs="Times New Roman" w:eastAsia="Times New Roman" w:hAnsi="Times New Roman"/>
          <w:sz w:val="19"/>
          <w:szCs w:val="19"/>
          <w:u w:val="single" w:color="auto"/>
          <w:color w:val="auto"/>
        </w:rPr>
        <w:t>Compliance with Trust Indenture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320" w:firstLine="891"/>
        <w:spacing w:after="0" w:line="283" w:lineRule="auto"/>
        <w:rPr>
          <w:sz w:val="20"/>
          <w:szCs w:val="20"/>
          <w:color w:val="auto"/>
        </w:rPr>
      </w:pPr>
      <w:r>
        <w:rPr>
          <w:rFonts w:ascii="Times New Roman" w:cs="Times New Roman" w:eastAsia="Times New Roman" w:hAnsi="Times New Roman"/>
          <w:sz w:val="20"/>
          <w:szCs w:val="20"/>
          <w:color w:val="auto"/>
        </w:rPr>
        <w:t>Every amendment to this Indenture or the Securities of one or more Series shall be set forth in a supplemental indenture hereto that complies with the TIA as then in effect.</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9.5</w:t>
      </w:r>
      <w:r>
        <w:rPr>
          <w:sz w:val="20"/>
          <w:szCs w:val="20"/>
          <w:color w:val="auto"/>
        </w:rPr>
        <w:tab/>
      </w:r>
      <w:r>
        <w:rPr>
          <w:rFonts w:ascii="Times New Roman" w:cs="Times New Roman" w:eastAsia="Times New Roman" w:hAnsi="Times New Roman"/>
          <w:sz w:val="19"/>
          <w:szCs w:val="19"/>
          <w:u w:val="single" w:color="auto"/>
          <w:color w:val="auto"/>
        </w:rPr>
        <w:t>Revocation and Effect of Consents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60" w:firstLine="891"/>
        <w:spacing w:after="0" w:line="253" w:lineRule="auto"/>
        <w:rPr>
          <w:sz w:val="20"/>
          <w:szCs w:val="20"/>
          <w:color w:val="auto"/>
        </w:rPr>
      </w:pPr>
      <w:r>
        <w:rPr>
          <w:rFonts w:ascii="Times New Roman" w:cs="Times New Roman" w:eastAsia="Times New Roman" w:hAnsi="Times New Roman"/>
          <w:sz w:val="20"/>
          <w:szCs w:val="20"/>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92"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20"/>
          <w:szCs w:val="20"/>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2"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20"/>
          <w:szCs w:val="20"/>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9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9.6</w:t>
      </w:r>
      <w:r>
        <w:rPr>
          <w:sz w:val="20"/>
          <w:szCs w:val="20"/>
          <w:color w:val="auto"/>
        </w:rPr>
        <w:tab/>
      </w:r>
      <w:r>
        <w:rPr>
          <w:rFonts w:ascii="Times New Roman" w:cs="Times New Roman" w:eastAsia="Times New Roman" w:hAnsi="Times New Roman"/>
          <w:sz w:val="19"/>
          <w:szCs w:val="19"/>
          <w:u w:val="single" w:color="auto"/>
          <w:color w:val="auto"/>
        </w:rPr>
        <w:t>Notation on or Exchange of Securities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891"/>
        <w:spacing w:after="0" w:line="268" w:lineRule="auto"/>
        <w:rPr>
          <w:sz w:val="20"/>
          <w:szCs w:val="20"/>
          <w:color w:val="auto"/>
        </w:rPr>
      </w:pPr>
      <w:r>
        <w:rPr>
          <w:rFonts w:ascii="Times New Roman" w:cs="Times New Roman" w:eastAsia="Times New Roman" w:hAnsi="Times New Roman"/>
          <w:sz w:val="20"/>
          <w:szCs w:val="20"/>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13" w:right="339" w:bottom="1440" w:gutter="0" w:footer="0" w:header="0"/>
        </w:sectPr>
      </w:pPr>
    </w:p>
    <w:bookmarkStart w:id="142" w:name="page143"/>
    <w:bookmarkEnd w:id="142"/>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9.7</w:t>
      </w:r>
      <w:r>
        <w:rPr>
          <w:sz w:val="20"/>
          <w:szCs w:val="20"/>
          <w:color w:val="auto"/>
        </w:rPr>
        <w:tab/>
      </w:r>
      <w:r>
        <w:rPr>
          <w:rFonts w:ascii="Times New Roman" w:cs="Times New Roman" w:eastAsia="Times New Roman" w:hAnsi="Times New Roman"/>
          <w:sz w:val="19"/>
          <w:szCs w:val="19"/>
          <w:u w:val="single" w:color="auto"/>
          <w:color w:val="auto"/>
        </w:rPr>
        <w:t>Trustee Protected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51" w:lineRule="auto"/>
        <w:rPr>
          <w:sz w:val="20"/>
          <w:szCs w:val="20"/>
          <w:color w:val="auto"/>
        </w:rPr>
      </w:pPr>
      <w:r>
        <w:rPr>
          <w:rFonts w:ascii="Times New Roman" w:cs="Times New Roman" w:eastAsia="Times New Roman" w:hAnsi="Times New Roman"/>
          <w:sz w:val="20"/>
          <w:szCs w:val="20"/>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Trust Indenture Act Controls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firstLine="891"/>
        <w:spacing w:after="0" w:line="269" w:lineRule="auto"/>
        <w:rPr>
          <w:sz w:val="20"/>
          <w:szCs w:val="20"/>
          <w:color w:val="auto"/>
        </w:rPr>
      </w:pPr>
      <w:r>
        <w:rPr>
          <w:rFonts w:ascii="Times New Roman" w:cs="Times New Roman" w:eastAsia="Times New Roman" w:hAnsi="Times New Roman"/>
          <w:sz w:val="20"/>
          <w:szCs w:val="20"/>
          <w:color w:val="auto"/>
        </w:rPr>
        <w:t>If any provision of this Indenture limits, qualifies, or conflicts with another provision which is required or deemed to be included in this Indenture by the TIA, such required or deemed provision shall control.</w:t>
      </w:r>
    </w:p>
    <w:p>
      <w:pPr>
        <w:spacing w:after="0" w:line="17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40" w:firstLine="891"/>
        <w:spacing w:after="0" w:line="268" w:lineRule="auto"/>
        <w:rPr>
          <w:sz w:val="20"/>
          <w:szCs w:val="20"/>
          <w:color w:val="auto"/>
        </w:rPr>
      </w:pPr>
      <w:r>
        <w:rPr>
          <w:rFonts w:ascii="Times New Roman" w:cs="Times New Roman" w:eastAsia="Times New Roman" w:hAnsi="Times New Roman"/>
          <w:sz w:val="20"/>
          <w:szCs w:val="20"/>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Nautilus Biotechnology, Inc.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2701 Eastlake Avenue East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Seattle, Washington 98102</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Wilson Sonsini Goodrich &amp; Rosati, Professional Corporation</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12235 El Camino Real</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San Diego, CA 92130-3002</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Robert F. Kornegay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180"/>
          </w:cols>
          <w:pgMar w:left="320" w:top="1413" w:right="399" w:bottom="1440" w:gutter="0" w:footer="0" w:header="0"/>
        </w:sectPr>
      </w:pPr>
    </w:p>
    <w:bookmarkStart w:id="143" w:name="page144"/>
    <w:bookmarkEnd w:id="143"/>
    <w:p>
      <w:pPr>
        <w:ind w:right="520" w:firstLine="891"/>
        <w:spacing w:after="0" w:line="283" w:lineRule="auto"/>
        <w:rPr>
          <w:sz w:val="20"/>
          <w:szCs w:val="20"/>
          <w:color w:val="auto"/>
        </w:rPr>
      </w:pPr>
      <w:r>
        <w:rPr>
          <w:rFonts w:ascii="Times New Roman" w:cs="Times New Roman" w:eastAsia="Times New Roman" w:hAnsi="Times New Roman"/>
          <w:sz w:val="20"/>
          <w:szCs w:val="20"/>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46" w:lineRule="exact"/>
        <w:rPr>
          <w:sz w:val="20"/>
          <w:szCs w:val="20"/>
          <w:color w:val="auto"/>
        </w:rPr>
      </w:pPr>
    </w:p>
    <w:p>
      <w:pPr>
        <w:ind w:right="20" w:firstLine="891"/>
        <w:spacing w:after="0" w:line="281" w:lineRule="auto"/>
        <w:rPr>
          <w:sz w:val="20"/>
          <w:szCs w:val="20"/>
          <w:color w:val="auto"/>
        </w:rPr>
      </w:pPr>
      <w:r>
        <w:rPr>
          <w:rFonts w:ascii="Times New Roman" w:cs="Times New Roman" w:eastAsia="Times New Roman" w:hAnsi="Times New Roman"/>
          <w:sz w:val="19"/>
          <w:szCs w:val="19"/>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4" w:lineRule="exact"/>
        <w:rPr>
          <w:sz w:val="20"/>
          <w:szCs w:val="20"/>
          <w:color w:val="auto"/>
        </w:rPr>
      </w:pPr>
    </w:p>
    <w:p>
      <w:pPr>
        <w:ind w:right="520" w:firstLine="891"/>
        <w:spacing w:after="0" w:line="283" w:lineRule="auto"/>
        <w:rPr>
          <w:sz w:val="20"/>
          <w:szCs w:val="20"/>
          <w:color w:val="auto"/>
        </w:rPr>
      </w:pPr>
      <w:r>
        <w:rPr>
          <w:rFonts w:ascii="Times New Roman" w:cs="Times New Roman" w:eastAsia="Times New Roman" w:hAnsi="Times New Roman"/>
          <w:sz w:val="20"/>
          <w:szCs w:val="20"/>
          <w:color w:val="auto"/>
        </w:rPr>
        <w:t>If a notice or communication is sent or published in the manner provided above, within the time prescribed, it is duly given, whether or not the Securityholder receives it.</w:t>
      </w:r>
    </w:p>
    <w:p>
      <w:pPr>
        <w:spacing w:after="0" w:line="1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If the Company sends a notice or communication to Securityholders, it shall send a copy to the Trustee and each Agent at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same time.</w:t>
      </w:r>
    </w:p>
    <w:p>
      <w:pPr>
        <w:spacing w:after="0" w:line="200" w:lineRule="exact"/>
        <w:rPr>
          <w:sz w:val="20"/>
          <w:szCs w:val="20"/>
          <w:color w:val="auto"/>
        </w:rPr>
      </w:pPr>
    </w:p>
    <w:p>
      <w:pPr>
        <w:ind w:right="60" w:firstLine="891"/>
        <w:spacing w:after="0" w:line="268" w:lineRule="auto"/>
        <w:rPr>
          <w:sz w:val="20"/>
          <w:szCs w:val="20"/>
          <w:color w:val="auto"/>
        </w:rPr>
      </w:pPr>
      <w:r>
        <w:rPr>
          <w:rFonts w:ascii="Times New Roman" w:cs="Times New Roman" w:eastAsia="Times New Roman" w:hAnsi="Times New Roman"/>
          <w:sz w:val="20"/>
          <w:szCs w:val="20"/>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6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Communication by Holders with Other 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0" w:firstLine="891"/>
        <w:spacing w:after="0" w:line="261" w:lineRule="auto"/>
        <w:rPr>
          <w:sz w:val="20"/>
          <w:szCs w:val="20"/>
          <w:color w:val="auto"/>
        </w:rPr>
      </w:pPr>
      <w:r>
        <w:rPr>
          <w:rFonts w:ascii="Times New Roman" w:cs="Times New Roman" w:eastAsia="Times New Roman" w:hAnsi="Times New Roman"/>
          <w:sz w:val="20"/>
          <w:szCs w:val="20"/>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891"/>
        <w:spacing w:after="0" w:line="283" w:lineRule="auto"/>
        <w:rPr>
          <w:sz w:val="20"/>
          <w:szCs w:val="20"/>
          <w:color w:val="auto"/>
        </w:rPr>
      </w:pPr>
      <w:r>
        <w:rPr>
          <w:rFonts w:ascii="Times New Roman" w:cs="Times New Roman" w:eastAsia="Times New Roman" w:hAnsi="Times New Roman"/>
          <w:sz w:val="20"/>
          <w:szCs w:val="20"/>
          <w:color w:val="auto"/>
        </w:rPr>
        <w:t>Upon any request or application by the Company to the Trustee to take any action under this Indenture, the Company shall furnish to the Trustee:</w:t>
      </w:r>
    </w:p>
    <w:p>
      <w:pPr>
        <w:spacing w:after="0" w:line="146" w:lineRule="exact"/>
        <w:rPr>
          <w:sz w:val="20"/>
          <w:szCs w:val="20"/>
          <w:color w:val="auto"/>
        </w:rPr>
      </w:pPr>
    </w:p>
    <w:p>
      <w:pPr>
        <w:ind w:right="280" w:firstLine="1304"/>
        <w:spacing w:after="0" w:line="283" w:lineRule="auto"/>
        <w:tabs>
          <w:tab w:leader="none" w:pos="171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Officer’s Certificate stating that, in the opinion of the signers, all conditions precedent, if any, provided for in this Indenture relating to the proposed action have been complied with; and</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of Counsel stating that, in the opinion of such counsel, all such conditions precedent have been complied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w:t>
      </w:r>
    </w:p>
    <w:p>
      <w:pPr>
        <w:spacing w:after="0" w:line="21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u w:val="single" w:color="auto"/>
          <w:color w:val="auto"/>
        </w:rPr>
        <w:t>Statements Required in Certificate or Opinion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300" w:firstLine="891"/>
        <w:spacing w:after="0" w:line="283" w:lineRule="auto"/>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46" w:lineRule="exact"/>
        <w:rPr>
          <w:sz w:val="20"/>
          <w:szCs w:val="20"/>
          <w:color w:val="auto"/>
        </w:rPr>
      </w:pPr>
    </w:p>
    <w:p>
      <w:pPr>
        <w:ind w:left="1720" w:hanging="416"/>
        <w:spacing w:after="0"/>
        <w:tabs>
          <w:tab w:leader="none" w:pos="1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229" w:lineRule="exact"/>
        <w:rPr>
          <w:rFonts w:ascii="Times New Roman" w:cs="Times New Roman" w:eastAsia="Times New Roman" w:hAnsi="Times New Roman"/>
          <w:sz w:val="20"/>
          <w:szCs w:val="20"/>
          <w:color w:val="auto"/>
        </w:rPr>
      </w:pPr>
    </w:p>
    <w:p>
      <w:pPr>
        <w:ind w:right="160" w:firstLine="1304"/>
        <w:spacing w:after="0" w:line="283" w:lineRule="auto"/>
        <w:tabs>
          <w:tab w:leader="none" w:pos="172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20"/>
          </w:cols>
          <w:pgMar w:left="320" w:top="1413" w:right="359" w:bottom="1440" w:gutter="0" w:footer="0" w:header="0"/>
        </w:sectPr>
      </w:pPr>
    </w:p>
    <w:bookmarkStart w:id="144" w:name="page145"/>
    <w:bookmarkEnd w:id="144"/>
    <w:p>
      <w:pPr>
        <w:ind w:right="80" w:firstLine="1304"/>
        <w:spacing w:after="0" w:line="283" w:lineRule="auto"/>
        <w:tabs>
          <w:tab w:leader="none" w:pos="171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complied with.</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Rules by Trustee and Agents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891"/>
        <w:spacing w:after="0" w:line="283" w:lineRule="auto"/>
        <w:rPr>
          <w:sz w:val="20"/>
          <w:szCs w:val="20"/>
          <w:color w:val="auto"/>
        </w:rPr>
      </w:pPr>
      <w:r>
        <w:rPr>
          <w:rFonts w:ascii="Times New Roman" w:cs="Times New Roman" w:eastAsia="Times New Roman" w:hAnsi="Times New Roman"/>
          <w:sz w:val="20"/>
          <w:szCs w:val="20"/>
          <w:color w:val="auto"/>
        </w:rPr>
        <w:t>The Trustee may make reasonable rules for action by or a meeting of Securityholders of one or more Series. Any Agent may make reasonable rules and set reasonable requirements for its functions.</w:t>
      </w:r>
    </w:p>
    <w:p>
      <w:pPr>
        <w:spacing w:after="0" w:line="16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u w:val="single" w:color="auto"/>
          <w:color w:val="auto"/>
        </w:rPr>
        <w:t>Legal Holidays</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ind w:firstLine="891"/>
        <w:spacing w:after="0" w:line="287"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i w:val="1"/>
          <w:iCs w:val="1"/>
          <w:color w:val="auto"/>
        </w:rPr>
        <w:t>Legal Holiday</w:t>
      </w:r>
      <w:r>
        <w:rPr>
          <w:rFonts w:ascii="Times New Roman" w:cs="Times New Roman" w:eastAsia="Times New Roman" w:hAnsi="Times New Roman"/>
          <w:sz w:val="20"/>
          <w:szCs w:val="20"/>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4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10.8</w:t>
      </w:r>
      <w:r>
        <w:rPr>
          <w:sz w:val="20"/>
          <w:szCs w:val="20"/>
          <w:color w:val="auto"/>
        </w:rPr>
        <w:tab/>
      </w:r>
      <w:r>
        <w:rPr>
          <w:rFonts w:ascii="Times New Roman" w:cs="Times New Roman" w:eastAsia="Times New Roman" w:hAnsi="Times New Roman"/>
          <w:sz w:val="19"/>
          <w:szCs w:val="19"/>
          <w:u w:val="single" w:color="auto"/>
          <w:color w:val="auto"/>
        </w:rPr>
        <w:t>No Recourse Against Others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20"/>
          <w:szCs w:val="20"/>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10.9</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20"/>
          <w:szCs w:val="20"/>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9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10.10</w:t>
      </w:r>
      <w:r>
        <w:rPr>
          <w:sz w:val="20"/>
          <w:szCs w:val="20"/>
          <w:color w:val="auto"/>
        </w:rPr>
        <w:tab/>
      </w:r>
      <w:r>
        <w:rPr>
          <w:rFonts w:ascii="Times New Roman" w:cs="Times New Roman" w:eastAsia="Times New Roman" w:hAnsi="Times New Roman"/>
          <w:sz w:val="19"/>
          <w:szCs w:val="19"/>
          <w:u w:val="single" w:color="auto"/>
          <w:color w:val="auto"/>
        </w:rPr>
        <w:t>Governing Law; Waiver of Jury Trial; Consent to Jurisdiction</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right="280" w:firstLine="891"/>
        <w:spacing w:after="0" w:line="271" w:lineRule="auto"/>
        <w:rPr>
          <w:sz w:val="20"/>
          <w:szCs w:val="20"/>
          <w:color w:val="auto"/>
        </w:rPr>
      </w:pPr>
      <w:r>
        <w:rPr>
          <w:rFonts w:ascii="Times New Roman" w:cs="Times New Roman" w:eastAsia="Times New Roman" w:hAnsi="Times New Roman"/>
          <w:sz w:val="19"/>
          <w:szCs w:val="19"/>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w:t>
      </w:r>
    </w:p>
    <w:p>
      <w:pPr>
        <w:spacing w:after="0" w:line="1"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b w:val="1"/>
          <w:bCs w:val="1"/>
          <w:color w:val="auto"/>
        </w:rPr>
        <w:t>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94"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20"/>
          <w:szCs w:val="20"/>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13" w:right="339" w:bottom="1440" w:gutter="0" w:footer="0" w:header="0"/>
        </w:sectPr>
      </w:pPr>
    </w:p>
    <w:bookmarkStart w:id="145" w:name="page146"/>
    <w:bookmarkEnd w:id="145"/>
    <w:p>
      <w:pPr>
        <w:ind w:right="20"/>
        <w:spacing w:after="0" w:line="270" w:lineRule="auto"/>
        <w:rPr>
          <w:sz w:val="20"/>
          <w:szCs w:val="20"/>
          <w:color w:val="auto"/>
        </w:rPr>
      </w:pPr>
      <w:r>
        <w:rPr>
          <w:rFonts w:ascii="Times New Roman" w:cs="Times New Roman" w:eastAsia="Times New Roman" w:hAnsi="Times New Roman"/>
          <w:sz w:val="19"/>
          <w:szCs w:val="19"/>
          <w:color w:val="auto"/>
        </w:rPr>
        <w:t>New York (collectively, the “</w:t>
      </w:r>
      <w:r>
        <w:rPr>
          <w:rFonts w:ascii="Times New Roman" w:cs="Times New Roman" w:eastAsia="Times New Roman" w:hAnsi="Times New Roman"/>
          <w:sz w:val="19"/>
          <w:szCs w:val="19"/>
          <w:i w:val="1"/>
          <w:iCs w:val="1"/>
          <w:color w:val="auto"/>
        </w:rPr>
        <w:t>Specified Courts</w:t>
      </w:r>
      <w:r>
        <w:rPr>
          <w:rFonts w:ascii="Times New Roman" w:cs="Times New Roman" w:eastAsia="Times New Roman" w:hAnsi="Times New Roman"/>
          <w:sz w:val="19"/>
          <w:szCs w:val="19"/>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10.11</w:t>
      </w:r>
      <w:r>
        <w:rPr>
          <w:sz w:val="20"/>
          <w:szCs w:val="20"/>
          <w:color w:val="auto"/>
        </w:rPr>
        <w:tab/>
      </w:r>
      <w:r>
        <w:rPr>
          <w:rFonts w:ascii="Times New Roman" w:cs="Times New Roman" w:eastAsia="Times New Roman" w:hAnsi="Times New Roman"/>
          <w:sz w:val="19"/>
          <w:szCs w:val="19"/>
          <w:u w:val="single" w:color="auto"/>
          <w:color w:val="auto"/>
        </w:rPr>
        <w:t>No Adverse Interpretation of Other Agreements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80" w:firstLine="891"/>
        <w:spacing w:after="0" w:line="283" w:lineRule="auto"/>
        <w:rPr>
          <w:sz w:val="20"/>
          <w:szCs w:val="20"/>
          <w:color w:val="auto"/>
        </w:rPr>
      </w:pPr>
      <w:r>
        <w:rPr>
          <w:rFonts w:ascii="Times New Roman" w:cs="Times New Roman" w:eastAsia="Times New Roman" w:hAnsi="Times New Roman"/>
          <w:sz w:val="20"/>
          <w:szCs w:val="20"/>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10.12</w:t>
      </w:r>
      <w:r>
        <w:rPr>
          <w:sz w:val="20"/>
          <w:szCs w:val="20"/>
          <w:color w:val="auto"/>
        </w:rPr>
        <w:tab/>
      </w: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80" w:firstLine="891"/>
        <w:spacing w:after="0" w:line="283" w:lineRule="auto"/>
        <w:rPr>
          <w:sz w:val="20"/>
          <w:szCs w:val="20"/>
          <w:color w:val="auto"/>
        </w:rPr>
      </w:pPr>
      <w:r>
        <w:rPr>
          <w:rFonts w:ascii="Times New Roman" w:cs="Times New Roman" w:eastAsia="Times New Roman" w:hAnsi="Times New Roman"/>
          <w:sz w:val="20"/>
          <w:szCs w:val="20"/>
          <w:color w:val="auto"/>
        </w:rPr>
        <w:t>All agreements of the Company in this Indenture and the Securities shall bind its successor. All agreements of the Trustee in this Indenture shall bind its successor.</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10.13</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520" w:firstLine="891"/>
        <w:spacing w:after="0" w:line="269" w:lineRule="auto"/>
        <w:rPr>
          <w:sz w:val="20"/>
          <w:szCs w:val="20"/>
          <w:color w:val="auto"/>
        </w:rPr>
      </w:pPr>
      <w:r>
        <w:rPr>
          <w:rFonts w:ascii="Times New Roman" w:cs="Times New Roman" w:eastAsia="Times New Roman" w:hAnsi="Times New Roman"/>
          <w:sz w:val="20"/>
          <w:szCs w:val="20"/>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10.14</w:t>
      </w:r>
      <w:r>
        <w:rPr>
          <w:sz w:val="20"/>
          <w:szCs w:val="20"/>
          <w:color w:val="auto"/>
        </w:rPr>
        <w:tab/>
      </w:r>
      <w:r>
        <w:rPr>
          <w:rFonts w:ascii="Times New Roman" w:cs="Times New Roman" w:eastAsia="Times New Roman" w:hAnsi="Times New Roman"/>
          <w:sz w:val="19"/>
          <w:szCs w:val="19"/>
          <w:u w:val="single" w:color="auto"/>
          <w:color w:val="auto"/>
        </w:rPr>
        <w:t>Table of Contents, Headings,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891"/>
        <w:spacing w:after="0" w:line="261" w:lineRule="auto"/>
        <w:rPr>
          <w:sz w:val="20"/>
          <w:szCs w:val="20"/>
          <w:color w:val="auto"/>
        </w:rPr>
      </w:pPr>
      <w:r>
        <w:rPr>
          <w:rFonts w:ascii="Times New Roman" w:cs="Times New Roman" w:eastAsia="Times New Roman" w:hAnsi="Times New Roman"/>
          <w:sz w:val="20"/>
          <w:szCs w:val="20"/>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10.15</w:t>
      </w:r>
      <w:r>
        <w:rPr>
          <w:sz w:val="20"/>
          <w:szCs w:val="20"/>
          <w:color w:val="auto"/>
        </w:rPr>
        <w:tab/>
      </w:r>
      <w:r>
        <w:rPr>
          <w:rFonts w:ascii="Times New Roman" w:cs="Times New Roman" w:eastAsia="Times New Roman" w:hAnsi="Times New Roman"/>
          <w:sz w:val="19"/>
          <w:szCs w:val="19"/>
          <w:u w:val="single" w:color="auto"/>
          <w:color w:val="auto"/>
        </w:rPr>
        <w:t>Securities in a Foreign Currency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49" w:lineRule="auto"/>
        <w:rPr>
          <w:sz w:val="20"/>
          <w:szCs w:val="20"/>
          <w:color w:val="auto"/>
        </w:rPr>
      </w:pPr>
      <w:r>
        <w:rPr>
          <w:rFonts w:ascii="Times New Roman" w:cs="Times New Roman" w:eastAsia="Times New Roman" w:hAnsi="Times New Roman"/>
          <w:sz w:val="20"/>
          <w:szCs w:val="20"/>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09" w:right="339" w:bottom="1440" w:gutter="0" w:footer="0" w:header="0"/>
        </w:sectPr>
      </w:pPr>
    </w:p>
    <w:bookmarkStart w:id="146" w:name="page147"/>
    <w:bookmarkEnd w:id="146"/>
    <w:p>
      <w:pPr>
        <w:ind w:right="680"/>
        <w:spacing w:after="0" w:line="283" w:lineRule="auto"/>
        <w:rPr>
          <w:sz w:val="20"/>
          <w:szCs w:val="20"/>
          <w:color w:val="auto"/>
        </w:rPr>
      </w:pPr>
      <w:r>
        <w:rPr>
          <w:rFonts w:ascii="Times New Roman" w:cs="Times New Roman" w:eastAsia="Times New Roman" w:hAnsi="Times New Roman"/>
          <w:sz w:val="20"/>
          <w:szCs w:val="20"/>
          <w:color w:val="auto"/>
        </w:rPr>
        <w:t>denominated in currency other than Dollars in connection with any action taken by Holders of Securities pursuant to the terms of this Indenture.</w:t>
      </w:r>
    </w:p>
    <w:p>
      <w:pPr>
        <w:spacing w:after="0" w:line="146" w:lineRule="exact"/>
        <w:rPr>
          <w:sz w:val="20"/>
          <w:szCs w:val="20"/>
          <w:color w:val="auto"/>
        </w:rPr>
      </w:pPr>
    </w:p>
    <w:p>
      <w:pPr>
        <w:ind w:right="460" w:firstLine="891"/>
        <w:spacing w:after="0" w:line="283" w:lineRule="auto"/>
        <w:rPr>
          <w:sz w:val="20"/>
          <w:szCs w:val="20"/>
          <w:color w:val="auto"/>
        </w:rPr>
      </w:pPr>
      <w:r>
        <w:rPr>
          <w:rFonts w:ascii="Times New Roman" w:cs="Times New Roman" w:eastAsia="Times New Roman" w:hAnsi="Times New Roman"/>
          <w:sz w:val="20"/>
          <w:szCs w:val="20"/>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10.16</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891"/>
        <w:spacing w:after="0" w:line="249" w:lineRule="auto"/>
        <w:rPr>
          <w:sz w:val="20"/>
          <w:szCs w:val="20"/>
          <w:color w:val="auto"/>
        </w:rPr>
      </w:pPr>
      <w:r>
        <w:rPr>
          <w:rFonts w:ascii="Times New Roman" w:cs="Times New Roman" w:eastAsia="Times New Roman" w:hAnsi="Times New Roman"/>
          <w:sz w:val="20"/>
          <w:szCs w:val="20"/>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20"/>
          <w:szCs w:val="20"/>
          <w:i w:val="1"/>
          <w:iCs w:val="1"/>
          <w:color w:val="auto"/>
        </w:rPr>
        <w:t>Required Currency</w:t>
      </w:r>
      <w:r>
        <w:rPr>
          <w:rFonts w:ascii="Times New Roman" w:cs="Times New Roman" w:eastAsia="Times New Roman" w:hAnsi="Times New Roman"/>
          <w:sz w:val="20"/>
          <w:szCs w:val="20"/>
          <w:color w:val="auto"/>
        </w:rPr>
        <w:t>”) into a currency in which a judgment will be rendered (the “</w:t>
      </w:r>
      <w:r>
        <w:rPr>
          <w:rFonts w:ascii="Times New Roman" w:cs="Times New Roman" w:eastAsia="Times New Roman" w:hAnsi="Times New Roman"/>
          <w:sz w:val="20"/>
          <w:szCs w:val="20"/>
          <w:i w:val="1"/>
          <w:iCs w:val="1"/>
          <w:color w:val="auto"/>
        </w:rPr>
        <w:t>Judgment Currency</w:t>
      </w:r>
      <w:r>
        <w:rPr>
          <w:rFonts w:ascii="Times New Roman" w:cs="Times New Roman" w:eastAsia="Times New Roman" w:hAnsi="Times New Roman"/>
          <w:sz w:val="20"/>
          <w:szCs w:val="20"/>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20"/>
          <w:szCs w:val="20"/>
          <w:i w:val="1"/>
          <w:iCs w:val="1"/>
          <w:color w:val="auto"/>
        </w:rPr>
        <w:t>New York Banking Day</w:t>
      </w:r>
      <w:r>
        <w:rPr>
          <w:rFonts w:ascii="Times New Roman" w:cs="Times New Roman" w:eastAsia="Times New Roman" w:hAnsi="Times New Roman"/>
          <w:sz w:val="20"/>
          <w:szCs w:val="20"/>
          <w:color w:val="auto"/>
        </w:rPr>
        <w:t>” means any day except a Saturday, Sunday or a Legal Holiday in The City of New York on which banking institutions are authorized or required by law, regulation or executive order to close.</w:t>
      </w:r>
    </w:p>
    <w:p>
      <w:pPr>
        <w:spacing w:after="0" w:line="19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10.17</w:t>
      </w:r>
      <w:r>
        <w:rPr>
          <w:sz w:val="20"/>
          <w:szCs w:val="20"/>
          <w:color w:val="auto"/>
        </w:rPr>
        <w:tab/>
      </w:r>
      <w:r>
        <w:rPr>
          <w:rFonts w:ascii="Times New Roman" w:cs="Times New Roman" w:eastAsia="Times New Roman" w:hAnsi="Times New Roman"/>
          <w:sz w:val="19"/>
          <w:szCs w:val="19"/>
          <w:u w:val="single" w:color="auto"/>
          <w:color w:val="auto"/>
        </w:rPr>
        <w:t>Force Majeure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891"/>
        <w:spacing w:after="0" w:line="253" w:lineRule="auto"/>
        <w:rPr>
          <w:sz w:val="20"/>
          <w:szCs w:val="20"/>
          <w:color w:val="auto"/>
        </w:rPr>
      </w:pPr>
      <w:r>
        <w:rPr>
          <w:rFonts w:ascii="Times New Roman" w:cs="Times New Roman" w:eastAsia="Times New Roman" w:hAnsi="Times New Roman"/>
          <w:sz w:val="20"/>
          <w:szCs w:val="20"/>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9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10.18</w:t>
      </w:r>
      <w:r>
        <w:rPr>
          <w:sz w:val="20"/>
          <w:szCs w:val="20"/>
          <w:color w:val="auto"/>
        </w:rPr>
        <w:tab/>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20"/>
          <w:szCs w:val="20"/>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13" w:right="33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SINKING FUNDS</w:t>
      </w:r>
    </w:p>
    <w:p>
      <w:pPr>
        <w:spacing w:after="0" w:line="20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11.1</w:t>
      </w:r>
      <w:r>
        <w:rPr>
          <w:sz w:val="20"/>
          <w:szCs w:val="20"/>
          <w:color w:val="auto"/>
        </w:rPr>
        <w:tab/>
      </w:r>
      <w:r>
        <w:rPr>
          <w:rFonts w:ascii="Times New Roman" w:cs="Times New Roman" w:eastAsia="Times New Roman" w:hAnsi="Times New Roman"/>
          <w:sz w:val="19"/>
          <w:szCs w:val="19"/>
          <w:u w:val="single" w:color="auto"/>
          <w:color w:val="auto"/>
        </w:rPr>
        <w:t>Applicability of Article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80" w:firstLine="891"/>
        <w:spacing w:after="0" w:line="261" w:lineRule="auto"/>
        <w:rPr>
          <w:sz w:val="20"/>
          <w:szCs w:val="20"/>
          <w:color w:val="auto"/>
        </w:rPr>
      </w:pPr>
      <w:r>
        <w:rPr>
          <w:rFonts w:ascii="Times New Roman" w:cs="Times New Roman" w:eastAsia="Times New Roman" w:hAnsi="Times New Roman"/>
          <w:sz w:val="20"/>
          <w:szCs w:val="20"/>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1"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20"/>
          <w:szCs w:val="20"/>
          <w:color w:val="auto"/>
        </w:rPr>
        <w:t>The minimum amount of any sinking fund payment provided for by the terms of the Securities of any Series is herein referred to as a “</w:t>
      </w:r>
      <w:r>
        <w:rPr>
          <w:rFonts w:ascii="Times New Roman" w:cs="Times New Roman" w:eastAsia="Times New Roman" w:hAnsi="Times New Roman"/>
          <w:sz w:val="20"/>
          <w:szCs w:val="20"/>
          <w:i w:val="1"/>
          <w:iCs w:val="1"/>
          <w:color w:val="auto"/>
        </w:rPr>
        <w:t>mandatory sinking fund payment</w:t>
      </w:r>
      <w:r>
        <w:rPr>
          <w:rFonts w:ascii="Times New Roman" w:cs="Times New Roman" w:eastAsia="Times New Roman" w:hAnsi="Times New Roman"/>
          <w:sz w:val="20"/>
          <w:szCs w:val="20"/>
          <w:color w:val="auto"/>
        </w:rPr>
        <w:t>” and any other amount provided for by the terms of Securities of such Series is herein referred to as an “</w:t>
      </w:r>
      <w:r>
        <w:rPr>
          <w:rFonts w:ascii="Times New Roman" w:cs="Times New Roman" w:eastAsia="Times New Roman" w:hAnsi="Times New Roman"/>
          <w:sz w:val="20"/>
          <w:szCs w:val="20"/>
          <w:i w:val="1"/>
          <w:iCs w:val="1"/>
          <w:color w:val="auto"/>
        </w:rPr>
        <w:t>optional sinking fund payment</w:t>
      </w:r>
      <w:r>
        <w:rPr>
          <w:rFonts w:ascii="Times New Roman" w:cs="Times New Roman" w:eastAsia="Times New Roman" w:hAnsi="Times New Roman"/>
          <w:sz w:val="20"/>
          <w:szCs w:val="20"/>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11.2</w:t>
      </w:r>
      <w:r>
        <w:rPr>
          <w:sz w:val="20"/>
          <w:szCs w:val="20"/>
          <w:color w:val="auto"/>
        </w:rPr>
        <w:tab/>
      </w:r>
      <w:r>
        <w:rPr>
          <w:rFonts w:ascii="Times New Roman" w:cs="Times New Roman" w:eastAsia="Times New Roman" w:hAnsi="Times New Roman"/>
          <w:sz w:val="19"/>
          <w:szCs w:val="19"/>
          <w:u w:val="single" w:color="auto"/>
          <w:color w:val="auto"/>
        </w:rPr>
        <w:t>Satisfaction of Sinking Fund Payments with Securities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891"/>
        <w:spacing w:after="0" w:line="250" w:lineRule="auto"/>
        <w:rPr>
          <w:sz w:val="20"/>
          <w:szCs w:val="20"/>
          <w:color w:val="auto"/>
        </w:rPr>
      </w:pPr>
      <w:r>
        <w:rPr>
          <w:rFonts w:ascii="Times New Roman" w:cs="Times New Roman" w:eastAsia="Times New Roman" w:hAnsi="Times New Roman"/>
          <w:sz w:val="20"/>
          <w:szCs w:val="20"/>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8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11.3</w:t>
      </w:r>
      <w:r>
        <w:rPr>
          <w:sz w:val="20"/>
          <w:szCs w:val="20"/>
          <w:color w:val="auto"/>
        </w:rPr>
        <w:tab/>
      </w:r>
      <w:r>
        <w:rPr>
          <w:rFonts w:ascii="Times New Roman" w:cs="Times New Roman" w:eastAsia="Times New Roman" w:hAnsi="Times New Roman"/>
          <w:sz w:val="19"/>
          <w:szCs w:val="19"/>
          <w:u w:val="single" w:color="auto"/>
          <w:color w:val="auto"/>
        </w:rPr>
        <w:t>Redemption of Securities for Sinking Fund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120" w:firstLine="891"/>
        <w:spacing w:after="0" w:line="258" w:lineRule="auto"/>
        <w:rPr>
          <w:sz w:val="20"/>
          <w:szCs w:val="20"/>
          <w:color w:val="auto"/>
        </w:rPr>
      </w:pPr>
      <w:r>
        <w:rPr>
          <w:rFonts w:ascii="Times New Roman" w:cs="Times New Roman" w:eastAsia="Times New Roman" w:hAnsi="Times New Roman"/>
          <w:sz w:val="20"/>
          <w:szCs w:val="20"/>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20"/>
          </w:cols>
          <w:pgMar w:left="320" w:top="1409" w:right="359" w:bottom="1440" w:gutter="0" w:footer="0" w:header="0"/>
        </w:sectPr>
      </w:pPr>
    </w:p>
    <w:bookmarkStart w:id="148" w:name="page149"/>
    <w:bookmarkEnd w:id="148"/>
    <w:p>
      <w:pPr>
        <w:spacing w:after="0" w:line="251" w:lineRule="auto"/>
        <w:rPr>
          <w:sz w:val="20"/>
          <w:szCs w:val="20"/>
          <w:color w:val="auto"/>
        </w:rPr>
      </w:pPr>
      <w:r>
        <w:rPr>
          <w:rFonts w:ascii="Times New Roman" w:cs="Times New Roman" w:eastAsia="Times New Roman" w:hAnsi="Times New Roman"/>
          <w:sz w:val="20"/>
          <w:szCs w:val="20"/>
          <w:color w:val="auto"/>
        </w:rPr>
        <w:t>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20"/>
          </w:cols>
          <w:pgMar w:left="320" w:top="1413" w:right="359" w:bottom="1440" w:gutter="0" w:footer="0" w:header="0"/>
        </w:sectPr>
      </w:pPr>
    </w:p>
    <w:bookmarkStart w:id="149" w:name="page150"/>
    <w:bookmarkEnd w:id="149"/>
    <w:p>
      <w:pPr>
        <w:ind w:left="90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Indenture to be duly executed as of the day and year first above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4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NAUTILUS BIOTECHNOLOGY, INC.</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22860</wp:posOffset>
            </wp:positionV>
            <wp:extent cx="3411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[__________],</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22860</wp:posOffset>
            </wp:positionV>
            <wp:extent cx="3411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880"/>
          </w:cols>
          <w:pgMar w:left="320" w:top="1413" w:right="699" w:bottom="1440" w:gutter="0" w:footer="0" w:header="0"/>
        </w:sectPr>
      </w:pPr>
    </w:p>
    <w:bookmarkStart w:id="150" w:name="page151"/>
    <w:bookmarkEnd w:id="150"/>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7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1234440" cy="454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Professional Corporation</w:t>
      </w:r>
    </w:p>
    <w:p>
      <w:pPr>
        <w:spacing w:after="0" w:line="1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650 Page Mill Road</w:t>
      </w:r>
    </w:p>
    <w:p>
      <w:pPr>
        <w:spacing w:after="0" w:line="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Palo Alto, California 94304-1050</w:t>
      </w:r>
    </w:p>
    <w:p>
      <w:pPr>
        <w:spacing w:after="0" w:line="1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O: 650.493.9300</w:t>
      </w:r>
    </w:p>
    <w:p>
      <w:pPr>
        <w:spacing w:after="0" w:line="1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F: 866.974.7329</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2701 Eastlake Avenue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 98102</w:t>
      </w:r>
    </w:p>
    <w:p>
      <w:pPr>
        <w:spacing w:after="0" w:line="207" w:lineRule="exact"/>
        <w:rPr>
          <w:sz w:val="20"/>
          <w:szCs w:val="20"/>
          <w:color w:val="auto"/>
        </w:rPr>
      </w:pPr>
    </w:p>
    <w:p>
      <w:pPr>
        <w:ind w:left="680"/>
        <w:spacing w:after="0" w:line="207" w:lineRule="exact"/>
        <w:tabs>
          <w:tab w:leader="none" w:pos="15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4"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color w:val="auto"/>
        </w:rPr>
        <w:t>At your request, we have examined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(the “Registration Statement”), filed by Nautilus Biotechnology, Inc., a Delaware corporation (the “Company”), with the Securities and Exchange Commission (the “Commission”) in connection with the registration pursuant to the Securities Act of 1933, as amended (the “Act”), of the Securities (as defined below).</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(a) shares of the Company’s common stock, $0.0001 par value per share (the “Common Stock”); (b) shares of the Company’s preferred stock, $0.0001 par value per share (the “Preferred Stock”); (c) the Company’s debt securities (the “Debt Securities”); (d) depositary shares of the Company representing a fractional interest in a share of Preferred Stock (the “Depositary Shares”); (e) warrants to purchase any of the securities above (the “Warrants”); (f) subscription rights to purchase Common Stock, Preferred Stock, Debt Securities, Depositary Shares, Warrants or units consisting of some or all of these securities (the “Subscription Rights”); (g) purchase contracts of the Company with respect to the securities of the Company (the “Purchase Contracts”); and (h) 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“Securities”).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advise you that we have also examined the Prospectus Supplement to the Registration Statement relating to the registration under the Act of the Company’s issuance and sale of up to $125,000,000 of shares of Common Stock (the “Shares”). We understand that the Company has agreed to issue and sell the Shares from time to time pursuant to the sales agreement, dated as of February 28, 2024, by and between the Company and Cowen and Company, LLC, as sales agent (the “Sales Agreement”).</w:t>
      </w:r>
    </w:p>
    <w:p>
      <w:pPr>
        <w:spacing w:after="0" w:line="180"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the Registration Statement or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pacing w:after="0" w:line="201"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amendments), will have become effective under the Act; (e) that a Prospectus Supplement will have been filed with the Commission describing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40" w:right="1740" w:hanging="430"/>
        <w:spacing w:after="0" w:line="264" w:lineRule="auto"/>
        <w:rPr>
          <w:sz w:val="20"/>
          <w:szCs w:val="20"/>
          <w:color w:val="auto"/>
        </w:rPr>
      </w:pPr>
      <w:r>
        <w:rPr>
          <w:rFonts w:ascii="Arial" w:cs="Arial" w:eastAsia="Arial" w:hAnsi="Arial"/>
          <w:sz w:val="13"/>
          <w:szCs w:val="13"/>
          <w:color w:val="003D4C"/>
        </w:rPr>
        <w:t>AUSTIN</w:t>
      </w:r>
      <w:r>
        <w:rPr>
          <w:sz w:val="20"/>
          <w:szCs w:val="20"/>
          <w:color w:val="auto"/>
        </w:rPr>
        <w:t xml:space="preserve"> </w:t>
      </w:r>
      <w:r>
        <w:rPr>
          <w:rFonts w:ascii="Arial" w:cs="Arial" w:eastAsia="Arial" w:hAnsi="Arial"/>
          <w:sz w:val="13"/>
          <w:szCs w:val="13"/>
          <w:color w:val="003D4C"/>
        </w:rPr>
        <w:t>BEIJING BOSTON BOULDER BRUSSELS HONG KONG LONDON LOS ANGELES NEW YORK PALO ALTO SALT LAKE CITY SAN DIEGO SAN FRANCISCO SEATTLE SHANGHAI WASHINGTON, DC WILMINGTON, DE</w:t>
      </w:r>
    </w:p>
    <w:p>
      <w:pPr>
        <w:sectPr>
          <w:pgSz w:w="11900" w:h="16838" w:orient="portrait"/>
          <w:cols w:equalWidth="0" w:num="1">
            <w:col w:w="11240"/>
          </w:cols>
          <w:pgMar w:left="320" w:top="117" w:right="339" w:bottom="1440" w:gutter="0" w:footer="0" w:header="0"/>
        </w:sectPr>
      </w:pPr>
    </w:p>
    <w:bookmarkStart w:id="151" w:name="page152"/>
    <w:bookmarkEnd w:id="151"/>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299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822960" cy="29972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225" w:lineRule="exact"/>
        <w:rPr>
          <w:sz w:val="20"/>
          <w:szCs w:val="20"/>
          <w:color w:val="auto"/>
        </w:rPr>
      </w:pPr>
    </w:p>
    <w:p>
      <w:pPr>
        <w:jc w:val="both"/>
        <w:ind w:firstLine="656"/>
        <w:spacing w:after="0" w:line="254" w:lineRule="auto"/>
        <w:tabs>
          <w:tab w:leader="none" w:pos="12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88" w:lineRule="exact"/>
        <w:rPr>
          <w:rFonts w:ascii="Times New Roman" w:cs="Times New Roman" w:eastAsia="Times New Roman" w:hAnsi="Times New Roman"/>
          <w:sz w:val="18"/>
          <w:szCs w:val="18"/>
          <w:color w:val="auto"/>
        </w:rPr>
      </w:pPr>
    </w:p>
    <w:p>
      <w:pPr>
        <w:jc w:val="both"/>
        <w:ind w:firstLine="656"/>
        <w:spacing w:after="0" w:line="218" w:lineRule="exact"/>
        <w:tabs>
          <w:tab w:leader="none" w:pos="12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Trustee is qualified to act as Trustee under the Indenture and the Company has filed a Form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204"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822960" cy="30035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and will entitle their holders to the rights specified in the Deposit Agreement and the Depositary Receipts.</w:t>
      </w:r>
    </w:p>
    <w:p>
      <w:pPr>
        <w:spacing w:after="0" w:line="192" w:lineRule="exact"/>
        <w:rPr>
          <w:sz w:val="20"/>
          <w:szCs w:val="20"/>
          <w:color w:val="auto"/>
        </w:rPr>
      </w:pPr>
    </w:p>
    <w:p>
      <w:pPr>
        <w:jc w:val="both"/>
        <w:ind w:firstLine="656"/>
        <w:spacing w:after="0" w:line="258" w:lineRule="auto"/>
        <w:tabs>
          <w:tab w:leader="none" w:pos="12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have been duly authorized and, when issued and delivered by the Company against payment therefor in accordance with the terms of the Sales Agreement, will be validly issued, fully paid and nonassessable.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225" w:lineRule="exact"/>
        <w:rPr>
          <w:sz w:val="20"/>
          <w:szCs w:val="20"/>
          <w:color w:val="auto"/>
        </w:rPr>
      </w:pPr>
    </w:p>
    <w:p>
      <w:pPr>
        <w:ind w:left="660" w:firstLine="644"/>
        <w:spacing w:after="0" w:line="282" w:lineRule="auto"/>
        <w:tabs>
          <w:tab w:leader="none" w:pos="19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transfer, moratorium or other similar laws relating to or affecting the rights of creditors generally;</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822960" cy="300355"/>
                    </a:xfrm>
                    <a:prstGeom prst="rect">
                      <a:avLst/>
                    </a:prstGeom>
                    <a:noFill/>
                  </pic:spPr>
                </pic:pic>
              </a:graphicData>
            </a:graphic>
          </wp:anchor>
        </w:drawing>
      </w:r>
    </w:p>
    <w:p>
      <w:pPr>
        <w:ind w:left="660" w:firstLine="644"/>
        <w:spacing w:after="0" w:line="282" w:lineRule="auto"/>
        <w:tabs>
          <w:tab w:leader="none" w:pos="195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express no opinion as to the laws of any other jurisdiction, other than the federal laws of the United States of America, the laws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as to the enforceability of the Debt Securities and the DGCL.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822960" cy="300355"/>
                    </a:xfrm>
                    <a:prstGeom prst="rect">
                      <a:avLst/>
                    </a:prstGeom>
                    <a:noFill/>
                  </pic:spPr>
                </pic:pic>
              </a:graphicData>
            </a:graphic>
          </wp:anchor>
        </w:drawing>
      </w:r>
    </w:p>
    <w:p>
      <w:pPr>
        <w:jc w:val="both"/>
        <w:ind w:firstLine="648"/>
        <w:spacing w:after="0" w:line="231" w:lineRule="exact"/>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Wilson Sonsini Goodrich &amp;</w:t>
      </w:r>
    </w:p>
    <w:p>
      <w:pPr>
        <w:ind w:left="4560"/>
        <w:spacing w:after="0"/>
        <w:rPr>
          <w:sz w:val="20"/>
          <w:szCs w:val="20"/>
          <w:color w:val="auto"/>
        </w:rPr>
      </w:pPr>
      <w:r>
        <w:rPr>
          <w:rFonts w:ascii="Times New Roman" w:cs="Times New Roman" w:eastAsia="Times New Roman" w:hAnsi="Times New Roman"/>
          <w:sz w:val="18"/>
          <w:szCs w:val="18"/>
          <w:color w:val="auto"/>
        </w:rPr>
        <w:t>Rosati, P.C.</w:t>
      </w: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WILSON SONSINI GOODRICH &amp;</w:t>
      </w:r>
    </w:p>
    <w:p>
      <w:pPr>
        <w:ind w:left="4560"/>
        <w:spacing w:after="0"/>
        <w:rPr>
          <w:sz w:val="20"/>
          <w:szCs w:val="20"/>
          <w:color w:val="auto"/>
        </w:rPr>
      </w:pPr>
      <w:r>
        <w:rPr>
          <w:rFonts w:ascii="Times New Roman" w:cs="Times New Roman" w:eastAsia="Times New Roman" w:hAnsi="Times New Roman"/>
          <w:sz w:val="18"/>
          <w:szCs w:val="18"/>
          <w:color w:val="auto"/>
        </w:rPr>
        <w:t>ROSATI</w:t>
      </w:r>
    </w:p>
    <w:p>
      <w:pPr>
        <w:spacing w:after="0" w:line="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1240"/>
          </w:cols>
          <w:pgMar w:left="320" w:top="1440" w:right="339" w:bottom="1440" w:gutter="0" w:footer="0" w:header="0"/>
        </w:sectPr>
      </w:pPr>
    </w:p>
    <w:bookmarkStart w:id="155" w:name="page156"/>
    <w:bookmarkEnd w:id="155"/>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40"/>
        <w:spacing w:after="0" w:line="252"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S-3 of Nautilus Biotechnology, Inc. of our report dated February 28, 2024 relating to the financial statements, which appears in Nautilus Biotechnology, Inc.'s Annual Report on Form 10-K for the year ended December 31, 2023.</w:t>
      </w:r>
    </w:p>
    <w:p>
      <w:pPr>
        <w:spacing w:after="0" w:line="218"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/s/ PricewaterhouseCoopers LLP</w:t>
      </w:r>
    </w:p>
    <w:p>
      <w:pPr>
        <w:spacing w:after="0" w:line="281"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1)"/>
      <w:numFmt w:val="decimal"/>
      <w:start w:val="206"/>
    </w:lvl>
  </w:abstractNum>
  <w:abstractNum w:abstractNumId="21">
    <w:nsid w:val="1A32234B"/>
    <w:multiLevelType w:val="hybridMultilevel"/>
    <w:lvl w:ilvl="0">
      <w:lvlJc w:val="left"/>
      <w:lvlText w:val="(%1)"/>
      <w:numFmt w:val="upperLetter"/>
      <w:start w:val="2"/>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1)"/>
      <w:numFmt w:val="decimal"/>
      <w:start w:val="206"/>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3">
    <w:nsid w:val="6EB5BD4"/>
    <w:multiLevelType w:val="hybridMultilevel"/>
    <w:lvl w:ilvl="0">
      <w:lvlJc w:val="left"/>
      <w:lvlText w:val="(%1)"/>
      <w:numFmt w:val="lowerRoman"/>
      <w:start w:val="2"/>
    </w:lvl>
  </w:abstractNum>
  <w:abstractNum w:abstractNumId="34">
    <w:nsid w:val="6F6DD9AC"/>
    <w:multiLevelType w:val="hybridMultilevel"/>
    <w:lvl w:ilvl="0">
      <w:lvlJc w:val="left"/>
      <w:lvlText w:val="(%1)"/>
      <w:numFmt w:val="decimal"/>
      <w:start w:val="2"/>
    </w:lvl>
    <w:lvl w:ilvl="1">
      <w:lvlJc w:val="left"/>
      <w:lvlText w:val="(%2)"/>
      <w:numFmt w:val="lowerRoman"/>
      <w:start w:val="1"/>
    </w:lvl>
  </w:abstractNum>
  <w:abstractNum w:abstractNumId="35">
    <w:nsid w:val="9421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
    <w:nsid w:val="885E1B"/>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7">
    <w:nsid w:val="7627211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2"/>
    </w:lvl>
    <w:lvl w:ilvl="1">
      <w:lvlJc w:val="left"/>
      <w:lvlText w:val="-"/>
      <w:numFmt w:val="bullet"/>
      <w:start w:val="1"/>
    </w:lvl>
  </w:abstractNum>
  <w:abstractNum w:abstractNumId="41">
    <w:nsid w:val="3222E7CD"/>
    <w:multiLevelType w:val="hybridMultilevel"/>
    <w:lvl w:ilvl="0">
      <w:lvlJc w:val="left"/>
      <w:lvlText w:val="(%1)"/>
      <w:numFmt w:val="lowerRoman"/>
      <w:start w:val="3"/>
    </w:lvl>
    <w:lvl w:ilvl="1">
      <w:lvlJc w:val="left"/>
      <w:lvlText w:val="%2."/>
      <w:numFmt w:val="decimal"/>
      <w:start w:val="3"/>
    </w:lvl>
    <w:lvl w:ilvl="2">
      <w:lvlJc w:val="left"/>
      <w:lvlText w:val="-"/>
      <w:numFmt w:val="bullet"/>
      <w:start w:val="1"/>
    </w:lvl>
  </w:abstractNum>
  <w:abstractNum w:abstractNumId="42">
    <w:nsid w:val="74DE0EE3"/>
    <w:multiLevelType w:val="hybridMultilevel"/>
    <w:lvl w:ilvl="0">
      <w:lvlJc w:val="left"/>
      <w:lvlText w:val="%1."/>
      <w:numFmt w:val="decimal"/>
      <w:start w:val="4"/>
    </w:lvl>
  </w:abstractNum>
  <w:abstractNum w:abstractNumId="43">
    <w:nsid w:val="68EBC550"/>
    <w:multiLevelType w:val="hybridMultilevel"/>
    <w:lvl w:ilvl="0">
      <w:lvlJc w:val="left"/>
      <w:lvlText w:val="(%1)"/>
      <w:numFmt w:val="lowerLetter"/>
      <w:start w:val="1"/>
    </w:lvl>
    <w:lvl w:ilvl="1">
      <w:lvlJc w:val="left"/>
      <w:lvlText w:val="-"/>
      <w:numFmt w:val="bullet"/>
      <w:start w:val="1"/>
    </w:lvl>
  </w:abstractNum>
  <w:abstractNum w:abstractNumId="44">
    <w:nsid w:val="2DF6D648"/>
    <w:multiLevelType w:val="hybridMultilevel"/>
    <w:lvl w:ilvl="0">
      <w:lvlJc w:val="left"/>
      <w:lvlText w:val="%1."/>
      <w:numFmt w:val="decimal"/>
      <w:start w:val="5"/>
    </w:lvl>
  </w:abstractNum>
  <w:abstractNum w:abstractNumId="45">
    <w:nsid w:val="46B7D447"/>
    <w:multiLevelType w:val="hybridMultilevel"/>
    <w:lvl w:ilvl="0">
      <w:lvlJc w:val="left"/>
      <w:lvlText w:val="(%1)"/>
      <w:numFmt w:val="lowerLetter"/>
      <w:start w:val="1"/>
    </w:lvl>
  </w:abstractNum>
  <w:abstractNum w:abstractNumId="46">
    <w:nsid w:val="4A2AC315"/>
    <w:multiLevelType w:val="hybridMultilevel"/>
    <w:lvl w:ilvl="0">
      <w:lvlJc w:val="left"/>
      <w:lvlText w:val="%1."/>
      <w:numFmt w:val="decimal"/>
      <w:start w:val="6"/>
    </w:lvl>
  </w:abstractNum>
  <w:abstractNum w:abstractNumId="47">
    <w:nsid w:val="39EE015C"/>
    <w:multiLevelType w:val="hybridMultilevel"/>
    <w:lvl w:ilvl="0">
      <w:lvlJc w:val="left"/>
      <w:lvlText w:val="(%1)"/>
      <w:numFmt w:val="lowerLetter"/>
      <w:start w:val="1"/>
    </w:lvl>
    <w:lvl w:ilvl="1">
      <w:lvlJc w:val="left"/>
      <w:lvlText w:val="-"/>
      <w:numFmt w:val="bullet"/>
      <w:start w:val="1"/>
    </w:lvl>
  </w:abstractNum>
  <w:abstractNum w:abstractNumId="48">
    <w:nsid w:val="57FC4FBB"/>
    <w:multiLevelType w:val="hybridMultilevel"/>
    <w:lvl w:ilvl="0">
      <w:lvlJc w:val="left"/>
      <w:lvlText w:val="(%1)"/>
      <w:numFmt w:val="lowerLetter"/>
      <w:start w:val="2"/>
    </w:lvl>
    <w:lvl w:ilvl="1">
      <w:lvlJc w:val="left"/>
      <w:lvlText w:val="-"/>
      <w:numFmt w:val="bullet"/>
      <w:start w:val="1"/>
    </w:lvl>
  </w:abstractNum>
  <w:abstractNum w:abstractNumId="49">
    <w:nsid w:val="CC1016F"/>
    <w:multiLevelType w:val="hybridMultilevel"/>
    <w:lvl w:ilvl="0">
      <w:lvlJc w:val="left"/>
      <w:lvlText w:val="(%1)"/>
      <w:numFmt w:val="lowerLetter"/>
      <w:start w:val="5"/>
    </w:lvl>
    <w:lvl w:ilvl="1">
      <w:lvlJc w:val="left"/>
      <w:lvlText w:val="-"/>
      <w:numFmt w:val="bullet"/>
      <w:start w:val="1"/>
    </w:lvl>
  </w:abstractNum>
  <w:abstractNum w:abstractNumId="50">
    <w:nsid w:val="43F18422"/>
    <w:multiLevelType w:val="hybridMultilevel"/>
    <w:lvl w:ilvl="0">
      <w:lvlJc w:val="left"/>
      <w:lvlText w:val="(%1)"/>
      <w:numFmt w:val="lowerLetter"/>
      <w:start w:val="11"/>
    </w:lvl>
    <w:lvl w:ilvl="1">
      <w:lvlJc w:val="left"/>
      <w:lvlText w:val="-"/>
      <w:numFmt w:val="bullet"/>
      <w:start w:val="1"/>
    </w:lvl>
  </w:abstractNum>
  <w:abstractNum w:abstractNumId="51">
    <w:nsid w:val="60EF0119"/>
    <w:multiLevelType w:val="hybridMultilevel"/>
    <w:lvl w:ilvl="0">
      <w:lvlJc w:val="left"/>
      <w:lvlText w:val="%1"/>
      <w:numFmt w:val="lowerLetter"/>
      <w:start w:val="1"/>
    </w:lvl>
    <w:lvl w:ilvl="1">
      <w:lvlJc w:val="left"/>
      <w:lvlText w:val="(%2)"/>
      <w:numFmt w:val="lowerLetter"/>
      <w:start w:val="15"/>
    </w:lvl>
    <w:lvl w:ilvl="2">
      <w:lvlJc w:val="left"/>
      <w:lvlText w:val="-"/>
      <w:numFmt w:val="bullet"/>
      <w:start w:val="1"/>
    </w:lvl>
  </w:abstractNum>
  <w:abstractNum w:abstractNumId="52">
    <w:nsid w:val="26F324BA"/>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53">
    <w:nsid w:val="7F01579B"/>
    <w:multiLevelType w:val="hybridMultilevel"/>
    <w:lvl w:ilvl="0">
      <w:lvlJc w:val="left"/>
      <w:lvlText w:val="(%1)"/>
      <w:numFmt w:val="lowerLetter"/>
      <w:start w:val="17"/>
    </w:lvl>
    <w:lvl w:ilvl="1">
      <w:lvlJc w:val="left"/>
      <w:lvlText w:val="-"/>
      <w:numFmt w:val="bullet"/>
      <w:start w:val="1"/>
    </w:lvl>
  </w:abstractNum>
  <w:abstractNum w:abstractNumId="54">
    <w:nsid w:val="49DA307D"/>
    <w:multiLevelType w:val="hybridMultilevel"/>
    <w:lvl w:ilvl="0">
      <w:lvlJc w:val="left"/>
      <w:lvlText w:val="(%1)"/>
      <w:numFmt w:val="lowerLetter"/>
      <w:start w:val="20"/>
    </w:lvl>
    <w:lvl w:ilvl="1">
      <w:lvlJc w:val="left"/>
      <w:lvlText w:val="-"/>
      <w:numFmt w:val="bullet"/>
      <w:start w:val="1"/>
    </w:lvl>
  </w:abstractNum>
  <w:abstractNum w:abstractNumId="55">
    <w:nsid w:val="7055A5F5"/>
    <w:multiLevelType w:val="hybridMultilevel"/>
    <w:lvl w:ilvl="0">
      <w:lvlJc w:val="left"/>
      <w:lvlText w:val="(%1)"/>
      <w:numFmt w:val="lowerLetter"/>
      <w:start w:val="26"/>
    </w:lvl>
  </w:abstractNum>
  <w:abstractNum w:abstractNumId="56">
    <w:nsid w:val="5FB8370B"/>
    <w:multiLevelType w:val="hybridMultilevel"/>
    <w:lvl w:ilvl="0">
      <w:lvlJc w:val="left"/>
      <w:lvlText w:val="(%1)"/>
      <w:numFmt w:val="lowerLetter"/>
      <w:start w:val="27"/>
    </w:lvl>
    <w:lvl w:ilvl="1">
      <w:lvlJc w:val="left"/>
      <w:lvlText w:val="(%2)"/>
      <w:numFmt w:val="upperLetter"/>
      <w:start w:val="1"/>
    </w:lvl>
    <w:lvl w:ilvl="2">
      <w:lvlJc w:val="left"/>
      <w:lvlText w:val="-"/>
      <w:numFmt w:val="bullet"/>
      <w:start w:val="1"/>
    </w:lvl>
  </w:abstractNum>
  <w:abstractNum w:abstractNumId="57">
    <w:nsid w:val="50801EE1"/>
    <w:multiLevelType w:val="hybridMultilevel"/>
    <w:lvl w:ilvl="0">
      <w:lvlJc w:val="left"/>
      <w:lvlText w:val="%1"/>
      <w:numFmt w:val="lowerLetter"/>
      <w:start w:val="1"/>
    </w:lvl>
    <w:lvl w:ilvl="1">
      <w:lvlJc w:val="left"/>
      <w:lvlText w:val="(%2)"/>
      <w:numFmt w:val="upperLetter"/>
      <w:start w:val="2"/>
    </w:lvl>
    <w:lvl w:ilvl="2">
      <w:lvlJc w:val="left"/>
      <w:lvlText w:val="-"/>
      <w:numFmt w:val="bullet"/>
      <w:start w:val="1"/>
    </w:lvl>
  </w:abstractNum>
  <w:abstractNum w:abstractNumId="58">
    <w:nsid w:val="488AC1A"/>
    <w:multiLevelType w:val="hybridMultilevel"/>
    <w:lvl w:ilvl="0">
      <w:lvlJc w:val="left"/>
      <w:lvlText w:val="(%1)"/>
      <w:numFmt w:val="lowerLetter"/>
      <w:start w:val="28"/>
    </w:lvl>
    <w:lvl w:ilvl="1">
      <w:lvlJc w:val="left"/>
      <w:lvlText w:val="%2"/>
      <w:numFmt w:val="upperLetter"/>
      <w:start w:val="1"/>
    </w:lvl>
    <w:lvl w:ilvl="2">
      <w:lvlJc w:val="left"/>
      <w:lvlText w:val="-"/>
      <w:numFmt w:val="bullet"/>
      <w:start w:val="1"/>
    </w:lvl>
  </w:abstractNum>
  <w:abstractNum w:abstractNumId="59">
    <w:nsid w:val="5FB8011C"/>
    <w:multiLevelType w:val="hybridMultilevel"/>
    <w:lvl w:ilvl="0">
      <w:lvlJc w:val="left"/>
      <w:lvlText w:val="%1"/>
      <w:numFmt w:val="lowerLetter"/>
      <w:start w:val="1"/>
    </w:lvl>
    <w:lvl w:ilvl="1">
      <w:lvlJc w:val="left"/>
      <w:lvlText w:val="(%2)"/>
      <w:numFmt w:val="lowerLetter"/>
      <w:start w:val="30"/>
    </w:lvl>
    <w:lvl w:ilvl="2">
      <w:lvlJc w:val="left"/>
      <w:lvlText w:val="-"/>
      <w:numFmt w:val="bullet"/>
      <w:start w:val="1"/>
    </w:lvl>
  </w:abstractNum>
  <w:abstractNum w:abstractNumId="60">
    <w:nsid w:val="6AA78F7F"/>
    <w:multiLevelType w:val="hybridMultilevel"/>
    <w:lvl w:ilvl="0">
      <w:lvlJc w:val="left"/>
      <w:lvlText w:val="(%1)"/>
      <w:numFmt w:val="lowerLetter"/>
      <w:start w:val="61"/>
    </w:lvl>
    <w:lvl w:ilvl="1">
      <w:lvlJc w:val="left"/>
      <w:lvlText w:val="(%2)"/>
      <w:numFmt w:val="lowerLetter"/>
      <w:start w:val="31"/>
    </w:lvl>
    <w:lvl w:ilvl="2">
      <w:lvlJc w:val="left"/>
      <w:lvlText w:val="-"/>
      <w:numFmt w:val="bullet"/>
      <w:start w:val="1"/>
    </w:lvl>
  </w:abstractNum>
  <w:abstractNum w:abstractNumId="61">
    <w:nsid w:val="7672BD23"/>
    <w:multiLevelType w:val="hybridMultilevel"/>
    <w:lvl w:ilvl="0">
      <w:lvlJc w:val="left"/>
      <w:lvlText w:val="(%1)"/>
      <w:numFmt w:val="lowerLetter"/>
      <w:start w:val="32"/>
    </w:lvl>
    <w:lvl w:ilvl="1">
      <w:lvlJc w:val="left"/>
      <w:lvlText w:val="-"/>
      <w:numFmt w:val="bullet"/>
      <w:start w:val="1"/>
    </w:lvl>
  </w:abstractNum>
  <w:abstractNum w:abstractNumId="62">
    <w:nsid w:val="6FC75AF8"/>
    <w:multiLevelType w:val="hybridMultilevel"/>
    <w:lvl w:ilvl="0">
      <w:lvlJc w:val="left"/>
      <w:lvlText w:val="(%1)"/>
      <w:numFmt w:val="lowerLetter"/>
      <w:start w:val="33"/>
    </w:lvl>
    <w:lvl w:ilvl="1">
      <w:lvlJc w:val="left"/>
      <w:lvlText w:val="-"/>
      <w:numFmt w:val="bullet"/>
      <w:start w:val="1"/>
    </w:lvl>
  </w:abstractNum>
  <w:abstractNum w:abstractNumId="63">
    <w:nsid w:val="6A5F7029"/>
    <w:multiLevelType w:val="hybridMultilevel"/>
    <w:lvl w:ilvl="0">
      <w:lvlJc w:val="left"/>
      <w:lvlText w:val="(%1)"/>
      <w:numFmt w:val="lowerLetter"/>
      <w:start w:val="39"/>
    </w:lvl>
    <w:lvl w:ilvl="1">
      <w:lvlJc w:val="left"/>
      <w:lvlText w:val="-"/>
      <w:numFmt w:val="bullet"/>
      <w:start w:val="1"/>
    </w:lvl>
  </w:abstractNum>
  <w:abstractNum w:abstractNumId="64">
    <w:nsid w:val="7D5E18F8"/>
    <w:multiLevelType w:val="hybridMultilevel"/>
    <w:lvl w:ilvl="0">
      <w:lvlJc w:val="left"/>
      <w:lvlText w:val="(%1)"/>
      <w:numFmt w:val="lowerLetter"/>
      <w:start w:val="42"/>
    </w:lvl>
  </w:abstractNum>
  <w:abstractNum w:abstractNumId="65">
    <w:nsid w:val="5F3534A4"/>
    <w:multiLevelType w:val="hybridMultilevel"/>
    <w:lvl w:ilvl="0">
      <w:lvlJc w:val="left"/>
      <w:lvlText w:val="%1."/>
      <w:numFmt w:val="decimal"/>
      <w:start w:val="7"/>
    </w:lvl>
  </w:abstractNum>
  <w:abstractNum w:abstractNumId="66">
    <w:nsid w:val="73A1821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7">
    <w:nsid w:val="7DE67713"/>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68">
    <w:nsid w:val="555C55B5"/>
    <w:multiLevelType w:val="hybridMultilevel"/>
    <w:lvl w:ilvl="0">
      <w:lvlJc w:val="left"/>
      <w:lvlText w:val="(%1)"/>
      <w:numFmt w:val="lowerLetter"/>
      <w:start w:val="2"/>
    </w:lvl>
    <w:lvl w:ilvl="1">
      <w:lvlJc w:val="left"/>
      <w:lvlText w:val="-"/>
      <w:numFmt w:val="bullet"/>
      <w:start w:val="1"/>
    </w:lvl>
  </w:abstractNum>
  <w:abstractNum w:abstractNumId="69">
    <w:nsid w:val="3FA62ACA"/>
    <w:multiLevelType w:val="hybridMultilevel"/>
    <w:lvl w:ilvl="0">
      <w:lvlJc w:val="left"/>
      <w:lvlText w:val="(%1)"/>
      <w:numFmt w:val="lowerLetter"/>
      <w:start w:val="4"/>
    </w:lvl>
    <w:lvl w:ilvl="1">
      <w:lvlJc w:val="left"/>
      <w:lvlText w:val="-"/>
      <w:numFmt w:val="bullet"/>
      <w:start w:val="1"/>
    </w:lvl>
  </w:abstractNum>
  <w:abstractNum w:abstractNumId="70">
    <w:nsid w:val="14FCE74E"/>
    <w:multiLevelType w:val="hybridMultilevel"/>
    <w:lvl w:ilvl="0">
      <w:lvlJc w:val="left"/>
      <w:lvlText w:val="(%1)"/>
      <w:numFmt w:val="lowerLetter"/>
      <w:start w:val="8"/>
    </w:lvl>
    <w:lvl w:ilvl="1">
      <w:lvlJc w:val="left"/>
      <w:lvlText w:val="-"/>
      <w:numFmt w:val="bullet"/>
      <w:start w:val="1"/>
    </w:lvl>
  </w:abstractNum>
  <w:abstractNum w:abstractNumId="71">
    <w:nsid w:val="6A3DD3E8"/>
    <w:multiLevelType w:val="hybridMultilevel"/>
    <w:lvl w:ilvl="0">
      <w:lvlJc w:val="left"/>
      <w:lvlText w:val="(%1)"/>
      <w:numFmt w:val="lowerLetter"/>
      <w:start w:val="12"/>
    </w:lvl>
    <w:lvl w:ilvl="1">
      <w:lvlJc w:val="left"/>
      <w:lvlText w:val="-"/>
      <w:numFmt w:val="bullet"/>
      <w:start w:val="1"/>
    </w:lvl>
  </w:abstractNum>
  <w:abstractNum w:abstractNumId="72">
    <w:nsid w:val="71C91298"/>
    <w:multiLevelType w:val="hybridMultilevel"/>
    <w:lvl w:ilvl="0">
      <w:lvlJc w:val="left"/>
      <w:lvlText w:val="(%1)"/>
      <w:numFmt w:val="lowerLetter"/>
      <w:start w:val="15"/>
    </w:lvl>
    <w:lvl w:ilvl="1">
      <w:lvlJc w:val="left"/>
      <w:lvlText w:val="-"/>
      <w:numFmt w:val="bullet"/>
      <w:start w:val="1"/>
    </w:lvl>
  </w:abstractNum>
  <w:abstractNum w:abstractNumId="73">
    <w:nsid w:val="9DAF632"/>
    <w:multiLevelType w:val="hybridMultilevel"/>
    <w:lvl w:ilvl="0">
      <w:lvlJc w:val="left"/>
      <w:lvlText w:val="(%1)"/>
      <w:numFmt w:val="lowerLetter"/>
      <w:start w:val="17"/>
    </w:lvl>
    <w:lvl w:ilvl="1">
      <w:lvlJc w:val="left"/>
      <w:lvlText w:val="-"/>
      <w:numFmt w:val="bullet"/>
      <w:start w:val="1"/>
    </w:lvl>
  </w:abstractNum>
  <w:abstractNum w:abstractNumId="74">
    <w:nsid w:val="53299938"/>
    <w:multiLevelType w:val="hybridMultilevel"/>
    <w:lvl w:ilvl="0">
      <w:lvlJc w:val="left"/>
      <w:lvlText w:val="(%1)"/>
      <w:numFmt w:val="lowerLetter"/>
      <w:start w:val="24"/>
    </w:lvl>
  </w:abstractNum>
  <w:abstractNum w:abstractNumId="75">
    <w:nsid w:val="1FBFE8E0"/>
    <w:multiLevelType w:val="hybridMultilevel"/>
    <w:lvl w:ilvl="0">
      <w:lvlJc w:val="left"/>
      <w:lvlText w:val="%1."/>
      <w:numFmt w:val="decimal"/>
      <w:start w:val="8"/>
    </w:lvl>
  </w:abstractNum>
  <w:abstractNum w:abstractNumId="76">
    <w:nsid w:val="5092CA79"/>
    <w:multiLevelType w:val="hybridMultilevel"/>
    <w:lvl w:ilvl="0">
      <w:lvlJc w:val="left"/>
      <w:lvlText w:val="(%1)"/>
      <w:numFmt w:val="lowerLetter"/>
      <w:start w:val="1"/>
    </w:lvl>
    <w:lvl w:ilvl="1">
      <w:lvlJc w:val="left"/>
      <w:lvlText w:val="-"/>
      <w:numFmt w:val="bullet"/>
      <w:start w:val="1"/>
    </w:lvl>
  </w:abstractNum>
  <w:abstractNum w:abstractNumId="77">
    <w:nsid w:val="1D545C4D"/>
    <w:multiLevelType w:val="hybridMultilevel"/>
    <w:lvl w:ilvl="0">
      <w:lvlJc w:val="left"/>
      <w:lvlText w:val="(%1)"/>
      <w:numFmt w:val="lowerLetter"/>
      <w:start w:val="3"/>
    </w:lvl>
    <w:lvl w:ilvl="1">
      <w:lvlJc w:val="left"/>
      <w:lvlText w:val="-"/>
      <w:numFmt w:val="bullet"/>
      <w:start w:val="1"/>
    </w:lvl>
  </w:abstractNum>
  <w:abstractNum w:abstractNumId="78">
    <w:nsid w:val="59ADEA3D"/>
    <w:multiLevelType w:val="hybridMultilevel"/>
    <w:lvl w:ilvl="0">
      <w:lvlJc w:val="left"/>
      <w:lvlText w:val="(%1)"/>
      <w:numFmt w:val="lowerLetter"/>
      <w:start w:val="8"/>
    </w:lvl>
    <w:lvl w:ilvl="1">
      <w:lvlJc w:val="left"/>
      <w:lvlText w:val="-"/>
      <w:numFmt w:val="bullet"/>
      <w:start w:val="1"/>
    </w:lvl>
  </w:abstractNum>
  <w:abstractNum w:abstractNumId="79">
    <w:nsid w:val="288F1A34"/>
    <w:multiLevelType w:val="hybridMultilevel"/>
    <w:lvl w:ilvl="0">
      <w:lvlJc w:val="left"/>
      <w:lvlText w:val="%1."/>
      <w:numFmt w:val="decimal"/>
      <w:start w:val="9"/>
    </w:lvl>
  </w:abstractNum>
  <w:abstractNum w:abstractNumId="80">
    <w:nsid w:val="2A155DBC"/>
    <w:multiLevelType w:val="hybridMultilevel"/>
    <w:lvl w:ilvl="0">
      <w:lvlJc w:val="left"/>
      <w:lvlText w:val="(%1)"/>
      <w:numFmt w:val="lowerLetter"/>
      <w:start w:val="1"/>
    </w:lvl>
    <w:lvl w:ilvl="1">
      <w:lvlJc w:val="left"/>
      <w:lvlText w:val="-"/>
      <w:numFmt w:val="bullet"/>
      <w:start w:val="1"/>
    </w:lvl>
  </w:abstractNum>
  <w:abstractNum w:abstractNumId="81">
    <w:nsid w:val="1D9F6E5F"/>
    <w:multiLevelType w:val="hybridMultilevel"/>
    <w:lvl w:ilvl="0">
      <w:lvlJc w:val="left"/>
      <w:lvlText w:val="(%1)"/>
      <w:numFmt w:val="lowerLetter"/>
      <w:start w:val="4"/>
    </w:lvl>
    <w:lvl w:ilvl="1">
      <w:lvlJc w:val="left"/>
      <w:lvlText w:val="-"/>
      <w:numFmt w:val="bullet"/>
      <w:start w:val="1"/>
    </w:lvl>
  </w:abstractNum>
  <w:abstractNum w:abstractNumId="82">
    <w:nsid w:val="97E1B4E"/>
    <w:multiLevelType w:val="hybridMultilevel"/>
    <w:lvl w:ilvl="0">
      <w:lvlJc w:val="left"/>
      <w:lvlText w:val="%1."/>
      <w:numFmt w:val="decimal"/>
      <w:start w:val="10"/>
    </w:lvl>
  </w:abstractNum>
  <w:abstractNum w:abstractNumId="83">
    <w:nsid w:val="51088277"/>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4">
    <w:nsid w:val="1CA0C5FA"/>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85">
    <w:nsid w:val="53584BCB"/>
    <w:multiLevelType w:val="hybridMultilevel"/>
    <w:lvl w:ilvl="0">
      <w:lvlJc w:val="left"/>
      <w:lvlText w:val="(%1)"/>
      <w:numFmt w:val="lowerLetter"/>
      <w:start w:val="4"/>
    </w:lvl>
  </w:abstractNum>
  <w:abstractNum w:abstractNumId="86">
    <w:nsid w:val="415E286C"/>
    <w:multiLevelType w:val="hybridMultilevel"/>
    <w:lvl w:ilvl="0">
      <w:lvlJc w:val="left"/>
      <w:lvlText w:val="%1."/>
      <w:numFmt w:val="decimal"/>
      <w:start w:val="12"/>
    </w:lvl>
    <w:lvl w:ilvl="1">
      <w:lvlJc w:val="left"/>
      <w:lvlText w:val="-"/>
      <w:numFmt w:val="bullet"/>
      <w:start w:val="1"/>
    </w:lvl>
  </w:abstractNum>
  <w:abstractNum w:abstractNumId="87">
    <w:nsid w:val="7C58FD05"/>
    <w:multiLevelType w:val="hybridMultilevel"/>
    <w:lvl w:ilvl="0">
      <w:lvlJc w:val="left"/>
      <w:lvlText w:val="%1."/>
      <w:numFmt w:val="decimal"/>
      <w:start w:val="14"/>
    </w:lvl>
    <w:lvl w:ilvl="1">
      <w:lvlJc w:val="left"/>
      <w:lvlText w:val="-"/>
      <w:numFmt w:val="bullet"/>
      <w:start w:val="1"/>
    </w:lvl>
  </w:abstractNum>
  <w:abstractNum w:abstractNumId="88">
    <w:nsid w:val="23D86AAC"/>
    <w:multiLevelType w:val="hybridMultilevel"/>
    <w:lvl w:ilvl="0">
      <w:lvlJc w:val="left"/>
      <w:lvlText w:val="%1."/>
      <w:numFmt w:val="decimal"/>
      <w:start w:val="18"/>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decimal"/>
      <w:start w:val="19"/>
    </w:lvl>
  </w:abstractNum>
  <w:abstractNum w:abstractNumId="91">
    <w:nsid w:val="E7FFA2B"/>
    <w:multiLevelType w:val="hybridMultilevel"/>
    <w:lvl w:ilvl="0">
      <w:lvlJc w:val="left"/>
      <w:lvlText w:val="(%1)"/>
      <w:numFmt w:val="lowerLetter"/>
      <w:start w:val="1"/>
    </w:lvl>
    <w:lvl w:ilvl="1">
      <w:lvlJc w:val="left"/>
      <w:lvlText w:val="-"/>
      <w:numFmt w:val="bullet"/>
      <w:start w:val="1"/>
    </w:lvl>
  </w:abstractNum>
  <w:abstractNum w:abstractNumId="92">
    <w:nsid w:val="3C5991AA"/>
    <w:multiLevelType w:val="hybridMultilevel"/>
    <w:lvl w:ilvl="0">
      <w:lvlJc w:val="left"/>
      <w:lvlText w:val="(%1)"/>
      <w:numFmt w:val="lowerLetter"/>
      <w:start w:val="3"/>
    </w:lvl>
  </w:abstractNum>
  <w:abstractNum w:abstractNumId="93">
    <w:nsid w:val="4BD8591A"/>
    <w:multiLevelType w:val="hybridMultilevel"/>
    <w:lvl w:ilvl="0">
      <w:lvlJc w:val="left"/>
      <w:lvlText w:val="(%1)"/>
      <w:numFmt w:val="lowerRoman"/>
      <w:start w:val="1"/>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4"/>
    </w:lvl>
  </w:abstractNum>
  <w:abstractNum w:abstractNumId="97">
    <w:nsid w:val="6C80EC70"/>
    <w:multiLevelType w:val="hybridMultilevel"/>
    <w:lvl w:ilvl="0">
      <w:lvlJc w:val="left"/>
      <w:lvlText w:val="(%1)"/>
      <w:numFmt w:val="lowerLetter"/>
      <w:start w:val="1"/>
    </w:lvl>
  </w:abstractNum>
  <w:abstractNum w:abstractNumId="98">
    <w:nsid w:val="379E21B5"/>
    <w:multiLevelType w:val="hybridMultilevel"/>
    <w:lvl w:ilvl="0">
      <w:lvlJc w:val="left"/>
      <w:lvlText w:val="(%1)"/>
      <w:numFmt w:val="lowerLetter"/>
      <w:start w:val="7"/>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1)"/>
      <w:numFmt w:val="lowerLetter"/>
      <w:start w:val="1"/>
    </w:lvl>
    <w:lvl w:ilvl="1">
      <w:lvlJc w:val="left"/>
      <w:lvlText w:val="(%2)"/>
      <w:numFmt w:val="lowerLetter"/>
      <w:start w:val="9"/>
    </w:lvl>
  </w:abstractNum>
  <w:abstractNum w:abstractNumId="101">
    <w:nsid w:val="4C9B0904"/>
    <w:multiLevelType w:val="hybridMultilevel"/>
    <w:lvl w:ilvl="0">
      <w:lvlJc w:val="left"/>
      <w:lvlText w:val="%1"/>
      <w:numFmt w:val="lowerLetter"/>
      <w:start w:val="1"/>
    </w:lvl>
    <w:lvl w:ilvl="1">
      <w:lvlJc w:val="left"/>
      <w:lvlText w:val="(%2)"/>
      <w:numFmt w:val="lowerRoman"/>
      <w:start w:val="2"/>
    </w:lvl>
  </w:abstractNum>
  <w:abstractNum w:abstractNumId="102">
    <w:nsid w:val="6AA7B75C"/>
    <w:multiLevelType w:val="hybridMultilevel"/>
    <w:lvl w:ilvl="0">
      <w:lvlJc w:val="left"/>
      <w:lvlText w:val="(%1)"/>
      <w:numFmt w:val="lowerLetter"/>
      <w:start w:val="5"/>
    </w:lvl>
    <w:lvl w:ilvl="1">
      <w:lvlJc w:val="left"/>
      <w:lvlText w:val="(%2)"/>
      <w:numFmt w:val="lowerRoman"/>
      <w:start w:val="1"/>
    </w:lvl>
  </w:abstractNum>
  <w:abstractNum w:abstractNumId="103">
    <w:nsid w:val="1DF029D3"/>
    <w:multiLevelType w:val="hybridMultilevel"/>
    <w:lvl w:ilvl="0">
      <w:lvlJc w:val="left"/>
      <w:lvlText w:val="(%1)"/>
      <w:numFmt w:val="lowerLetter"/>
      <w:start w:val="6"/>
    </w:lvl>
  </w:abstractNum>
  <w:abstractNum w:abstractNumId="104">
    <w:nsid w:val="5675FF36"/>
    <w:multiLevelType w:val="hybridMultilevel"/>
    <w:lvl w:ilvl="0">
      <w:lvlJc w:val="left"/>
      <w:lvlText w:val="(%1)"/>
      <w:numFmt w:val="lowerLetter"/>
      <w:start w:val="1"/>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1)"/>
      <w:numFmt w:val="lowerLetter"/>
      <w:start w:val="1"/>
    </w:lvl>
  </w:abstractNum>
  <w:abstractNum w:abstractNumId="107">
    <w:nsid w:val="2708C9AF"/>
    <w:multiLevelType w:val="hybridMultilevel"/>
    <w:lvl w:ilvl="0">
      <w:lvlJc w:val="left"/>
      <w:lvlText w:val="(%1)"/>
      <w:numFmt w:val="lowerLetter"/>
      <w:start w:val="1"/>
    </w:lvl>
  </w:abstractNum>
  <w:abstractNum w:abstractNumId="108">
    <w:nsid w:val="5B25ACE2"/>
    <w:multiLevelType w:val="hybridMultilevel"/>
    <w:lvl w:ilvl="0">
      <w:lvlJc w:val="left"/>
      <w:lvlText w:val="(%1)"/>
      <w:numFmt w:val="lowerLetter"/>
      <w:start w:val="1"/>
    </w:lvl>
    <w:lvl w:ilvl="1">
      <w:lvlJc w:val="left"/>
      <w:lvlText w:val="(%2)"/>
      <w:numFmt w:val="lowerRoman"/>
      <w:start w:val="1"/>
    </w:lvl>
  </w:abstractNum>
  <w:abstractNum w:abstractNumId="109">
    <w:nsid w:val="175DFCF0"/>
    <w:multiLevelType w:val="hybridMultilevel"/>
    <w:lvl w:ilvl="0">
      <w:lvlJc w:val="left"/>
      <w:lvlText w:val="%1"/>
      <w:numFmt w:val="lowerLetter"/>
      <w:start w:val="1"/>
    </w:lvl>
    <w:lvl w:ilvl="1">
      <w:lvlJc w:val="left"/>
      <w:lvlText w:val="(%2)"/>
      <w:numFmt w:val="lowerLetter"/>
      <w:start w:val="61"/>
    </w:lvl>
  </w:abstractNum>
  <w:abstractNum w:abstractNumId="110">
    <w:nsid w:val="4F97E3E4"/>
    <w:multiLevelType w:val="hybridMultilevel"/>
    <w:lvl w:ilvl="0">
      <w:lvlJc w:val="left"/>
      <w:lvlText w:val="(%1)"/>
      <w:numFmt w:val="lowerLetter"/>
      <w:start w:val="4"/>
    </w:lvl>
    <w:lvl w:ilvl="1">
      <w:lvlJc w:val="left"/>
      <w:lvlText w:val="%2"/>
      <w:numFmt w:val="lowerLetter"/>
      <w:start w:val="1"/>
    </w:lvl>
  </w:abstractNum>
  <w:abstractNum w:abstractNumId="111">
    <w:nsid w:val="53B0A9E"/>
    <w:multiLevelType w:val="hybridMultilevel"/>
    <w:lvl w:ilvl="0">
      <w:lvlJc w:val="left"/>
      <w:lvlText w:val="(%1)"/>
      <w:numFmt w:val="lowerLetter"/>
      <w:start w:val="1"/>
    </w:lvl>
  </w:abstractNum>
  <w:abstractNum w:abstractNumId="112">
    <w:nsid w:val="34FD6B4F"/>
    <w:multiLevelType w:val="hybridMultilevel"/>
    <w:lvl w:ilvl="0">
      <w:lvlJc w:val="left"/>
      <w:lvlText w:val="(%1)"/>
      <w:numFmt w:val="lowerLetter"/>
      <w:start w:val="6"/>
    </w:lvl>
  </w:abstractNum>
  <w:abstractNum w:abstractNumId="113">
    <w:nsid w:val="5915FF32"/>
    <w:multiLevelType w:val="hybridMultilevel"/>
    <w:lvl w:ilvl="0">
      <w:lvlJc w:val="left"/>
      <w:lvlText w:val="(%1)"/>
      <w:numFmt w:val="lowerLetter"/>
      <w:start w:val="1"/>
    </w:lvl>
  </w:abstractNum>
  <w:abstractNum w:abstractNumId="114">
    <w:nsid w:val="56438D1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5">
    <w:nsid w:val="519E3149"/>
    <w:multiLevelType w:val="hybridMultilevel"/>
    <w:lvl w:ilvl="0">
      <w:lvlJc w:val="left"/>
      <w:lvlText w:val="(%1)"/>
      <w:numFmt w:val="lowerLetter"/>
      <w:start w:val="2"/>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2"/>
    </w:lvl>
  </w:abstractNum>
  <w:abstractNum w:abstractNumId="118">
    <w:nsid w:val="4DF72E4E"/>
    <w:multiLevelType w:val="hybridMultilevel"/>
    <w:lvl w:ilvl="0">
      <w:lvlJc w:val="left"/>
      <w:lvlText w:val="%1"/>
      <w:numFmt w:val="lowerLetter"/>
      <w:start w:val="1"/>
    </w:lvl>
    <w:lvl w:ilvl="1">
      <w:lvlJc w:val="left"/>
      <w:lvlText w:val="(%2)"/>
      <w:numFmt w:val="lowerLetter"/>
      <w:start w:val="1"/>
    </w:lvl>
  </w:abstractNum>
  <w:abstractNum w:abstractNumId="119">
    <w:nsid w:val="5046B5A9"/>
    <w:multiLevelType w:val="hybridMultilevel"/>
    <w:lvl w:ilvl="0">
      <w:lvlJc w:val="left"/>
      <w:lvlText w:val="(%1)"/>
      <w:numFmt w:val="lowerLetter"/>
      <w:start w:val="9"/>
    </w:lvl>
    <w:lvl w:ilvl="1">
      <w:lvlJc w:val="left"/>
      <w:lvlText w:val="%2"/>
      <w:numFmt w:val="lowerLetter"/>
      <w:start w:val="1"/>
    </w:lvl>
  </w:abstractNum>
  <w:abstractNum w:abstractNumId="120">
    <w:nsid w:val="5D888A08"/>
    <w:multiLevelType w:val="hybridMultilevel"/>
    <w:lvl w:ilvl="0">
      <w:lvlJc w:val="left"/>
      <w:lvlText w:val="(%1)"/>
      <w:numFmt w:val="lowerLetter"/>
      <w:start w:val="2"/>
    </w:lvl>
  </w:abstractNum>
  <w:abstractNum w:abstractNumId="121">
    <w:nsid w:val="2A082C70"/>
    <w:multiLevelType w:val="hybridMultilevel"/>
    <w:lvl w:ilvl="0">
      <w:lvlJc w:val="left"/>
      <w:lvlText w:val="(%1)"/>
      <w:numFmt w:val="lowerLetter"/>
      <w:start w:val="4"/>
    </w:lvl>
  </w:abstractNum>
  <w:abstractNum w:abstractNumId="122">
    <w:nsid w:val="5EC6AFD4"/>
    <w:multiLevelType w:val="hybridMultilevel"/>
    <w:lvl w:ilvl="0">
      <w:lvlJc w:val="left"/>
      <w:lvlText w:val="(%1)"/>
      <w:numFmt w:val="lowerLetter"/>
      <w:start w:val="5"/>
    </w:lvl>
  </w:abstractNum>
  <w:abstractNum w:abstractNumId="123">
    <w:nsid w:val="19E21BB2"/>
    <w:multiLevelType w:val="hybridMultilevel"/>
    <w:lvl w:ilvl="0">
      <w:lvlJc w:val="left"/>
      <w:lvlText w:val="(%1)"/>
      <w:numFmt w:val="lowerLetter"/>
      <w:start w:val="1"/>
    </w:lvl>
  </w:abstractNum>
  <w:abstractNum w:abstractNumId="124">
    <w:nsid w:val="75E0858A"/>
    <w:multiLevelType w:val="hybridMultilevel"/>
    <w:lvl w:ilvl="0">
      <w:lvlJc w:val="left"/>
      <w:lvlText w:val="(%1)"/>
      <w:numFmt w:val="lowerLetter"/>
      <w:start w:val="2"/>
    </w:lvl>
  </w:abstractNum>
  <w:abstractNum w:abstractNumId="125">
    <w:nsid w:val="57A61A29"/>
    <w:multiLevelType w:val="hybridMultilevel"/>
    <w:lvl w:ilvl="0">
      <w:lvlJc w:val="left"/>
      <w:lvlText w:val="(%1)"/>
      <w:numFmt w:val="lowerLetter"/>
      <w:start w:val="1"/>
    </w:lvl>
  </w:abstractNum>
  <w:abstractNum w:abstractNumId="126">
    <w:nsid w:val="5399C654"/>
    <w:multiLevelType w:val="hybridMultilevel"/>
    <w:lvl w:ilvl="0">
      <w:lvlJc w:val="left"/>
      <w:lvlText w:val="(%1)"/>
      <w:numFmt w:val="lowerLetter"/>
      <w:start w:val="12"/>
    </w:lvl>
  </w:abstractNum>
  <w:abstractNum w:abstractNumId="127">
    <w:nsid w:val="20EE1348"/>
    <w:multiLevelType w:val="hybridMultilevel"/>
    <w:lvl w:ilvl="0">
      <w:lvlJc w:val="left"/>
      <w:lvlText w:val="(%1)"/>
      <w:numFmt w:val="lowerLetter"/>
      <w:start w:val="1"/>
    </w:lvl>
  </w:abstractNum>
  <w:abstractNum w:abstractNumId="128">
    <w:nsid w:val="4427069A"/>
    <w:multiLevelType w:val="hybridMultilevel"/>
    <w:lvl w:ilvl="0">
      <w:lvlJc w:val="left"/>
      <w:lvlText w:val="(%1)"/>
      <w:numFmt w:val="lowerLetter"/>
      <w:start w:val="6"/>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lowerLetter"/>
      <w:start w:val="1"/>
    </w:lvl>
  </w:abstractNum>
  <w:abstractNum w:abstractNumId="131">
    <w:nsid w:val="704E1DD5"/>
    <w:multiLevelType w:val="hybridMultilevel"/>
    <w:lvl w:ilvl="0">
      <w:lvlJc w:val="left"/>
      <w:lvlText w:val="(%1)"/>
      <w:numFmt w:val="lowerLetter"/>
      <w:start w:val="3"/>
    </w:lvl>
  </w:abstractNum>
  <w:abstractNum w:abstractNumId="132">
    <w:nsid w:val="57D2F10E"/>
    <w:multiLevelType w:val="hybridMultilevel"/>
    <w:lvl w:ilvl="0">
      <w:lvlJc w:val="left"/>
      <w:lvlText w:val="%1."/>
      <w:numFmt w:val="decimal"/>
      <w:start w:val="1"/>
    </w:lvl>
  </w:abstractNum>
  <w:abstractNum w:abstractNumId="133">
    <w:nsid w:val="BFFAE18"/>
    <w:multiLevelType w:val="hybridMultilevel"/>
    <w:lvl w:ilvl="0">
      <w:lvlJc w:val="left"/>
      <w:lvlText w:val="%1."/>
      <w:numFmt w:val="decimal"/>
      <w:start w:val="5"/>
    </w:lvl>
  </w:abstractNum>
  <w:abstractNum w:abstractNumId="134">
    <w:nsid w:val="E3E47A8"/>
    <w:multiLevelType w:val="hybridMultilevel"/>
    <w:lvl w:ilvl="0">
      <w:lvlJc w:val="left"/>
      <w:lvlText w:val="(%1)"/>
      <w:numFmt w:val="lowerLetter"/>
      <w:start w:val="1"/>
    </w:lvl>
  </w:abstractNum>
  <w:abstractNum w:abstractNumId="135">
    <w:nsid w:val="2E48F04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jpeg"/><Relationship Id="rId67" Type="http://schemas.openxmlformats.org/officeDocument/2006/relationships/image" Target="media/image52.jpeg"/><Relationship Id="rId68" Type="http://schemas.openxmlformats.org/officeDocument/2006/relationships/image" Target="media/image53.jpeg"/><Relationship Id="rId69" Type="http://schemas.openxmlformats.org/officeDocument/2006/relationships/image" Target="media/image54.jpeg"/><Relationship Id="rId19" Type="http://schemas.openxmlformats.org/officeDocument/2006/relationships/hyperlink" Target="https://www.sec.gov/Archives/edgar/data/1808805/000180880524000005/naut-20231231.htm" TargetMode="External"/><Relationship Id="rId20" Type="http://schemas.openxmlformats.org/officeDocument/2006/relationships/hyperlink" Target="https://www.sec.gov/Archives/edgar/data/1808805/000114036120017640/nt10013610x6_8a12b.htm" TargetMode="External"/><Relationship Id="rId39" Type="http://schemas.openxmlformats.org/officeDocument/2006/relationships/hyperlink" Target="https://www.sec.gov/Archives/edgar/data/1808805/000162828021011892/exhibit31-form8xkclosing.htm" TargetMode="External"/><Relationship Id="rId40" Type="http://schemas.openxmlformats.org/officeDocument/2006/relationships/hyperlink" Target="https://www.sec.gov/Archives/edgar/data/1808805/000180880523000069/exhibit32-nautilusbiotechn.htm" TargetMode="External"/><Relationship Id="rId41" Type="http://schemas.openxmlformats.org/officeDocument/2006/relationships/hyperlink" Target="https://www.sec.gov/Archives/edgar/data/1808805/000180880523000011/exhibit42-descriptionofsec.htm" TargetMode="External"/><Relationship Id="rId42" Type="http://schemas.openxmlformats.org/officeDocument/2006/relationships/hyperlink" Target="https://www.sec.gov/Archives/edgar/data/1808805/000162828021011892/exhibit41-super8xkclosing.htm" TargetMode="External"/><Relationship Id="rId43" Type="http://schemas.openxmlformats.org/officeDocument/2006/relationships/hyperlink" Target="https://www.sec.gov/Archives/edgar/data/1808805/000114036121003650/brhc10019858_ex10-2.htm" TargetMode="External"/><Relationship Id="rId44" Type="http://schemas.openxmlformats.org/officeDocument/2006/relationships/hyperlink" Target="https://www.sec.gov/Archives/edgar/data/1808805/000180880524000005/exhibit103nautilus-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2024-02-28T06:29:46Z</dcterms:created>
  <dcterms:modified xsi:type="dcterms:W3CDTF">2024-02-28T06:29:46Z</dcterms:modified>
</cp:coreProperties>
</file>