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10,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S-8</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319" w:lineRule="exact"/>
        <w:rPr>
          <w:sz w:val="24"/>
          <w:szCs w:val="24"/>
          <w:color w:val="auto"/>
        </w:rPr>
      </w:pPr>
    </w:p>
    <w:p>
      <w:pPr>
        <w:ind w:left="3780"/>
        <w:spacing w:after="0"/>
        <w:rPr>
          <w:sz w:val="20"/>
          <w:szCs w:val="20"/>
          <w:color w:val="auto"/>
        </w:rPr>
      </w:pPr>
      <w:r>
        <w:rPr>
          <w:rFonts w:ascii="Arial" w:cs="Arial" w:eastAsia="Arial" w:hAnsi="Arial"/>
          <w:sz w:val="22"/>
          <w:szCs w:val="22"/>
          <w:b w:val="1"/>
          <w:bCs w:val="1"/>
          <w:color w:val="auto"/>
        </w:rPr>
        <w:t>NAUTILUS BIOTECHNOLOGY, INC.</w:t>
      </w:r>
    </w:p>
    <w:p>
      <w:pPr>
        <w:spacing w:after="0" w:line="19"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(Exact name of Registrant as specified in its charter)</w:t>
      </w:r>
    </w:p>
    <w:p>
      <w:pPr>
        <w:spacing w:after="0" w:line="43"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5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Delaware</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98-1541723</w:t>
            </w:r>
          </w:p>
        </w:tc>
      </w:tr>
      <w:tr>
        <w:trPr>
          <w:trHeight w:val="27"/>
        </w:trPr>
        <w:tc>
          <w:tcPr>
            <w:tcW w:w="54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222"/>
        </w:trPr>
        <w:tc>
          <w:tcPr>
            <w:tcW w:w="57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(State or other jurisdiction of</w:t>
            </w: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57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265"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425 Pontius Ave N, Ste 202</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Seattle, Washington 98109</w:t>
      </w:r>
    </w:p>
    <w:p>
      <w:pPr>
        <w:spacing w:after="0" w:line="103"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13"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2021 Equity Incentive Plan</w:t>
      </w:r>
    </w:p>
    <w:p>
      <w:pPr>
        <w:spacing w:after="0" w:line="27"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2017 Equity Incentive Plan</w:t>
      </w:r>
    </w:p>
    <w:p>
      <w:pPr>
        <w:spacing w:after="0" w:line="49"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(Full title of the plan)</w:t>
      </w:r>
    </w:p>
    <w:p>
      <w:pPr>
        <w:spacing w:after="0" w:line="59"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Sujal Patel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425 Pontius Ave N, Ste 202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Seattle, Washington 98109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(206) 333-2001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including area code, of agent for service)</w:t>
      </w:r>
    </w:p>
    <w:p>
      <w:pPr>
        <w:spacing w:after="0" w:line="103" w:lineRule="exact"/>
        <w:rPr>
          <w:sz w:val="24"/>
          <w:szCs w:val="24"/>
          <w:color w:val="auto"/>
        </w:rPr>
      </w:pPr>
    </w:p>
    <w:tbl>
      <w:tblPr>
        <w:tblLayout w:type="fixed"/>
        <w:tblInd w:w="130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4660" w:type="dxa"/>
            <w:vAlign w:val="bottom"/>
          </w:tcPr>
          <w:p>
            <w:pPr>
              <w:ind w:left="460"/>
              <w:spacing w:after="0"/>
              <w:rPr>
                <w:sz w:val="20"/>
                <w:szCs w:val="20"/>
                <w:color w:val="auto"/>
              </w:rPr>
            </w:pPr>
            <w:r>
              <w:rPr>
                <w:rFonts w:ascii="Arial" w:cs="Arial" w:eastAsia="Arial" w:hAnsi="Arial"/>
                <w:sz w:val="18"/>
                <w:szCs w:val="18"/>
                <w:i w:val="1"/>
                <w:iCs w:val="1"/>
                <w:color w:val="auto"/>
              </w:rPr>
              <w:t>Copies to:</w:t>
            </w:r>
          </w:p>
        </w:tc>
      </w:tr>
      <w:tr>
        <w:trPr>
          <w:trHeight w:val="252"/>
        </w:trPr>
        <w:tc>
          <w:tcPr>
            <w:tcW w:w="350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Robert F. Kornegay</w:t>
            </w:r>
          </w:p>
        </w:tc>
        <w:tc>
          <w:tcPr>
            <w:tcW w:w="4660" w:type="dxa"/>
            <w:vAlign w:val="bottom"/>
          </w:tcPr>
          <w:p>
            <w:pPr>
              <w:jc w:val="center"/>
              <w:ind w:left="2510"/>
              <w:spacing w:after="0"/>
              <w:rPr>
                <w:sz w:val="20"/>
                <w:szCs w:val="20"/>
                <w:color w:val="auto"/>
              </w:rPr>
            </w:pPr>
            <w:r>
              <w:rPr>
                <w:rFonts w:ascii="Arial" w:cs="Arial" w:eastAsia="Arial" w:hAnsi="Arial"/>
                <w:sz w:val="18"/>
                <w:szCs w:val="18"/>
                <w:b w:val="1"/>
                <w:bCs w:val="1"/>
                <w:color w:val="auto"/>
                <w:w w:val="97"/>
              </w:rPr>
              <w:t>Matthew Murphy</w:t>
            </w:r>
          </w:p>
        </w:tc>
      </w:tr>
      <w:tr>
        <w:trPr>
          <w:trHeight w:val="216"/>
        </w:trPr>
        <w:tc>
          <w:tcPr>
            <w:tcW w:w="3500" w:type="dxa"/>
            <w:vAlign w:val="bottom"/>
          </w:tcPr>
          <w:p>
            <w:pPr>
              <w:jc w:val="center"/>
              <w:ind w:right="370"/>
              <w:spacing w:after="0"/>
              <w:rPr>
                <w:sz w:val="20"/>
                <w:szCs w:val="20"/>
                <w:color w:val="auto"/>
              </w:rPr>
            </w:pPr>
            <w:r>
              <w:rPr>
                <w:rFonts w:ascii="Arial" w:cs="Arial" w:eastAsia="Arial" w:hAnsi="Arial"/>
                <w:sz w:val="18"/>
                <w:szCs w:val="18"/>
                <w:b w:val="1"/>
                <w:bCs w:val="1"/>
                <w:color w:val="auto"/>
                <w:w w:val="93"/>
              </w:rPr>
              <w:t>Zachary B. Myers</w:t>
            </w:r>
          </w:p>
        </w:tc>
        <w:tc>
          <w:tcPr>
            <w:tcW w:w="4660" w:type="dxa"/>
            <w:vAlign w:val="bottom"/>
          </w:tcPr>
          <w:p>
            <w:pPr>
              <w:jc w:val="center"/>
              <w:ind w:left="2490"/>
              <w:spacing w:after="0"/>
              <w:rPr>
                <w:sz w:val="20"/>
                <w:szCs w:val="20"/>
                <w:color w:val="auto"/>
              </w:rPr>
            </w:pPr>
            <w:r>
              <w:rPr>
                <w:rFonts w:ascii="Arial" w:cs="Arial" w:eastAsia="Arial" w:hAnsi="Arial"/>
                <w:sz w:val="18"/>
                <w:szCs w:val="18"/>
                <w:b w:val="1"/>
                <w:bCs w:val="1"/>
                <w:color w:val="auto"/>
                <w:w w:val="89"/>
              </w:rPr>
              <w:t>General Counsel</w:t>
            </w:r>
          </w:p>
        </w:tc>
      </w:tr>
      <w:tr>
        <w:trPr>
          <w:trHeight w:val="216"/>
        </w:trPr>
        <w:tc>
          <w:tcPr>
            <w:tcW w:w="350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Wilson Sonsini Goodrich &amp; Rosati, P.C.</w:t>
            </w:r>
          </w:p>
        </w:tc>
        <w:tc>
          <w:tcPr>
            <w:tcW w:w="4660" w:type="dxa"/>
            <w:vAlign w:val="bottom"/>
          </w:tcPr>
          <w:p>
            <w:pPr>
              <w:jc w:val="center"/>
              <w:ind w:left="2510"/>
              <w:spacing w:after="0"/>
              <w:rPr>
                <w:sz w:val="20"/>
                <w:szCs w:val="20"/>
                <w:color w:val="auto"/>
              </w:rPr>
            </w:pPr>
            <w:r>
              <w:rPr>
                <w:rFonts w:ascii="Arial" w:cs="Arial" w:eastAsia="Arial" w:hAnsi="Arial"/>
                <w:sz w:val="18"/>
                <w:szCs w:val="18"/>
                <w:b w:val="1"/>
                <w:bCs w:val="1"/>
                <w:color w:val="auto"/>
                <w:w w:val="89"/>
              </w:rPr>
              <w:t>425 Pontius Ave N, Ste 202</w:t>
            </w:r>
          </w:p>
        </w:tc>
      </w:tr>
      <w:tr>
        <w:trPr>
          <w:trHeight w:val="216"/>
        </w:trPr>
        <w:tc>
          <w:tcPr>
            <w:tcW w:w="3500" w:type="dxa"/>
            <w:vAlign w:val="bottom"/>
          </w:tcPr>
          <w:p>
            <w:pPr>
              <w:jc w:val="center"/>
              <w:ind w:right="370"/>
              <w:spacing w:after="0"/>
              <w:rPr>
                <w:sz w:val="20"/>
                <w:szCs w:val="20"/>
                <w:color w:val="auto"/>
              </w:rPr>
            </w:pPr>
            <w:r>
              <w:rPr>
                <w:rFonts w:ascii="Arial" w:cs="Arial" w:eastAsia="Arial" w:hAnsi="Arial"/>
                <w:sz w:val="18"/>
                <w:szCs w:val="18"/>
                <w:b w:val="1"/>
                <w:bCs w:val="1"/>
                <w:color w:val="auto"/>
                <w:w w:val="93"/>
              </w:rPr>
              <w:t>650 Page Mill Road</w:t>
            </w:r>
          </w:p>
        </w:tc>
        <w:tc>
          <w:tcPr>
            <w:tcW w:w="4660" w:type="dxa"/>
            <w:vAlign w:val="bottom"/>
          </w:tcPr>
          <w:p>
            <w:pPr>
              <w:jc w:val="center"/>
              <w:ind w:left="2510"/>
              <w:spacing w:after="0"/>
              <w:rPr>
                <w:sz w:val="20"/>
                <w:szCs w:val="20"/>
                <w:color w:val="auto"/>
              </w:rPr>
            </w:pPr>
            <w:r>
              <w:rPr>
                <w:rFonts w:ascii="Arial" w:cs="Arial" w:eastAsia="Arial" w:hAnsi="Arial"/>
                <w:sz w:val="18"/>
                <w:szCs w:val="18"/>
                <w:b w:val="1"/>
                <w:bCs w:val="1"/>
                <w:color w:val="auto"/>
                <w:w w:val="88"/>
              </w:rPr>
              <w:t>Seattle, Washington 98109</w:t>
            </w:r>
          </w:p>
        </w:tc>
      </w:tr>
      <w:tr>
        <w:trPr>
          <w:trHeight w:val="216"/>
        </w:trPr>
        <w:tc>
          <w:tcPr>
            <w:tcW w:w="350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Palo Alto, California 94304</w:t>
            </w:r>
          </w:p>
        </w:tc>
        <w:tc>
          <w:tcPr>
            <w:tcW w:w="4660" w:type="dxa"/>
            <w:vAlign w:val="bottom"/>
          </w:tcPr>
          <w:p>
            <w:pPr>
              <w:jc w:val="center"/>
              <w:ind w:left="2490"/>
              <w:spacing w:after="0"/>
              <w:rPr>
                <w:sz w:val="20"/>
                <w:szCs w:val="20"/>
                <w:color w:val="auto"/>
              </w:rPr>
            </w:pPr>
            <w:r>
              <w:rPr>
                <w:rFonts w:ascii="Arial" w:cs="Arial" w:eastAsia="Arial" w:hAnsi="Arial"/>
                <w:sz w:val="18"/>
                <w:szCs w:val="18"/>
                <w:b w:val="1"/>
                <w:bCs w:val="1"/>
                <w:color w:val="auto"/>
                <w:w w:val="90"/>
              </w:rPr>
              <w:t>(206) 333-2001</w:t>
            </w:r>
          </w:p>
        </w:tc>
      </w:tr>
      <w:tr>
        <w:trPr>
          <w:trHeight w:val="234"/>
        </w:trPr>
        <w:tc>
          <w:tcPr>
            <w:tcW w:w="350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(650) 493-9300</w:t>
            </w:r>
          </w:p>
        </w:tc>
        <w:tc>
          <w:tcPr>
            <w:tcW w:w="4660" w:type="dxa"/>
            <w:vAlign w:val="bottom"/>
          </w:tcPr>
          <w:p>
            <w:pPr>
              <w:spacing w:after="0"/>
              <w:rPr>
                <w:sz w:val="20"/>
                <w:szCs w:val="20"/>
                <w:color w:val="auto"/>
              </w:rPr>
            </w:pPr>
          </w:p>
        </w:tc>
      </w:tr>
    </w:tbl>
    <w:p>
      <w:pPr>
        <w:spacing w:after="0" w:line="202" w:lineRule="exact"/>
        <w:rPr>
          <w:sz w:val="24"/>
          <w:szCs w:val="24"/>
          <w:color w:val="auto"/>
        </w:rPr>
      </w:pPr>
    </w:p>
    <w:p>
      <w:pPr>
        <w:ind w:right="34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2"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6"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6480" w:space="720"/>
            <w:col w:w="4040"/>
          </w:cols>
          <w:pgMar w:left="320" w:top="1440" w:right="33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6480" w:space="720"/>
            <w:col w:w="4040"/>
          </w:cols>
          <w:pgMar w:left="320" w:top="1440" w:right="339" w:bottom="1440" w:gutter="0" w:footer="0" w:header="0"/>
          <w:type w:val="continuous"/>
        </w:sectPr>
      </w:pPr>
    </w:p>
    <w:p>
      <w:pPr>
        <w:ind w:left="7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gridSpan w:val="8"/>
          </w:tcPr>
          <w:p>
            <w:pPr>
              <w:ind w:left="4240"/>
              <w:spacing w:after="0"/>
              <w:rPr>
                <w:sz w:val="20"/>
                <w:szCs w:val="20"/>
                <w:color w:val="auto"/>
              </w:rPr>
            </w:pPr>
            <w:r>
              <w:rPr>
                <w:rFonts w:ascii="Arial" w:cs="Arial" w:eastAsia="Arial" w:hAnsi="Arial"/>
                <w:sz w:val="14"/>
                <w:szCs w:val="14"/>
                <w:b w:val="1"/>
                <w:bCs w:val="1"/>
                <w:color w:val="auto"/>
              </w:rPr>
              <w:t>CALCULATION OF REGISTRATION FEE</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408"/>
        </w:trPr>
        <w:tc>
          <w:tcPr>
            <w:tcW w:w="5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Proposed</w:t>
            </w:r>
          </w:p>
        </w:tc>
        <w:tc>
          <w:tcPr>
            <w:tcW w:w="80" w:type="dxa"/>
            <w:vAlign w:val="bottom"/>
          </w:tcPr>
          <w:p>
            <w:pPr>
              <w:spacing w:after="0"/>
              <w:rPr>
                <w:sz w:val="24"/>
                <w:szCs w:val="2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Proposed</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9"/>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ind w:right="62"/>
              <w:spacing w:after="0" w:line="159" w:lineRule="exact"/>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97"/>
              </w:rPr>
              <w:t>Maximum Offering</w:t>
            </w:r>
          </w:p>
        </w:tc>
        <w:tc>
          <w:tcPr>
            <w:tcW w:w="80" w:type="dxa"/>
            <w:vAlign w:val="bottom"/>
          </w:tcPr>
          <w:p>
            <w:pPr>
              <w:spacing w:after="0"/>
              <w:rPr>
                <w:sz w:val="13"/>
                <w:szCs w:val="13"/>
                <w:color w:val="auto"/>
              </w:rPr>
            </w:pPr>
          </w:p>
        </w:tc>
        <w:tc>
          <w:tcPr>
            <w:tcW w:w="150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95"/>
              </w:rPr>
              <w:t>Maximum Aggregate</w:t>
            </w:r>
          </w:p>
        </w:tc>
        <w:tc>
          <w:tcPr>
            <w:tcW w:w="120" w:type="dxa"/>
            <w:vAlign w:val="bottom"/>
          </w:tcPr>
          <w:p>
            <w:pPr>
              <w:spacing w:after="0"/>
              <w:rPr>
                <w:sz w:val="13"/>
                <w:szCs w:val="13"/>
                <w:color w:val="auto"/>
              </w:rPr>
            </w:pPr>
          </w:p>
        </w:tc>
        <w:tc>
          <w:tcPr>
            <w:tcW w:w="1140" w:type="dxa"/>
            <w:vAlign w:val="bottom"/>
          </w:tcPr>
          <w:p>
            <w:pPr>
              <w:jc w:val="right"/>
              <w:ind w:right="222"/>
              <w:spacing w:after="0" w:line="159" w:lineRule="exact"/>
              <w:rPr>
                <w:sz w:val="20"/>
                <w:szCs w:val="20"/>
                <w:color w:val="auto"/>
              </w:rPr>
            </w:pPr>
            <w:r>
              <w:rPr>
                <w:rFonts w:ascii="Arial" w:cs="Arial" w:eastAsia="Arial" w:hAnsi="Arial"/>
                <w:sz w:val="14"/>
                <w:szCs w:val="14"/>
                <w:b w:val="1"/>
                <w:bCs w:val="1"/>
                <w:color w:val="auto"/>
              </w:rPr>
              <w:t>Amount of</w:t>
            </w:r>
          </w:p>
        </w:tc>
      </w:tr>
      <w:tr>
        <w:trPr>
          <w:trHeight w:val="215"/>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 of Securities to be Registered</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right"/>
              <w:ind w:right="127"/>
              <w:spacing w:after="0"/>
              <w:rPr>
                <w:sz w:val="20"/>
                <w:szCs w:val="20"/>
                <w:color w:val="auto"/>
              </w:rPr>
            </w:pPr>
            <w:r>
              <w:rPr>
                <w:rFonts w:ascii="Arial" w:cs="Arial" w:eastAsia="Arial" w:hAnsi="Arial"/>
                <w:sz w:val="14"/>
                <w:szCs w:val="14"/>
                <w:b w:val="1"/>
                <w:bCs w:val="1"/>
                <w:color w:val="auto"/>
              </w:rPr>
              <w:t xml:space="preserve">to be Registered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4"/>
              </w:rPr>
              <w:t>Price Per Share</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4"/>
              </w:rPr>
              <w:t>Offering Price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1"/>
              </w:rPr>
              <w:t>Registration Fee</w:t>
            </w:r>
          </w:p>
        </w:tc>
      </w:tr>
      <w:tr>
        <w:trPr>
          <w:trHeight w:val="20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5"/>
              </w:rPr>
              <w:t>Common Stock, par value $0.0001 per share, of Nautilus Biotechnology, Inc.</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6"/>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06"/>
        </w:trPr>
        <w:tc>
          <w:tcPr>
            <w:tcW w:w="5240" w:type="dxa"/>
            <w:vAlign w:val="bottom"/>
            <w:gridSpan w:val="2"/>
          </w:tcPr>
          <w:p>
            <w:pPr>
              <w:ind w:left="20"/>
              <w:spacing w:after="0"/>
              <w:rPr>
                <w:sz w:val="20"/>
                <w:szCs w:val="20"/>
                <w:color w:val="auto"/>
              </w:rPr>
            </w:pPr>
            <w:r>
              <w:rPr>
                <w:rFonts w:ascii="Arial" w:cs="Arial" w:eastAsia="Arial" w:hAnsi="Arial"/>
                <w:sz w:val="16"/>
                <w:szCs w:val="16"/>
                <w:color w:val="auto"/>
                <w:w w:val="97"/>
              </w:rPr>
              <w:t>—That may be issued pursuant to the exercise of outstanding stock options</w:t>
            </w: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under the Registrant's 2021 Equity Incentive Plan</w:t>
            </w:r>
          </w:p>
        </w:tc>
        <w:tc>
          <w:tcPr>
            <w:tcW w:w="1140" w:type="dxa"/>
            <w:vAlign w:val="bottom"/>
          </w:tcPr>
          <w:p>
            <w:pPr>
              <w:jc w:val="right"/>
              <w:spacing w:after="0"/>
              <w:rPr>
                <w:sz w:val="20"/>
                <w:szCs w:val="20"/>
                <w:color w:val="auto"/>
              </w:rPr>
            </w:pPr>
            <w:r>
              <w:rPr>
                <w:rFonts w:ascii="Arial" w:cs="Arial" w:eastAsia="Arial" w:hAnsi="Arial"/>
                <w:sz w:val="16"/>
                <w:szCs w:val="16"/>
                <w:color w:val="auto"/>
              </w:rPr>
              <w:t>370,961</w:t>
            </w:r>
          </w:p>
        </w:tc>
        <w:tc>
          <w:tcPr>
            <w:tcW w:w="360" w:type="dxa"/>
            <w:vAlign w:val="bottom"/>
          </w:tcPr>
          <w:p>
            <w:pPr>
              <w:jc w:val="right"/>
              <w:ind w:right="167"/>
              <w:spacing w:after="0"/>
              <w:rPr>
                <w:sz w:val="20"/>
                <w:szCs w:val="20"/>
                <w:color w:val="auto"/>
              </w:rPr>
            </w:pPr>
            <w:r>
              <w:rPr>
                <w:rFonts w:ascii="Arial" w:cs="Arial" w:eastAsia="Arial" w:hAnsi="Arial"/>
                <w:sz w:val="11"/>
                <w:szCs w:val="11"/>
                <w:color w:val="auto"/>
                <w:w w:val="88"/>
              </w:rPr>
              <w:t>(2)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43"/>
              <w:spacing w:after="0"/>
              <w:rPr>
                <w:sz w:val="20"/>
                <w:szCs w:val="20"/>
                <w:color w:val="auto"/>
              </w:rPr>
            </w:pPr>
            <w:r>
              <w:rPr>
                <w:rFonts w:ascii="Arial" w:cs="Arial" w:eastAsia="Arial" w:hAnsi="Arial"/>
                <w:sz w:val="16"/>
                <w:szCs w:val="16"/>
                <w:color w:val="auto"/>
              </w:rPr>
              <w:t xml:space="preserve">10.23 </w:t>
            </w:r>
            <w:r>
              <w:rPr>
                <w:rFonts w:ascii="Arial" w:cs="Arial" w:eastAsia="Arial" w:hAnsi="Arial"/>
                <w:sz w:val="10"/>
                <w:szCs w:val="10"/>
                <w:color w:val="auto"/>
              </w:rPr>
              <w:t>(5)</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3,794,932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415</w:t>
            </w:r>
          </w:p>
        </w:tc>
      </w:tr>
      <w:tr>
        <w:trPr>
          <w:trHeight w:val="216"/>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7"/>
              </w:rPr>
              <w:t>—That may be issued pursuant to the exercise of outstanding stock options</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6"/>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under the the Registrant's 2017 Equity Incentive Plan</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3,680,026</w:t>
            </w:r>
          </w:p>
        </w:tc>
        <w:tc>
          <w:tcPr>
            <w:tcW w:w="360" w:type="dxa"/>
            <w:vAlign w:val="bottom"/>
            <w:shd w:val="clear" w:color="auto" w:fill="CCEEFF"/>
          </w:tcPr>
          <w:p>
            <w:pPr>
              <w:jc w:val="right"/>
              <w:ind w:right="167"/>
              <w:spacing w:after="0"/>
              <w:rPr>
                <w:sz w:val="20"/>
                <w:szCs w:val="20"/>
                <w:color w:val="auto"/>
              </w:rPr>
            </w:pPr>
            <w:r>
              <w:rPr>
                <w:rFonts w:ascii="Arial" w:cs="Arial" w:eastAsia="Arial" w:hAnsi="Arial"/>
                <w:sz w:val="11"/>
                <w:szCs w:val="11"/>
                <w:color w:val="auto"/>
                <w:w w:val="88"/>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 xml:space="preserve">4.65 </w:t>
            </w:r>
            <w:r>
              <w:rPr>
                <w:rFonts w:ascii="Arial" w:cs="Arial" w:eastAsia="Arial" w:hAnsi="Arial"/>
                <w:sz w:val="10"/>
                <w:szCs w:val="10"/>
                <w:color w:val="auto"/>
              </w:rPr>
              <w:t>(6)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17,112,121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w:t>
            </w:r>
          </w:p>
        </w:tc>
      </w:tr>
      <w:tr>
        <w:trPr>
          <w:trHeight w:val="206"/>
        </w:trPr>
        <w:tc>
          <w:tcPr>
            <w:tcW w:w="5240" w:type="dxa"/>
            <w:vAlign w:val="bottom"/>
            <w:gridSpan w:val="2"/>
          </w:tcPr>
          <w:p>
            <w:pPr>
              <w:ind w:left="20"/>
              <w:spacing w:after="0"/>
              <w:rPr>
                <w:sz w:val="20"/>
                <w:szCs w:val="20"/>
                <w:color w:val="auto"/>
              </w:rPr>
            </w:pPr>
            <w:r>
              <w:rPr>
                <w:rFonts w:ascii="Arial" w:cs="Arial" w:eastAsia="Arial" w:hAnsi="Arial"/>
                <w:sz w:val="16"/>
                <w:szCs w:val="16"/>
                <w:color w:val="auto"/>
                <w:w w:val="93"/>
              </w:rPr>
              <w:t>—Shares issued pursuant to stock options granted under the Registrant's 2017</w:t>
            </w: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Equity Incentive Plan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56,537</w:t>
            </w:r>
          </w:p>
        </w:tc>
        <w:tc>
          <w:tcPr>
            <w:tcW w:w="360" w:type="dxa"/>
            <w:vAlign w:val="bottom"/>
            <w:tcBorders>
              <w:bottom w:val="single" w:sz="8" w:color="auto"/>
            </w:tcBorders>
          </w:tcPr>
          <w:p>
            <w:pPr>
              <w:jc w:val="right"/>
              <w:ind w:right="167"/>
              <w:spacing w:after="0"/>
              <w:rPr>
                <w:sz w:val="20"/>
                <w:szCs w:val="20"/>
                <w:color w:val="auto"/>
              </w:rPr>
            </w:pPr>
            <w:r>
              <w:rPr>
                <w:rFonts w:ascii="Arial" w:cs="Arial" w:eastAsia="Arial" w:hAnsi="Arial"/>
                <w:sz w:val="11"/>
                <w:szCs w:val="11"/>
                <w:color w:val="auto"/>
                <w:w w:val="88"/>
              </w:rPr>
              <w:t>(4)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 xml:space="preserve">7.53 </w:t>
            </w:r>
            <w:r>
              <w:rPr>
                <w:rFonts w:ascii="Arial" w:cs="Arial" w:eastAsia="Arial" w:hAnsi="Arial"/>
                <w:sz w:val="10"/>
                <w:szCs w:val="10"/>
                <w:color w:val="auto"/>
              </w:rPr>
              <w:t>(7)</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425,724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6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4,107,524</w:t>
            </w: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21,332,777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__________</w:t>
      </w:r>
    </w:p>
    <w:p>
      <w:pPr>
        <w:spacing w:after="0" w:line="66" w:lineRule="exact"/>
        <w:rPr>
          <w:sz w:val="20"/>
          <w:szCs w:val="20"/>
          <w:color w:val="auto"/>
        </w:rPr>
      </w:pPr>
    </w:p>
    <w:p>
      <w:pPr>
        <w:ind w:left="460" w:right="100" w:hanging="434"/>
        <w:spacing w:after="0" w:line="199" w:lineRule="auto"/>
        <w:tabs>
          <w:tab w:leader="none" w:pos="460" w:val="left"/>
        </w:tabs>
        <w:numPr>
          <w:ilvl w:val="0"/>
          <w:numId w:val="1"/>
        </w:numPr>
        <w:rPr>
          <w:rFonts w:ascii="Arial" w:cs="Arial" w:eastAsia="Arial" w:hAnsi="Arial"/>
          <w:sz w:val="28"/>
          <w:szCs w:val="28"/>
          <w:color w:val="auto"/>
          <w:vertAlign w:val="superscript"/>
        </w:rPr>
      </w:pPr>
      <w:r>
        <w:rPr>
          <w:rFonts w:ascii="Arial" w:cs="Arial" w:eastAsia="Arial" w:hAnsi="Arial"/>
          <w:sz w:val="14"/>
          <w:szCs w:val="14"/>
          <w:color w:val="auto"/>
        </w:rPr>
        <w:t>Pursuant to Rule 416(a) promulgated under the Securities Act of 1933, as amended (the “Securities Act”), this registration statement ("Registration Statement") shall also cover any additional shares of the Registrant’s Common Stock that become issuable under the Registrant’s 2017 Equity Incentive Plan (the “2017 Plan”) or the 2021 Equity Incentive Plan (the “2021 Plan”) by reason of any stock dividend, stock split, recapitalization or other similar transaction effected without receipt of consideration or conversion of the Registrant’s Common Stock that increases the number of outstanding shares of Common Stock.</w:t>
      </w:r>
    </w:p>
    <w:p>
      <w:pPr>
        <w:spacing w:after="0" w:line="34" w:lineRule="exact"/>
        <w:rPr>
          <w:rFonts w:ascii="Arial" w:cs="Arial" w:eastAsia="Arial" w:hAnsi="Arial"/>
          <w:sz w:val="28"/>
          <w:szCs w:val="28"/>
          <w:color w:val="auto"/>
          <w:vertAlign w:val="superscript"/>
        </w:rPr>
      </w:pPr>
    </w:p>
    <w:p>
      <w:pPr>
        <w:ind w:left="460" w:right="360" w:hanging="434"/>
        <w:spacing w:after="0" w:line="189" w:lineRule="auto"/>
        <w:tabs>
          <w:tab w:leader="none" w:pos="460" w:val="left"/>
        </w:tabs>
        <w:numPr>
          <w:ilvl w:val="0"/>
          <w:numId w:val="1"/>
        </w:numPr>
        <w:rPr>
          <w:rFonts w:ascii="Arial" w:cs="Arial" w:eastAsia="Arial" w:hAnsi="Arial"/>
          <w:sz w:val="25"/>
          <w:szCs w:val="25"/>
          <w:color w:val="auto"/>
          <w:vertAlign w:val="superscript"/>
        </w:rPr>
      </w:pPr>
      <w:r>
        <w:rPr>
          <w:rFonts w:ascii="Arial" w:cs="Arial" w:eastAsia="Arial" w:hAnsi="Arial"/>
          <w:sz w:val="13"/>
          <w:szCs w:val="13"/>
          <w:color w:val="auto"/>
        </w:rPr>
        <w:t>Represents shares of Common Stock that may be issued upon the exercise of outstanding stock options granted to certain current and former employees, consultants, directors and/or advisors of the Registrant or subsidiary thereof under the 2021 Plan.</w:t>
      </w:r>
    </w:p>
    <w:p>
      <w:pPr>
        <w:spacing w:after="0" w:line="33" w:lineRule="exact"/>
        <w:rPr>
          <w:rFonts w:ascii="Arial" w:cs="Arial" w:eastAsia="Arial" w:hAnsi="Arial"/>
          <w:sz w:val="25"/>
          <w:szCs w:val="25"/>
          <w:color w:val="auto"/>
          <w:vertAlign w:val="superscript"/>
        </w:rPr>
      </w:pPr>
    </w:p>
    <w:p>
      <w:pPr>
        <w:ind w:left="460" w:right="20" w:hanging="434"/>
        <w:spacing w:after="0" w:line="210" w:lineRule="auto"/>
        <w:tabs>
          <w:tab w:leader="none" w:pos="460" w:val="left"/>
        </w:tabs>
        <w:numPr>
          <w:ilvl w:val="0"/>
          <w:numId w:val="1"/>
        </w:numPr>
        <w:rPr>
          <w:rFonts w:ascii="Arial" w:cs="Arial" w:eastAsia="Arial" w:hAnsi="Arial"/>
          <w:sz w:val="25"/>
          <w:szCs w:val="25"/>
          <w:color w:val="auto"/>
          <w:vertAlign w:val="superscript"/>
        </w:rPr>
      </w:pPr>
      <w:r>
        <w:rPr>
          <w:rFonts w:ascii="Arial" w:cs="Arial" w:eastAsia="Arial" w:hAnsi="Arial"/>
          <w:sz w:val="13"/>
          <w:szCs w:val="13"/>
          <w:color w:val="auto"/>
        </w:rPr>
        <w:t>Represents shares of Common Stock that may be issued upon the exercise of outstanding stock options granted to certain current and former employees, consultants, directors and/or advisors of the Registrant or subsidiary thereof, under the 2017 Plan that were assumed by the Registrant in the merger between the Registrant and Nautilus Subsidiary, Inc. (f/k/a Nautilus Biotechnology, Inc.). To the extent that such outstanding assumed awards granted under the 2017 Plan are cancelled, expire or otherwise terminate without having been exercised in full, are tendered to or withheld by the Registrant for payment of an exercise price or for tax withholding obligations, or are forfeited to or repurchased by the Registrant due to failure to vest, those shares will become available for issuance under the 2021 Plan, up to a maximum of 7,500,000 shares of Common Stock.</w:t>
      </w:r>
    </w:p>
    <w:p>
      <w:pPr>
        <w:spacing w:after="0" w:line="1" w:lineRule="exact"/>
        <w:rPr>
          <w:rFonts w:ascii="Arial" w:cs="Arial" w:eastAsia="Arial" w:hAnsi="Arial"/>
          <w:sz w:val="25"/>
          <w:szCs w:val="25"/>
          <w:color w:val="auto"/>
          <w:vertAlign w:val="superscript"/>
        </w:rPr>
      </w:pPr>
    </w:p>
    <w:p>
      <w:pPr>
        <w:ind w:left="460" w:hanging="434"/>
        <w:spacing w:after="0" w:line="183" w:lineRule="auto"/>
        <w:tabs>
          <w:tab w:leader="none" w:pos="460" w:val="left"/>
        </w:tabs>
        <w:numPr>
          <w:ilvl w:val="0"/>
          <w:numId w:val="1"/>
        </w:numPr>
        <w:rPr>
          <w:rFonts w:ascii="Arial" w:cs="Arial" w:eastAsia="Arial" w:hAnsi="Arial"/>
          <w:sz w:val="23"/>
          <w:szCs w:val="23"/>
          <w:color w:val="auto"/>
          <w:vertAlign w:val="superscript"/>
        </w:rPr>
      </w:pPr>
      <w:r>
        <w:rPr>
          <w:rFonts w:ascii="Arial" w:cs="Arial" w:eastAsia="Arial" w:hAnsi="Arial"/>
          <w:sz w:val="12"/>
          <w:szCs w:val="12"/>
          <w:color w:val="auto"/>
        </w:rPr>
        <w:t>Represents shares of Common Stock issued to an employee and former employee prior to the filing of this Registration Statement upon the exercise of stock options under the 2017 Plan.</w:t>
      </w:r>
    </w:p>
    <w:p>
      <w:pPr>
        <w:spacing w:after="0" w:line="46" w:lineRule="exact"/>
        <w:rPr>
          <w:rFonts w:ascii="Arial" w:cs="Arial" w:eastAsia="Arial" w:hAnsi="Arial"/>
          <w:sz w:val="23"/>
          <w:szCs w:val="23"/>
          <w:color w:val="auto"/>
          <w:vertAlign w:val="superscript"/>
        </w:rPr>
      </w:pPr>
    </w:p>
    <w:p>
      <w:pPr>
        <w:ind w:left="460" w:right="20" w:hanging="434"/>
        <w:spacing w:after="0" w:line="182" w:lineRule="auto"/>
        <w:tabs>
          <w:tab w:leader="none" w:pos="460" w:val="left"/>
        </w:tabs>
        <w:numPr>
          <w:ilvl w:val="0"/>
          <w:numId w:val="1"/>
        </w:numPr>
        <w:rPr>
          <w:rFonts w:ascii="Arial" w:cs="Arial" w:eastAsia="Arial" w:hAnsi="Arial"/>
          <w:sz w:val="25"/>
          <w:szCs w:val="25"/>
          <w:color w:val="auto"/>
          <w:vertAlign w:val="superscript"/>
        </w:rPr>
      </w:pPr>
      <w:r>
        <w:rPr>
          <w:rFonts w:ascii="Arial" w:cs="Arial" w:eastAsia="Arial" w:hAnsi="Arial"/>
          <w:sz w:val="13"/>
          <w:szCs w:val="13"/>
          <w:color w:val="auto"/>
        </w:rPr>
        <w:t>Pursuant to Rule 457(c) and 457(h) under the Securities Act, and solely for the purpose of calculating the registration fee, the proposed maximum offering price per share is $10.23, which is the weighted-average exercise price of the shares issuable upon the exercise of outstanding stock options under the 2021 Plan being registered hereunder.</w:t>
      </w:r>
    </w:p>
    <w:p>
      <w:pPr>
        <w:spacing w:after="0" w:line="34" w:lineRule="exact"/>
        <w:rPr>
          <w:rFonts w:ascii="Arial" w:cs="Arial" w:eastAsia="Arial" w:hAnsi="Arial"/>
          <w:sz w:val="25"/>
          <w:szCs w:val="25"/>
          <w:color w:val="auto"/>
          <w:vertAlign w:val="superscript"/>
        </w:rPr>
      </w:pPr>
    </w:p>
    <w:p>
      <w:pPr>
        <w:ind w:left="460" w:right="100" w:hanging="434"/>
        <w:spacing w:after="0" w:line="184" w:lineRule="auto"/>
        <w:tabs>
          <w:tab w:leader="none" w:pos="460" w:val="left"/>
        </w:tabs>
        <w:numPr>
          <w:ilvl w:val="0"/>
          <w:numId w:val="1"/>
        </w:numPr>
        <w:rPr>
          <w:rFonts w:ascii="Arial" w:cs="Arial" w:eastAsia="Arial" w:hAnsi="Arial"/>
          <w:sz w:val="26"/>
          <w:szCs w:val="26"/>
          <w:color w:val="auto"/>
          <w:vertAlign w:val="superscript"/>
        </w:rPr>
      </w:pPr>
      <w:r>
        <w:rPr>
          <w:rFonts w:ascii="Arial" w:cs="Arial" w:eastAsia="Arial" w:hAnsi="Arial"/>
          <w:sz w:val="13"/>
          <w:szCs w:val="13"/>
          <w:color w:val="auto"/>
        </w:rPr>
        <w:t>Pursuant to Rule 457(c) and 457(h) under the Securities Act, and solely for the purpose of calculating the registration fee, the proposed maximum offering price per share is $4.65, which is the weighted-average exercise price of the shares issuable upon the exercise of outstanding stock options under the 2017 Plan being registered hereunder.</w:t>
      </w:r>
    </w:p>
    <w:p>
      <w:pPr>
        <w:spacing w:after="0" w:line="34" w:lineRule="exact"/>
        <w:rPr>
          <w:rFonts w:ascii="Arial" w:cs="Arial" w:eastAsia="Arial" w:hAnsi="Arial"/>
          <w:sz w:val="26"/>
          <w:szCs w:val="26"/>
          <w:color w:val="auto"/>
          <w:vertAlign w:val="superscript"/>
        </w:rPr>
      </w:pPr>
    </w:p>
    <w:p>
      <w:pPr>
        <w:ind w:left="460" w:right="20" w:hanging="434"/>
        <w:spacing w:after="0" w:line="188" w:lineRule="auto"/>
        <w:tabs>
          <w:tab w:leader="none" w:pos="460" w:val="left"/>
        </w:tabs>
        <w:numPr>
          <w:ilvl w:val="0"/>
          <w:numId w:val="1"/>
        </w:numPr>
        <w:rPr>
          <w:rFonts w:ascii="Arial" w:cs="Arial" w:eastAsia="Arial" w:hAnsi="Arial"/>
          <w:sz w:val="28"/>
          <w:szCs w:val="28"/>
          <w:color w:val="auto"/>
          <w:vertAlign w:val="superscript"/>
        </w:rPr>
      </w:pPr>
      <w:r>
        <w:rPr>
          <w:rFonts w:ascii="Arial" w:cs="Arial" w:eastAsia="Arial" w:hAnsi="Arial"/>
          <w:sz w:val="14"/>
          <w:szCs w:val="14"/>
          <w:color w:val="auto"/>
        </w:rPr>
        <w:t>Pursuant to Rule 457(c) and 457(h) under the Securities Act, and solely for the purpose of calculating the registration fee, the proposed maximum offering price per share is $7.53, which is the average of the high and low prices of shares of Common Stock on The Nasdaq Global Select Market (“Nasdaq”) on August 4, 2021 (such date being within five business days of the date that this Registration Statement was filed with the U.S. Securities and Exchange Commission (the “SEC”)).</w:t>
      </w:r>
    </w:p>
    <w:p>
      <w:pPr>
        <w:sectPr>
          <w:pgSz w:w="11900" w:h="16838" w:orient="portrait"/>
          <w:cols w:equalWidth="0" w:num="1">
            <w:col w:w="11240"/>
          </w:cols>
          <w:pgMar w:left="320" w:top="1440" w:right="339" w:bottom="1440" w:gutter="0" w:footer="0" w:header="0"/>
        </w:sectPr>
      </w:pPr>
    </w:p>
    <w:bookmarkStart w:id="2" w:name="page3"/>
    <w:bookmarkEnd w:id="2"/>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This Registration Statement on Form S-8 (this “Registration Statement”) includes a reoffer prospectus (the “Reoffer Prospectus”) prepared in accordance with General Instruction C to Form S-8 and in accordance with the requirements of Part I of Form S-3. This Reoffer Prospectus may be used for reoffers and resales of shares of Common Stock on a continuous or delayed basis that may be deemed to be “restricted securities” or “control securities” under the Securities Act of 1933, as amended (the “Securities Act”), and the rules and regulations promulgated thereunder, that have been acquired by or are issuable to certain stockholders that are current and former employees, consultants, directors and advisors of the Registrant identified in the Reoffer Prospectus (the “selling securityholders”). The number of shares of Common Stock included in the Reoffer Prospectus represents shares of Common Stock acquired by or issuable to the selling securityholders pursuant to equity awards, including stock options granted under the 2021 Plan and 2017 Plan and does not necessarily represent an intention to sell any or all of such shares of Common Stock. As specified in General Instruction C of Form S-8, the amount of securities to be reoffered or resold by means of the Reoffer Prospectus by each selling securityholder, and any other person with whom he or she is acting in concert for the purpose of selling the Registrant’s securities, may not exceed, during any three-month period, the amount specified in Rule 144(e) under the Securities Act.</w:t>
      </w:r>
    </w:p>
    <w:p>
      <w:pPr>
        <w:sectPr>
          <w:pgSz w:w="11900" w:h="16838" w:orient="portrait"/>
          <w:cols w:equalWidth="0" w:num="1">
            <w:col w:w="11220"/>
          </w:cols>
          <w:pgMar w:left="320" w:top="1440" w:right="359" w:bottom="1440" w:gutter="0" w:footer="0" w:header="0"/>
        </w:sectPr>
      </w:pPr>
    </w:p>
    <w:bookmarkStart w:id="3" w:name="page4"/>
    <w:bookmarkEnd w:id="3"/>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REOFFER PROSPECTUS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4,107,524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49530</wp:posOffset>
            </wp:positionV>
            <wp:extent cx="2143125" cy="8489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324"/>
        <w:spacing w:after="0" w:line="325" w:lineRule="auto"/>
        <w:rPr>
          <w:sz w:val="20"/>
          <w:szCs w:val="20"/>
          <w:color w:val="auto"/>
        </w:rPr>
      </w:pPr>
      <w:r>
        <w:rPr>
          <w:rFonts w:ascii="Arial" w:cs="Arial" w:eastAsia="Arial" w:hAnsi="Arial"/>
          <w:sz w:val="16"/>
          <w:szCs w:val="16"/>
          <w:color w:val="auto"/>
        </w:rPr>
        <w:t>This reoffer prospectus (“Reoffer Prospectus”) relates to the offer and sale from time to time by the selling stockholders named in this Reoffer Prospectus (the “selling securityholders”), or their permitted transferees, of up to 4,107,524 shares (the “Shares”) of common stock, par value $0.0001 per share (“Common Stock”), of Nautilus Biotechnology, Inc. This Reoffer Prospectus covers the Shares acquired by or issuable to the selling securityholders pursuant to awards granted or assumed by Nautilus Biotechnology, Inc. to the selling securityholders under the Nautilus Biotechnology, Inc. 2021 Equity Incentive Plan (the “2021 Plan”) or the Nautilus Subsidiary, Inc. 2017 Equity Incentive Plan (the “2017 Plan”), including stock options. We are not offering any of the Shares and will not receive any proceeds from the sale of the Shares by the selling securityholders made hereunder. The selling securityholders are certain of our current and former employees, consultants, directors and advisors, certain of whom may be deemed to be an “affiliate” of our company (as defined in Rule 405 under the Securities Act of 1933, as amended (the “Securities Act”)).</w:t>
      </w:r>
    </w:p>
    <w:p>
      <w:pPr>
        <w:spacing w:after="0" w:line="113" w:lineRule="exact"/>
        <w:rPr>
          <w:sz w:val="20"/>
          <w:szCs w:val="20"/>
          <w:color w:val="auto"/>
        </w:rPr>
      </w:pPr>
    </w:p>
    <w:p>
      <w:pPr>
        <w:ind w:right="60" w:firstLine="324"/>
        <w:spacing w:after="0" w:line="322" w:lineRule="auto"/>
        <w:rPr>
          <w:sz w:val="20"/>
          <w:szCs w:val="20"/>
          <w:color w:val="auto"/>
        </w:rPr>
      </w:pPr>
      <w:r>
        <w:rPr>
          <w:rFonts w:ascii="Arial" w:cs="Arial" w:eastAsia="Arial" w:hAnsi="Arial"/>
          <w:sz w:val="16"/>
          <w:szCs w:val="16"/>
          <w:color w:val="auto"/>
        </w:rPr>
        <w:t>Subject to the satisfaction of any conditions to vesting of the shares of Common Stock offered hereby pursuant to the terms of the relevant award agreements, and subject to the expiration of any lock-up agreements, the selling securityholders may sell the Shares described in this Reoffer Prospectus in a number of different ways and at varying prices, including sales in the open market, sales in negotiated transactions, and sales by a combination of these methods. The selling securityholders may sell any, all, or none of the Shares and we do not know when or in what amount the selling securityholders may sell their Shares hereunder following the effective date of this registration statement. The price at which any of the Shares may be sold, and the commissions, if any, paid in connection with any such sale, are unknown and may vary from transaction to transaction. The Shares may be sold at the market price of the Common Stock at the time of a sale, at prices relating to the market price over a period of time, or at prices negotiated with the buyers of shares. The Shares may be sold through underwriters or dealers which the selling securityholders may select. If underwriters or dealers are used to sell the Shares, we will name them and describe their compensation in a prospectus supplement. We provide more information about how the selling securityholders may sell their Shares in the section titled “</w:t>
      </w:r>
      <w:r>
        <w:rPr>
          <w:rFonts w:ascii="Arial" w:cs="Arial" w:eastAsia="Arial" w:hAnsi="Arial"/>
          <w:sz w:val="16"/>
          <w:szCs w:val="16"/>
          <w:i w:val="1"/>
          <w:iCs w:val="1"/>
          <w:color w:val="auto"/>
        </w:rPr>
        <w:t>Plan of Distribution</w:t>
      </w:r>
      <w:r>
        <w:rPr>
          <w:rFonts w:ascii="Arial" w:cs="Arial" w:eastAsia="Arial" w:hAnsi="Arial"/>
          <w:sz w:val="16"/>
          <w:szCs w:val="16"/>
          <w:color w:val="auto"/>
        </w:rPr>
        <w:t>.” The selling securityholders will bear all sales commissions and similar expenses. Any other expenses incurred by us in connection with the registration and offering that are not borne by the selling securityholders will be borne by us. We are registering the offer and sale of the Shares to satisfy certain registration rights we have granted.</w:t>
      </w:r>
    </w:p>
    <w:p>
      <w:pPr>
        <w:spacing w:after="0" w:line="116" w:lineRule="exact"/>
        <w:rPr>
          <w:sz w:val="20"/>
          <w:szCs w:val="20"/>
          <w:color w:val="auto"/>
        </w:rPr>
      </w:pPr>
    </w:p>
    <w:p>
      <w:pPr>
        <w:ind w:right="340" w:firstLine="324"/>
        <w:spacing w:after="0" w:line="308" w:lineRule="auto"/>
        <w:rPr>
          <w:sz w:val="20"/>
          <w:szCs w:val="20"/>
          <w:color w:val="auto"/>
        </w:rPr>
      </w:pPr>
      <w:r>
        <w:rPr>
          <w:rFonts w:ascii="Arial" w:cs="Arial" w:eastAsia="Arial" w:hAnsi="Arial"/>
          <w:sz w:val="18"/>
          <w:szCs w:val="18"/>
          <w:color w:val="auto"/>
        </w:rPr>
        <w:t>Our Common Stock is listed on The Nasdaq Global Select Market (“Nasdaq”) under the symbol “NAUT.” On August 9, 2021, the last quoted sale price for our Common Stock as reported on Nasdaq was $7.98.</w:t>
      </w:r>
    </w:p>
    <w:p>
      <w:pPr>
        <w:spacing w:after="0" w:line="117" w:lineRule="exact"/>
        <w:rPr>
          <w:sz w:val="20"/>
          <w:szCs w:val="20"/>
          <w:color w:val="auto"/>
        </w:rPr>
      </w:pPr>
    </w:p>
    <w:p>
      <w:pPr>
        <w:ind w:right="140" w:firstLine="324"/>
        <w:spacing w:after="0" w:line="295" w:lineRule="auto"/>
        <w:rPr>
          <w:sz w:val="20"/>
          <w:szCs w:val="20"/>
          <w:color w:val="auto"/>
        </w:rPr>
      </w:pPr>
      <w:r>
        <w:rPr>
          <w:rFonts w:ascii="Arial" w:cs="Arial" w:eastAsia="Arial" w:hAnsi="Arial"/>
          <w:sz w:val="18"/>
          <w:szCs w:val="18"/>
          <w:color w:val="auto"/>
        </w:rPr>
        <w:t>The amount of the Shares to be offered or resold under this Reoffer Prospectus by each selling securityholder, or other person with whom he or she is acting in concert for the purpose of selling our securities, may not exceed, during any three-month period, the amount specified in Rule 144(e) under the Securities Act.</w:t>
      </w:r>
    </w:p>
    <w:p>
      <w:pPr>
        <w:sectPr>
          <w:pgSz w:w="11900" w:h="16838" w:orient="portrait"/>
          <w:cols w:equalWidth="0" w:num="1">
            <w:col w:w="11220"/>
          </w:cols>
          <w:pgMar w:left="320" w:top="1440" w:right="359" w:bottom="1440" w:gutter="0" w:footer="0" w:header="0"/>
        </w:sectPr>
      </w:pPr>
    </w:p>
    <w:bookmarkStart w:id="4" w:name="page5"/>
    <w:bookmarkEnd w:id="4"/>
    <w:p>
      <w:pPr>
        <w:ind w:firstLine="324"/>
        <w:spacing w:after="0" w:line="297" w:lineRule="auto"/>
        <w:rPr>
          <w:sz w:val="20"/>
          <w:szCs w:val="20"/>
          <w:color w:val="auto"/>
        </w:rPr>
      </w:pPr>
      <w:r>
        <w:rPr>
          <w:rFonts w:ascii="Arial" w:cs="Arial" w:eastAsia="Arial" w:hAnsi="Arial"/>
          <w:sz w:val="18"/>
          <w:szCs w:val="18"/>
          <w:b w:val="1"/>
          <w:bCs w:val="1"/>
          <w:color w:val="auto"/>
        </w:rPr>
        <w:t>We are an “emerging growth company” and a “smaller reporting company” as defined under the U.S. federal securities laws, and, as such, we have elected to comply with certain reduced public company reporting requirements for this Reoffer Prospectus and may elect to do so in future filings.</w:t>
      </w:r>
    </w:p>
    <w:p>
      <w:pPr>
        <w:spacing w:after="0" w:line="127" w:lineRule="exact"/>
        <w:rPr>
          <w:sz w:val="20"/>
          <w:szCs w:val="20"/>
          <w:color w:val="auto"/>
        </w:rPr>
      </w:pPr>
    </w:p>
    <w:p>
      <w:pPr>
        <w:ind w:right="280" w:firstLine="324"/>
        <w:spacing w:after="0" w:line="290" w:lineRule="auto"/>
        <w:rPr>
          <w:sz w:val="20"/>
          <w:szCs w:val="20"/>
          <w:color w:val="auto"/>
        </w:rPr>
      </w:pPr>
      <w:r>
        <w:rPr>
          <w:rFonts w:ascii="Arial" w:cs="Arial" w:eastAsia="Arial" w:hAnsi="Arial"/>
          <w:sz w:val="18"/>
          <w:szCs w:val="18"/>
          <w:color w:val="auto"/>
        </w:rPr>
        <w:t>The SEC may take the view that, under certain circumstances, the selling securityholders and any broker-dealers or agents that participate with the selling securityholders in the distribution of the Shares may be deemed to be “underwriters” within the meaning of the Securities Act. Commissions, discounts or concessions received by any such broker-dealer or agent may be deemed to be underwriting commissions under the Securities Act. See the section 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w:t>
      </w:r>
    </w:p>
    <w:p>
      <w:pPr>
        <w:spacing w:after="0" w:line="130" w:lineRule="exact"/>
        <w:rPr>
          <w:sz w:val="20"/>
          <w:szCs w:val="20"/>
          <w:color w:val="auto"/>
        </w:rPr>
      </w:pPr>
    </w:p>
    <w:p>
      <w:pPr>
        <w:ind w:right="100" w:firstLine="324"/>
        <w:spacing w:after="0" w:line="346"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securities involves a high degree of risk. Before buying any securities, you should carefully read the discussion of the risks of investing in our securities in the section titled “</w:t>
      </w:r>
      <w:hyperlink w:anchor="page9">
        <w:r>
          <w:rPr>
            <w:rFonts w:ascii="Arial" w:cs="Arial" w:eastAsia="Arial" w:hAnsi="Arial"/>
            <w:sz w:val="17"/>
            <w:szCs w:val="17"/>
            <w:b w:val="1"/>
            <w:bCs w:val="1"/>
            <w:i w:val="1"/>
            <w:iCs w:val="1"/>
            <w:u w:val="single" w:color="auto"/>
            <w:color w:val="0000FF"/>
          </w:rPr>
          <w:t>Risk Factors</w:t>
        </w:r>
      </w:hyperlink>
      <w:r>
        <w:rPr>
          <w:rFonts w:ascii="Arial" w:cs="Arial" w:eastAsia="Arial" w:hAnsi="Arial"/>
          <w:sz w:val="17"/>
          <w:szCs w:val="17"/>
          <w:b w:val="1"/>
          <w:bCs w:val="1"/>
          <w:color w:val="auto"/>
        </w:rPr>
        <w:t>” beginning on page 3 of this Reoffer Prospectus.</w:t>
      </w:r>
    </w:p>
    <w:p>
      <w:pPr>
        <w:spacing w:after="0" w:line="84" w:lineRule="exact"/>
        <w:rPr>
          <w:sz w:val="20"/>
          <w:szCs w:val="20"/>
          <w:color w:val="auto"/>
        </w:rPr>
      </w:pPr>
    </w:p>
    <w:p>
      <w:pPr>
        <w:ind w:right="440" w:firstLine="324"/>
        <w:spacing w:after="0" w:line="346"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Reoffer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73660</wp:posOffset>
            </wp:positionV>
            <wp:extent cx="1551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1940" cy="8255"/>
                    </a:xfrm>
                    <a:prstGeom prst="rect">
                      <a:avLst/>
                    </a:prstGeom>
                    <a:noFill/>
                  </pic:spPr>
                </pic:pic>
              </a:graphicData>
            </a:graphic>
          </wp:anchor>
        </w:drawing>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date of this Reoffer Prospectus is August 10 , 2021.</w:t>
      </w:r>
    </w:p>
    <w:p>
      <w:pPr>
        <w:sectPr>
          <w:pgSz w:w="11900" w:h="16838" w:orient="portrait"/>
          <w:cols w:equalWidth="0" w:num="1">
            <w:col w:w="11200"/>
          </w:cols>
          <w:pgMar w:left="320" w:top="1431" w:right="379" w:bottom="1440" w:gutter="0" w:footer="0" w:header="0"/>
        </w:sectPr>
      </w:pPr>
    </w:p>
    <w:bookmarkStart w:id="5" w:name="page6"/>
    <w:bookmarkEnd w:id="5"/>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60" w:type="dxa"/>
            <w:vAlign w:val="bottom"/>
            <w:gridSpan w:val="2"/>
          </w:tcPr>
          <w:p>
            <w:pPr>
              <w:jc w:val="right"/>
              <w:ind w:right="4830"/>
              <w:spacing w:after="0"/>
              <w:rPr>
                <w:sz w:val="20"/>
                <w:szCs w:val="20"/>
                <w:color w:val="auto"/>
              </w:rPr>
            </w:pPr>
            <w:r>
              <w:rPr>
                <w:rFonts w:ascii="Arial" w:cs="Arial" w:eastAsia="Arial" w:hAnsi="Arial"/>
                <w:sz w:val="18"/>
                <w:szCs w:val="18"/>
                <w:b w:val="1"/>
                <w:bCs w:val="1"/>
                <w:color w:val="auto"/>
              </w:rPr>
              <w:t>Table of Contents</w:t>
            </w:r>
          </w:p>
        </w:tc>
      </w:tr>
      <w:tr>
        <w:trPr>
          <w:trHeight w:val="337"/>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250"/>
        </w:trPr>
        <w:tc>
          <w:tcPr>
            <w:tcW w:w="224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About This Reoffer Prospectus</w:t>
              </w:r>
            </w:hyperlink>
          </w:p>
        </w:tc>
        <w:tc>
          <w:tcPr>
            <w:tcW w:w="2300" w:type="dxa"/>
            <w:vAlign w:val="bottom"/>
            <w:gridSpan w:val="4"/>
          </w:tcPr>
          <w:p>
            <w:pPr>
              <w:spacing w:after="0"/>
              <w:rPr>
                <w:sz w:val="21"/>
                <w:szCs w:val="21"/>
                <w:color w:val="auto"/>
              </w:rPr>
            </w:pPr>
          </w:p>
        </w:tc>
        <w:tc>
          <w:tcPr>
            <w:tcW w:w="6300" w:type="dxa"/>
            <w:vAlign w:val="bottom"/>
          </w:tcPr>
          <w:p>
            <w:pPr>
              <w:spacing w:after="0"/>
              <w:rPr>
                <w:sz w:val="21"/>
                <w:szCs w:val="21"/>
                <w:color w:val="auto"/>
              </w:rPr>
            </w:pPr>
          </w:p>
        </w:tc>
        <w:tc>
          <w:tcPr>
            <w:tcW w:w="36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ii</w:t>
              </w:r>
            </w:hyperlink>
          </w:p>
        </w:tc>
      </w:tr>
      <w:tr>
        <w:trPr>
          <w:trHeight w:val="250"/>
        </w:trPr>
        <w:tc>
          <w:tcPr>
            <w:tcW w:w="860" w:type="dxa"/>
            <w:vAlign w:val="bottom"/>
            <w:tcBorders>
              <w:bottom w:val="single" w:sz="8" w:color="0000FF"/>
            </w:tcBorders>
            <w:gridSpan w:val="5"/>
          </w:tcPr>
          <w:p>
            <w:pPr>
              <w:spacing w:after="0"/>
              <w:rPr>
                <w:rFonts w:ascii="Arial" w:cs="Arial" w:eastAsia="Arial" w:hAnsi="Arial"/>
                <w:sz w:val="18"/>
                <w:szCs w:val="18"/>
                <w:color w:val="0000FF"/>
                <w:w w:val="87"/>
              </w:rPr>
            </w:pPr>
            <w:hyperlink w:anchor="page7">
              <w:r>
                <w:rPr>
                  <w:rFonts w:ascii="Arial" w:cs="Arial" w:eastAsia="Arial" w:hAnsi="Arial"/>
                  <w:sz w:val="18"/>
                  <w:szCs w:val="18"/>
                  <w:color w:val="0000FF"/>
                  <w:w w:val="87"/>
                </w:rPr>
                <w:t>Trademarks</w:t>
              </w:r>
            </w:hyperlink>
          </w:p>
        </w:tc>
        <w:tc>
          <w:tcPr>
            <w:tcW w:w="3680" w:type="dxa"/>
            <w:vAlign w:val="bottom"/>
            <w:gridSpan w:val="12"/>
          </w:tcPr>
          <w:p>
            <w:pPr>
              <w:spacing w:after="0"/>
              <w:rPr>
                <w:sz w:val="21"/>
                <w:szCs w:val="21"/>
                <w:color w:val="auto"/>
              </w:rPr>
            </w:pPr>
          </w:p>
        </w:tc>
        <w:tc>
          <w:tcPr>
            <w:tcW w:w="6300" w:type="dxa"/>
            <w:vAlign w:val="bottom"/>
          </w:tcPr>
          <w:p>
            <w:pPr>
              <w:spacing w:after="0"/>
              <w:rPr>
                <w:sz w:val="21"/>
                <w:szCs w:val="21"/>
                <w:color w:val="auto"/>
              </w:rPr>
            </w:pPr>
          </w:p>
        </w:tc>
        <w:tc>
          <w:tcPr>
            <w:tcW w:w="360" w:type="dxa"/>
            <w:vAlign w:val="bottom"/>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ii</w:t>
              </w:r>
            </w:hyperlink>
          </w:p>
        </w:tc>
      </w:tr>
      <w:tr>
        <w:trPr>
          <w:trHeight w:val="250"/>
        </w:trPr>
        <w:tc>
          <w:tcPr>
            <w:tcW w:w="154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Prospectus Summary</w:t>
              </w:r>
            </w:hyperlink>
          </w:p>
        </w:tc>
        <w:tc>
          <w:tcPr>
            <w:tcW w:w="3000" w:type="dxa"/>
            <w:vAlign w:val="bottom"/>
            <w:gridSpan w:val="6"/>
          </w:tcPr>
          <w:p>
            <w:pPr>
              <w:spacing w:after="0"/>
              <w:rPr>
                <w:sz w:val="21"/>
                <w:szCs w:val="21"/>
                <w:color w:val="auto"/>
              </w:rPr>
            </w:pPr>
          </w:p>
        </w:tc>
        <w:tc>
          <w:tcPr>
            <w:tcW w:w="6660" w:type="dxa"/>
            <w:vAlign w:val="bottom"/>
            <w:gridSpan w:val="2"/>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1</w:t>
              </w:r>
            </w:hyperlink>
          </w:p>
        </w:tc>
      </w:tr>
      <w:tr>
        <w:trPr>
          <w:trHeight w:val="250"/>
        </w:trPr>
        <w:tc>
          <w:tcPr>
            <w:tcW w:w="92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Risk Factors</w:t>
              </w:r>
            </w:hyperlink>
          </w:p>
        </w:tc>
        <w:tc>
          <w:tcPr>
            <w:tcW w:w="3620" w:type="dxa"/>
            <w:vAlign w:val="bottom"/>
            <w:gridSpan w:val="11"/>
          </w:tcPr>
          <w:p>
            <w:pPr>
              <w:spacing w:after="0"/>
              <w:rPr>
                <w:sz w:val="21"/>
                <w:szCs w:val="21"/>
                <w:color w:val="auto"/>
              </w:rPr>
            </w:pPr>
          </w:p>
        </w:tc>
        <w:tc>
          <w:tcPr>
            <w:tcW w:w="6660" w:type="dxa"/>
            <w:vAlign w:val="bottom"/>
            <w:gridSpan w:val="2"/>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3</w:t>
              </w:r>
            </w:hyperlink>
          </w:p>
        </w:tc>
      </w:tr>
      <w:tr>
        <w:trPr>
          <w:trHeight w:val="250"/>
        </w:trPr>
        <w:tc>
          <w:tcPr>
            <w:tcW w:w="4160" w:type="dxa"/>
            <w:vAlign w:val="bottom"/>
            <w:tcBorders>
              <w:bottom w:val="single" w:sz="8" w:color="0000FF"/>
            </w:tcBorders>
            <w:gridSpan w:val="16"/>
          </w:tcPr>
          <w:p>
            <w:pPr>
              <w:spacing w:after="0"/>
              <w:rPr>
                <w:rFonts w:ascii="Arial" w:cs="Arial" w:eastAsia="Arial" w:hAnsi="Arial"/>
                <w:sz w:val="18"/>
                <w:szCs w:val="18"/>
                <w:color w:val="0000FF"/>
                <w:w w:val="91"/>
              </w:rPr>
            </w:pPr>
            <w:hyperlink w:anchor="page10">
              <w:r>
                <w:rPr>
                  <w:rFonts w:ascii="Arial" w:cs="Arial" w:eastAsia="Arial" w:hAnsi="Arial"/>
                  <w:sz w:val="18"/>
                  <w:szCs w:val="18"/>
                  <w:color w:val="0000FF"/>
                  <w:w w:val="91"/>
                </w:rPr>
                <w:t xml:space="preserve">Cautionary Note Regarding </w:t>
              </w:r>
            </w:hyperlink>
            <w:r>
              <w:rPr>
                <w:rFonts w:ascii="Arial" w:cs="Arial" w:eastAsia="Arial" w:hAnsi="Arial"/>
                <w:sz w:val="18"/>
                <w:szCs w:val="18"/>
                <w:color w:val="0000FF"/>
                <w:w w:val="91"/>
              </w:rPr>
              <w:t>For</w:t>
            </w:r>
            <w:hyperlink w:anchor="page10">
              <w:r>
                <w:rPr>
                  <w:rFonts w:ascii="Arial" w:cs="Arial" w:eastAsia="Arial" w:hAnsi="Arial"/>
                  <w:sz w:val="18"/>
                  <w:szCs w:val="18"/>
                  <w:color w:val="0000FF"/>
                  <w:w w:val="91"/>
                </w:rPr>
                <w:t>ward-Looking Statements</w:t>
              </w:r>
            </w:hyperlink>
          </w:p>
        </w:tc>
        <w:tc>
          <w:tcPr>
            <w:tcW w:w="380" w:type="dxa"/>
            <w:vAlign w:val="bottom"/>
          </w:tcPr>
          <w:p>
            <w:pPr>
              <w:spacing w:after="0"/>
              <w:rPr>
                <w:sz w:val="21"/>
                <w:szCs w:val="21"/>
                <w:color w:val="auto"/>
              </w:rPr>
            </w:pPr>
          </w:p>
        </w:tc>
        <w:tc>
          <w:tcPr>
            <w:tcW w:w="6660" w:type="dxa"/>
            <w:vAlign w:val="bottom"/>
            <w:gridSpan w:val="2"/>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4</w:t>
              </w:r>
            </w:hyperlink>
          </w:p>
        </w:tc>
      </w:tr>
      <w:tr>
        <w:trPr>
          <w:trHeight w:val="250"/>
        </w:trPr>
        <w:tc>
          <w:tcPr>
            <w:tcW w:w="1180" w:type="dxa"/>
            <w:vAlign w:val="bottom"/>
            <w:tcBorders>
              <w:bottom w:val="single" w:sz="8" w:color="0000FF"/>
            </w:tcBorders>
            <w:gridSpan w:val="9"/>
          </w:tcPr>
          <w:p>
            <w:pPr>
              <w:spacing w:after="0"/>
              <w:rPr>
                <w:rFonts w:ascii="Arial" w:cs="Arial" w:eastAsia="Arial" w:hAnsi="Arial"/>
                <w:sz w:val="18"/>
                <w:szCs w:val="18"/>
                <w:color w:val="0000FF"/>
                <w:w w:val="87"/>
              </w:rPr>
            </w:pPr>
            <w:hyperlink w:anchor="page12">
              <w:r>
                <w:rPr>
                  <w:rFonts w:ascii="Arial" w:cs="Arial" w:eastAsia="Arial" w:hAnsi="Arial"/>
                  <w:sz w:val="18"/>
                  <w:szCs w:val="18"/>
                  <w:color w:val="0000FF"/>
                  <w:w w:val="87"/>
                </w:rPr>
                <w:t>Use of Proceeds</w:t>
              </w:r>
            </w:hyperlink>
          </w:p>
        </w:tc>
        <w:tc>
          <w:tcPr>
            <w:tcW w:w="3360" w:type="dxa"/>
            <w:vAlign w:val="bottom"/>
            <w:gridSpan w:val="8"/>
          </w:tcPr>
          <w:p>
            <w:pPr>
              <w:spacing w:after="0"/>
              <w:rPr>
                <w:sz w:val="21"/>
                <w:szCs w:val="21"/>
                <w:color w:val="auto"/>
              </w:rPr>
            </w:pPr>
          </w:p>
        </w:tc>
        <w:tc>
          <w:tcPr>
            <w:tcW w:w="6660" w:type="dxa"/>
            <w:vAlign w:val="bottom"/>
            <w:gridSpan w:val="2"/>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6</w:t>
              </w:r>
            </w:hyperlink>
          </w:p>
        </w:tc>
      </w:tr>
      <w:tr>
        <w:trPr>
          <w:trHeight w:val="250"/>
        </w:trPr>
        <w:tc>
          <w:tcPr>
            <w:tcW w:w="4540" w:type="dxa"/>
            <w:vAlign w:val="bottom"/>
            <w:gridSpan w:val="17"/>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Selling Securityholders</w:t>
              </w:r>
            </w:hyperlink>
          </w:p>
        </w:tc>
        <w:tc>
          <w:tcPr>
            <w:tcW w:w="6660" w:type="dxa"/>
            <w:vAlign w:val="bottom"/>
            <w:gridSpan w:val="2"/>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7</w:t>
              </w:r>
            </w:hyperlink>
          </w:p>
        </w:tc>
      </w:tr>
      <w:tr>
        <w:trPr>
          <w:trHeight w:val="250"/>
        </w:trPr>
        <w:tc>
          <w:tcPr>
            <w:tcW w:w="144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3"/>
              </w:rPr>
            </w:pPr>
            <w:hyperlink w:anchor="page16">
              <w:r>
                <w:rPr>
                  <w:rFonts w:ascii="Arial" w:cs="Arial" w:eastAsia="Arial" w:hAnsi="Arial"/>
                  <w:sz w:val="18"/>
                  <w:szCs w:val="18"/>
                  <w:color w:val="0000FF"/>
                  <w:w w:val="93"/>
                </w:rPr>
                <w:t>Plan of Distribution</w:t>
              </w:r>
            </w:hyperlink>
          </w:p>
        </w:tc>
        <w:tc>
          <w:tcPr>
            <w:tcW w:w="240" w:type="dxa"/>
            <w:vAlign w:val="bottom"/>
            <w:tcBorders>
              <w:top w:val="single" w:sz="8" w:color="0000FF"/>
            </w:tcBorders>
            <w:gridSpan w:val="2"/>
          </w:tcPr>
          <w:p>
            <w:pPr>
              <w:spacing w:after="0"/>
              <w:rPr>
                <w:sz w:val="21"/>
                <w:szCs w:val="21"/>
                <w:color w:val="auto"/>
              </w:rPr>
            </w:pPr>
          </w:p>
        </w:tc>
        <w:tc>
          <w:tcPr>
            <w:tcW w:w="2860" w:type="dxa"/>
            <w:vAlign w:val="bottom"/>
            <w:gridSpan w:val="5"/>
          </w:tcPr>
          <w:p>
            <w:pPr>
              <w:spacing w:after="0"/>
              <w:rPr>
                <w:sz w:val="21"/>
                <w:szCs w:val="21"/>
                <w:color w:val="auto"/>
              </w:rPr>
            </w:pPr>
          </w:p>
        </w:tc>
        <w:tc>
          <w:tcPr>
            <w:tcW w:w="6660" w:type="dxa"/>
            <w:vAlign w:val="bottom"/>
            <w:gridSpan w:val="2"/>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10</w:t>
              </w:r>
            </w:hyperlink>
          </w:p>
        </w:tc>
      </w:tr>
      <w:tr>
        <w:trPr>
          <w:trHeight w:val="250"/>
        </w:trPr>
        <w:tc>
          <w:tcPr>
            <w:tcW w:w="102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18">
              <w:r>
                <w:rPr>
                  <w:rFonts w:ascii="Arial" w:cs="Arial" w:eastAsia="Arial" w:hAnsi="Arial"/>
                  <w:sz w:val="18"/>
                  <w:szCs w:val="18"/>
                  <w:color w:val="0000FF"/>
                  <w:w w:val="91"/>
                </w:rPr>
                <w:t>Legal Matters</w:t>
              </w:r>
            </w:hyperlink>
          </w:p>
        </w:tc>
        <w:tc>
          <w:tcPr>
            <w:tcW w:w="3520" w:type="dxa"/>
            <w:vAlign w:val="bottom"/>
            <w:gridSpan w:val="9"/>
          </w:tcPr>
          <w:p>
            <w:pPr>
              <w:spacing w:after="0"/>
              <w:rPr>
                <w:sz w:val="21"/>
                <w:szCs w:val="21"/>
                <w:color w:val="auto"/>
              </w:rPr>
            </w:pPr>
          </w:p>
        </w:tc>
        <w:tc>
          <w:tcPr>
            <w:tcW w:w="6660" w:type="dxa"/>
            <w:vAlign w:val="bottom"/>
            <w:gridSpan w:val="2"/>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11</w:t>
              </w:r>
            </w:hyperlink>
          </w:p>
        </w:tc>
      </w:tr>
      <w:tr>
        <w:trPr>
          <w:trHeight w:val="250"/>
        </w:trPr>
        <w:tc>
          <w:tcPr>
            <w:tcW w:w="56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19">
              <w:r>
                <w:rPr>
                  <w:rFonts w:ascii="Arial" w:cs="Arial" w:eastAsia="Arial" w:hAnsi="Arial"/>
                  <w:sz w:val="18"/>
                  <w:szCs w:val="18"/>
                  <w:color w:val="0000FF"/>
                  <w:w w:val="88"/>
                </w:rPr>
                <w:t>Experts</w:t>
              </w:r>
            </w:hyperlink>
          </w:p>
        </w:tc>
        <w:tc>
          <w:tcPr>
            <w:tcW w:w="3980" w:type="dxa"/>
            <w:vAlign w:val="bottom"/>
            <w:gridSpan w:val="14"/>
          </w:tcPr>
          <w:p>
            <w:pPr>
              <w:spacing w:after="0"/>
              <w:rPr>
                <w:sz w:val="21"/>
                <w:szCs w:val="21"/>
                <w:color w:val="auto"/>
              </w:rPr>
            </w:pPr>
          </w:p>
        </w:tc>
        <w:tc>
          <w:tcPr>
            <w:tcW w:w="6660" w:type="dxa"/>
            <w:vAlign w:val="bottom"/>
            <w:gridSpan w:val="2"/>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12</w:t>
              </w:r>
            </w:hyperlink>
          </w:p>
        </w:tc>
      </w:tr>
      <w:tr>
        <w:trPr>
          <w:trHeight w:val="250"/>
        </w:trPr>
        <w:tc>
          <w:tcPr>
            <w:tcW w:w="4540" w:type="dxa"/>
            <w:vAlign w:val="bottom"/>
            <w:gridSpan w:val="17"/>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Information Incorporated by Reference</w:t>
              </w:r>
            </w:hyperlink>
          </w:p>
        </w:tc>
        <w:tc>
          <w:tcPr>
            <w:tcW w:w="6660" w:type="dxa"/>
            <w:vAlign w:val="bottom"/>
            <w:gridSpan w:val="2"/>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12</w:t>
              </w:r>
            </w:hyperlink>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660" w:type="dxa"/>
            <w:vAlign w:val="bottom"/>
            <w:gridSpan w:val="2"/>
          </w:tcPr>
          <w:p>
            <w:pPr>
              <w:spacing w:after="0" w:line="20" w:lineRule="exact"/>
              <w:rPr>
                <w:sz w:val="1"/>
                <w:szCs w:val="1"/>
                <w:color w:val="auto"/>
              </w:rPr>
            </w:pPr>
          </w:p>
        </w:tc>
      </w:tr>
      <w:tr>
        <w:trPr>
          <w:trHeight w:val="250"/>
        </w:trPr>
        <w:tc>
          <w:tcPr>
            <w:tcW w:w="3260" w:type="dxa"/>
            <w:vAlign w:val="bottom"/>
            <w:tcBorders>
              <w:bottom w:val="single" w:sz="8" w:color="0000FF"/>
            </w:tcBorders>
            <w:gridSpan w:val="15"/>
          </w:tcPr>
          <w:p>
            <w:pPr>
              <w:spacing w:after="0"/>
              <w:rPr>
                <w:rFonts w:ascii="Arial" w:cs="Arial" w:eastAsia="Arial" w:hAnsi="Arial"/>
                <w:sz w:val="18"/>
                <w:szCs w:val="18"/>
                <w:color w:val="0000FF"/>
                <w:w w:val="93"/>
              </w:rPr>
            </w:pPr>
            <w:hyperlink w:anchor="page20">
              <w:r>
                <w:rPr>
                  <w:rFonts w:ascii="Arial" w:cs="Arial" w:eastAsia="Arial" w:hAnsi="Arial"/>
                  <w:sz w:val="18"/>
                  <w:szCs w:val="18"/>
                  <w:color w:val="0000FF"/>
                  <w:w w:val="93"/>
                </w:rPr>
                <w:t>Where You Can Find Additional Information</w:t>
              </w:r>
            </w:hyperlink>
          </w:p>
        </w:tc>
        <w:tc>
          <w:tcPr>
            <w:tcW w:w="1280" w:type="dxa"/>
            <w:vAlign w:val="bottom"/>
            <w:gridSpan w:val="2"/>
          </w:tcPr>
          <w:p>
            <w:pPr>
              <w:spacing w:after="0"/>
              <w:rPr>
                <w:sz w:val="21"/>
                <w:szCs w:val="21"/>
                <w:color w:val="auto"/>
              </w:rPr>
            </w:pPr>
          </w:p>
        </w:tc>
        <w:tc>
          <w:tcPr>
            <w:tcW w:w="6660" w:type="dxa"/>
            <w:vAlign w:val="bottom"/>
            <w:gridSpan w:val="2"/>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13</w:t>
              </w:r>
            </w:hyperlink>
          </w:p>
        </w:tc>
      </w:tr>
      <w:tr>
        <w:trPr>
          <w:trHeight w:val="250"/>
        </w:trPr>
        <w:tc>
          <w:tcPr>
            <w:tcW w:w="4540" w:type="dxa"/>
            <w:vAlign w:val="bottom"/>
            <w:gridSpan w:val="17"/>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Part I</w:t>
              </w:r>
            </w:hyperlink>
          </w:p>
        </w:tc>
        <w:tc>
          <w:tcPr>
            <w:tcW w:w="6300" w:type="dxa"/>
            <w:vAlign w:val="bottom"/>
          </w:tcPr>
          <w:p>
            <w:pPr>
              <w:spacing w:after="0"/>
              <w:rPr>
                <w:sz w:val="21"/>
                <w:szCs w:val="21"/>
                <w:color w:val="auto"/>
              </w:rPr>
            </w:pPr>
          </w:p>
        </w:tc>
        <w:tc>
          <w:tcPr>
            <w:tcW w:w="360" w:type="dxa"/>
            <w:vAlign w:val="bottom"/>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I-1</w:t>
              </w:r>
            </w:hyperlink>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540" w:type="dxa"/>
            <w:vAlign w:val="bottom"/>
            <w:gridSpan w:val="1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4540" w:type="dxa"/>
            <w:vAlign w:val="bottom"/>
            <w:gridSpan w:val="17"/>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Part II</w:t>
              </w:r>
            </w:hyperlink>
          </w:p>
        </w:tc>
        <w:tc>
          <w:tcPr>
            <w:tcW w:w="6300" w:type="dxa"/>
            <w:vAlign w:val="bottom"/>
          </w:tcPr>
          <w:p>
            <w:pPr>
              <w:spacing w:after="0"/>
              <w:rPr>
                <w:sz w:val="21"/>
                <w:szCs w:val="21"/>
                <w:color w:val="auto"/>
              </w:rPr>
            </w:pPr>
          </w:p>
        </w:tc>
        <w:tc>
          <w:tcPr>
            <w:tcW w:w="360" w:type="dxa"/>
            <w:vAlign w:val="bottom"/>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II-1</w:t>
              </w:r>
            </w:hyperlink>
          </w:p>
        </w:tc>
      </w:tr>
      <w:tr>
        <w:trPr>
          <w:trHeight w:val="20"/>
        </w:trPr>
        <w:tc>
          <w:tcPr>
            <w:tcW w:w="46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540" w:type="dxa"/>
            <w:vAlign w:val="bottom"/>
            <w:gridSpan w:val="1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00" w:type="dxa"/>
            <w:vAlign w:val="bottom"/>
            <w:tcBorders>
              <w:bottom w:val="single" w:sz="8" w:color="0000FF"/>
            </w:tcBorders>
            <w:gridSpan w:val="7"/>
          </w:tcPr>
          <w:p>
            <w:pPr>
              <w:spacing w:after="0"/>
              <w:rPr>
                <w:rFonts w:ascii="Arial" w:cs="Arial" w:eastAsia="Arial" w:hAnsi="Arial"/>
                <w:sz w:val="18"/>
                <w:szCs w:val="18"/>
                <w:color w:val="0000FF"/>
                <w:w w:val="95"/>
              </w:rPr>
            </w:pPr>
            <w:hyperlink w:anchor="page23">
              <w:r>
                <w:rPr>
                  <w:rFonts w:ascii="Arial" w:cs="Arial" w:eastAsia="Arial" w:hAnsi="Arial"/>
                  <w:sz w:val="18"/>
                  <w:szCs w:val="18"/>
                  <w:color w:val="0000FF"/>
                  <w:w w:val="95"/>
                </w:rPr>
                <w:t>Exhibit Index</w:t>
              </w:r>
            </w:hyperlink>
          </w:p>
        </w:tc>
        <w:tc>
          <w:tcPr>
            <w:tcW w:w="3540" w:type="dxa"/>
            <w:vAlign w:val="bottom"/>
            <w:gridSpan w:val="10"/>
          </w:tcPr>
          <w:p>
            <w:pPr>
              <w:spacing w:after="0"/>
              <w:rPr>
                <w:sz w:val="21"/>
                <w:szCs w:val="21"/>
                <w:color w:val="auto"/>
              </w:rPr>
            </w:pPr>
          </w:p>
        </w:tc>
        <w:tc>
          <w:tcPr>
            <w:tcW w:w="6300" w:type="dxa"/>
            <w:vAlign w:val="bottom"/>
          </w:tcPr>
          <w:p>
            <w:pPr>
              <w:spacing w:after="0"/>
              <w:rPr>
                <w:sz w:val="21"/>
                <w:szCs w:val="21"/>
                <w:color w:val="auto"/>
              </w:rPr>
            </w:pPr>
          </w:p>
        </w:tc>
        <w:tc>
          <w:tcPr>
            <w:tcW w:w="360" w:type="dxa"/>
            <w:vAlign w:val="bottom"/>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II-3</w:t>
              </w:r>
            </w:hyperlink>
          </w:p>
        </w:tc>
      </w:tr>
      <w:tr>
        <w:trPr>
          <w:trHeight w:val="250"/>
        </w:trPr>
        <w:tc>
          <w:tcPr>
            <w:tcW w:w="4540" w:type="dxa"/>
            <w:vAlign w:val="bottom"/>
            <w:gridSpan w:val="17"/>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Signatures</w:t>
              </w:r>
            </w:hyperlink>
          </w:p>
        </w:tc>
        <w:tc>
          <w:tcPr>
            <w:tcW w:w="6300" w:type="dxa"/>
            <w:vAlign w:val="bottom"/>
          </w:tcPr>
          <w:p>
            <w:pPr>
              <w:spacing w:after="0"/>
              <w:rPr>
                <w:sz w:val="21"/>
                <w:szCs w:val="21"/>
                <w:color w:val="auto"/>
              </w:rPr>
            </w:pPr>
          </w:p>
        </w:tc>
        <w:tc>
          <w:tcPr>
            <w:tcW w:w="360" w:type="dxa"/>
            <w:vAlign w:val="bottom"/>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II-5</w:t>
              </w:r>
            </w:hyperlink>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00"/>
          </w:cols>
          <w:pgMar w:left="340" w:top="1440" w:right="35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ABOUT THIS REOFFER PROSPECTUS</w:t>
      </w:r>
    </w:p>
    <w:p>
      <w:pPr>
        <w:spacing w:after="0" w:line="243" w:lineRule="exact"/>
        <w:rPr>
          <w:sz w:val="20"/>
          <w:szCs w:val="20"/>
          <w:color w:val="auto"/>
        </w:rPr>
      </w:pPr>
    </w:p>
    <w:p>
      <w:pPr>
        <w:ind w:firstLine="648"/>
        <w:spacing w:after="0" w:line="323" w:lineRule="auto"/>
        <w:rPr>
          <w:sz w:val="20"/>
          <w:szCs w:val="20"/>
          <w:color w:val="auto"/>
        </w:rPr>
      </w:pPr>
      <w:r>
        <w:rPr>
          <w:rFonts w:ascii="Arial" w:cs="Arial" w:eastAsia="Arial" w:hAnsi="Arial"/>
          <w:sz w:val="16"/>
          <w:szCs w:val="16"/>
          <w:color w:val="auto"/>
        </w:rPr>
        <w:t>This Reoffer Prospectus contains important information you should know before investing, including important information about our company and the Shares being offered. You should carefully read this Reoffer Prospectus, as well as the additional information contained in the documents described under “Where You Can Find More Information” and “Incorporation of Certain Information by Reference” in this Reoffer Prospectus, and in particular the periodic and current reporting documents we file with the SEC. You should rely only on the information contained in this Reoffer Prospectus or incorporated herein by reference or in any accompanying prospectus supplement by us or on our behalf. We have not authorized any other person to provide you with different information. If anyone provides you with different or inconsistent information, you should not rely on it. We are not making an offer to sell the Shares in any jurisdiction where the offer or sale is not permitted. You should assume that the information appearing in this Reoffer Prospectus is accurate only as of the date hereof. Additionally, any information we have incorporated by reference in this Reoffer Prospectus is accurate only as of the date of the document incorporated by reference, regardless of the time of delivery of this Reoffer Prospectus or any sale of securities. Our business, financial condition, results of operations and prospects may have changed since those dates.</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TRADEMARKS</w:t>
      </w:r>
    </w:p>
    <w:p>
      <w:pPr>
        <w:spacing w:after="0" w:line="243" w:lineRule="exact"/>
        <w:rPr>
          <w:sz w:val="20"/>
          <w:szCs w:val="20"/>
          <w:color w:val="auto"/>
        </w:rPr>
      </w:pPr>
    </w:p>
    <w:p>
      <w:pPr>
        <w:ind w:right="20" w:firstLine="324"/>
        <w:spacing w:after="0" w:line="309" w:lineRule="auto"/>
        <w:rPr>
          <w:sz w:val="20"/>
          <w:szCs w:val="20"/>
          <w:color w:val="auto"/>
        </w:rPr>
      </w:pPr>
      <w:r>
        <w:rPr>
          <w:rFonts w:ascii="Arial" w:cs="Arial" w:eastAsia="Arial" w:hAnsi="Arial"/>
          <w:sz w:val="17"/>
          <w:szCs w:val="17"/>
          <w:color w:val="auto"/>
        </w:rPr>
        <w:t>We use the Nautilus logo and other marks as trademarks in the United States and other countries. This document contains references to trademarks and service marks belonging to other entities. Solely for convenience, trademarks and trade names referred to in this Reoffer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00"/>
          </w:cols>
          <w:pgMar w:left="320" w:top="1417" w:right="37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127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712787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40" w:lineRule="exact"/>
        <w:rPr>
          <w:sz w:val="20"/>
          <w:szCs w:val="20"/>
          <w:color w:val="auto"/>
        </w:rPr>
      </w:pPr>
    </w:p>
    <w:p>
      <w:pPr>
        <w:ind w:right="40" w:firstLine="324"/>
        <w:spacing w:after="0" w:line="305" w:lineRule="auto"/>
        <w:rPr>
          <w:sz w:val="20"/>
          <w:szCs w:val="20"/>
          <w:color w:val="auto"/>
        </w:rPr>
      </w:pPr>
      <w:r>
        <w:rPr>
          <w:rFonts w:ascii="Arial" w:cs="Arial" w:eastAsia="Arial" w:hAnsi="Arial"/>
          <w:sz w:val="17"/>
          <w:szCs w:val="17"/>
          <w:i w:val="1"/>
          <w:iCs w:val="1"/>
          <w:color w:val="auto"/>
        </w:rPr>
        <w:t>This summary highlights information contained in greater detail elsewhere in this Reoffer Prospectus. This summary is not complete and does not contain all of the information you should consider in making your investment decision. You should read the entire Reoffer Prospectus carefully before making an investment in our securities. You should carefully consider, among other things, our consolidated financial statements and the related notes and the sections titled “Risk Factors,” “Business,” and “Management’s Discussion and Analysis of Financial Condition and Results of Operations” incorporated by reference in this Reoffer Prospectus. Unless the context otherwise requires, we use the terms “Nautilus,” the “Company,” “we,” “us” and “our” in this Reoffer Prospectus to refer to Nautilus Biotechnology, Inc. and our wholly owned subsidiaries.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NAUTILUS BIOTECHNOLOGY,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firstLine="324"/>
        <w:spacing w:after="0" w:line="304" w:lineRule="auto"/>
        <w:rPr>
          <w:sz w:val="20"/>
          <w:szCs w:val="20"/>
          <w:color w:val="auto"/>
        </w:rPr>
      </w:pPr>
      <w:r>
        <w:rPr>
          <w:rFonts w:ascii="Arial" w:cs="Arial" w:eastAsia="Arial" w:hAnsi="Arial"/>
          <w:sz w:val="17"/>
          <w:szCs w:val="17"/>
          <w:color w:val="auto"/>
        </w:rPr>
        <w:t>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w:t>
      </w:r>
    </w:p>
    <w:p>
      <w:pPr>
        <w:spacing w:after="0" w:line="125" w:lineRule="exact"/>
        <w:rPr>
          <w:sz w:val="20"/>
          <w:szCs w:val="20"/>
          <w:color w:val="auto"/>
        </w:rPr>
      </w:pPr>
    </w:p>
    <w:p>
      <w:pPr>
        <w:ind w:right="20" w:firstLine="324"/>
        <w:spacing w:after="0" w:line="325" w:lineRule="auto"/>
        <w:rPr>
          <w:sz w:val="20"/>
          <w:szCs w:val="20"/>
          <w:color w:val="auto"/>
        </w:rPr>
      </w:pPr>
      <w:r>
        <w:rPr>
          <w:rFonts w:ascii="Arial" w:cs="Arial" w:eastAsia="Arial" w:hAnsi="Arial"/>
          <w:sz w:val="16"/>
          <w:szCs w:val="16"/>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13" w:lineRule="exact"/>
        <w:rPr>
          <w:sz w:val="20"/>
          <w:szCs w:val="20"/>
          <w:color w:val="auto"/>
        </w:rPr>
      </w:pPr>
    </w:p>
    <w:p>
      <w:pPr>
        <w:ind w:right="20" w:firstLine="324"/>
        <w:spacing w:after="0" w:line="290" w:lineRule="auto"/>
        <w:rPr>
          <w:sz w:val="20"/>
          <w:szCs w:val="20"/>
          <w:color w:val="auto"/>
        </w:rPr>
      </w:pPr>
      <w:r>
        <w:rPr>
          <w:rFonts w:ascii="Arial" w:cs="Arial" w:eastAsia="Arial" w:hAnsi="Arial"/>
          <w:sz w:val="18"/>
          <w:szCs w:val="18"/>
          <w:color w:val="auto"/>
        </w:rPr>
        <w:t>By leveraging our novel design coupled with advanced machine learning software, we believe our Nautilus Platform, which includes our end-to-end solution comprised of the Proteomic Analysis System, consumables, and software, has the potential to rapidly and reproducibly identify approximately 95% of proteins in a sample from virtually any organism, and could have the ability to detect and map the diverse landscape of modifications on those</w:t>
      </w:r>
    </w:p>
    <w:p>
      <w:pPr>
        <w:spacing w:after="0" w:line="134" w:lineRule="exact"/>
        <w:rPr>
          <w:sz w:val="20"/>
          <w:szCs w:val="20"/>
          <w:color w:val="auto"/>
        </w:rPr>
      </w:pPr>
    </w:p>
    <w:p>
      <w:pPr>
        <w:ind w:right="280" w:firstLine="324"/>
        <w:spacing w:after="0" w:line="308" w:lineRule="auto"/>
        <w:rPr>
          <w:sz w:val="20"/>
          <w:szCs w:val="20"/>
          <w:color w:val="auto"/>
        </w:rPr>
      </w:pPr>
      <w:r>
        <w:rPr>
          <w:rFonts w:ascii="Arial" w:cs="Arial" w:eastAsia="Arial" w:hAnsi="Arial"/>
          <w:sz w:val="18"/>
          <w:szCs w:val="18"/>
          <w:color w:val="auto"/>
        </w:rPr>
        <w:t>Our principal executive offices are located at 425 Pontius Ave N, Ste 202, Seattle, WA 98109, and our telephone number is (206) 333-2001.</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website address is http://www.nautilus.bio. The information on, or that can be accessed through, our website is not part of this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Reoffer Prospectus, and you should not consider information contained on our website in deciding whether to purchase shares of our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Common Stock. We have included our website address in this Reoffer Prospectus solely as an inactive textual reference.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900"/>
          </w:cols>
          <w:pgMar w:left="1000" w:top="1440" w:right="99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5430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543052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02"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On June 9, 2021 (the “Closing Date”), Nautilus Biotechnology, Inc., a Delaware corporation (f/k/a ARYA Sciences Acquisition Corp III, a Cayman Islands exempted company and our predecessor company (“ARYA”)) (the “Company”), consummated the previously announced merger pursuant to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(“Old Nautilus”).</w:t>
      </w:r>
    </w:p>
    <w:p>
      <w:pPr>
        <w:spacing w:after="0" w:line="104" w:lineRule="exact"/>
        <w:rPr>
          <w:sz w:val="20"/>
          <w:szCs w:val="20"/>
          <w:color w:val="auto"/>
        </w:rPr>
      </w:pPr>
    </w:p>
    <w:p>
      <w:pPr>
        <w:ind w:right="40" w:firstLine="324"/>
        <w:spacing w:after="0" w:line="325" w:lineRule="auto"/>
        <w:rPr>
          <w:sz w:val="20"/>
          <w:szCs w:val="20"/>
          <w:color w:val="auto"/>
        </w:rPr>
      </w:pPr>
      <w:r>
        <w:rPr>
          <w:rFonts w:ascii="Arial" w:cs="Arial" w:eastAsia="Arial" w:hAnsi="Arial"/>
          <w:sz w:val="16"/>
          <w:szCs w:val="16"/>
          <w:color w:val="auto"/>
        </w:rPr>
        <w:t>Pursuant to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subsidiaries, “New Nautilus” or “Nautilus”) and (ii) Mako Merger Sub merged with and into Old Nautilus (the “Merger” and collectively, with the other transactions described in the Business Combination Agreement, the “Business Combination”), with Old Nautilus as the surviving company in the Merger and, after giving effect to such Merger, Old Nautilus becoming a wholly-owned subsidiary of New Nautilus. As of the open of trading on June 10, 2021, the Common Stock of the Company, formerly those of ARYA, began trading on The Nasdaq Global Select Market (“Nasdaq”) under the symbol “NAUT.”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02" w:lineRule="exact"/>
        <w:rPr>
          <w:sz w:val="20"/>
          <w:szCs w:val="20"/>
          <w:color w:val="auto"/>
        </w:rPr>
      </w:pPr>
    </w:p>
    <w:p>
      <w:pPr>
        <w:jc w:val="both"/>
        <w:ind w:right="260" w:firstLine="324"/>
        <w:spacing w:after="0" w:line="316" w:lineRule="auto"/>
        <w:rPr>
          <w:sz w:val="20"/>
          <w:szCs w:val="20"/>
          <w:color w:val="auto"/>
        </w:rPr>
      </w:pPr>
      <w:r>
        <w:rPr>
          <w:rFonts w:ascii="Arial" w:cs="Arial" w:eastAsia="Arial" w:hAnsi="Arial"/>
          <w:sz w:val="16"/>
          <w:szCs w:val="16"/>
          <w:color w:val="auto"/>
        </w:rPr>
        <w:t>This Reoffer Prospectus relates to the public offering, which is not being underwritten, by the selling securityholders listed in this Reoffer Prospectus, of up to 4,107,524 shares of Common Stock acquired by or issuable to selling securityholders pursuant to awards granted or assumed by the Company to the selling securityholders under the 2021 Plan and the 2017 Plan, including stock options.</w:t>
      </w:r>
    </w:p>
    <w:p>
      <w:pPr>
        <w:spacing w:after="0" w:line="2" w:lineRule="exact"/>
        <w:rPr>
          <w:sz w:val="20"/>
          <w:szCs w:val="20"/>
          <w:color w:val="auto"/>
        </w:rPr>
      </w:pPr>
    </w:p>
    <w:p>
      <w:pPr>
        <w:ind w:right="40"/>
        <w:spacing w:after="0" w:line="304" w:lineRule="auto"/>
        <w:rPr>
          <w:sz w:val="20"/>
          <w:szCs w:val="20"/>
          <w:color w:val="auto"/>
        </w:rPr>
      </w:pPr>
      <w:r>
        <w:rPr>
          <w:rFonts w:ascii="Arial" w:cs="Arial" w:eastAsia="Arial" w:hAnsi="Arial"/>
          <w:sz w:val="17"/>
          <w:szCs w:val="17"/>
          <w:color w:val="auto"/>
        </w:rPr>
        <w:t>Subject to the satisfaction of any conditions to vesting of the shares of Common Stock offered hereby pursuant to the terms of the relevant award agreements, and subject to the expiration of any lock-up restrictions pursuant to the Company's bylaws and/or other agreements, the selling securityholders may from time to time sell, transfer or otherwise dispose of any or all of the shares of Common Stock covered by this Reoffer Prospectus through underwriters or dealers, directly to purchasers (or a single purchaser) or through broker-dealers or agents. We will receive none of the proceeds from the sale of the shares of Common Stock by the selling securityholders. The selling securityholders will bear all sales commissions and similar expenses in connection with this offering. We will bear all expenses of registration incurred in connection with this offering, as well as any other expenses incurred by us in connection with the registration and offering that are not borne by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900"/>
          </w:cols>
          <w:pgMar w:left="1000" w:top="1440" w:right="99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43" w:lineRule="exact"/>
        <w:rPr>
          <w:sz w:val="20"/>
          <w:szCs w:val="20"/>
          <w:color w:val="auto"/>
        </w:rPr>
      </w:pPr>
    </w:p>
    <w:p>
      <w:pPr>
        <w:ind w:firstLine="324"/>
        <w:spacing w:after="0" w:line="329" w:lineRule="auto"/>
        <w:rPr>
          <w:sz w:val="20"/>
          <w:szCs w:val="20"/>
          <w:color w:val="auto"/>
        </w:rPr>
      </w:pPr>
      <w:r>
        <w:rPr>
          <w:rFonts w:ascii="Arial" w:cs="Arial" w:eastAsia="Arial" w:hAnsi="Arial"/>
          <w:sz w:val="16"/>
          <w:szCs w:val="16"/>
          <w:color w:val="auto"/>
        </w:rPr>
        <w:t>Investing in our Common Stock involves a high degree of risk. Before you make a decision to buy our securities, you should carefully consider the risks set forth under the caption “Risk Factors” in our Quarterly Report on Form 10-Q for the period ended June 30, 2021 filed with the SEC on August 10, 2021, which are incorporated by reference herein, and subsequent reports filed with the SEC, together with the financial and other information contained or incorporated by reference in this Reoffer Prospectus. If any of these risks actually occurs, our business, prospects, financial condition and results of operations could be materially adversely affected. In that case, the trading price of our Common Stock would likely decline and you may lose all or a part of your investment. Only those investors who can bear the risk of loss of their entire investment should invest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417" w:right="37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3" w:lineRule="exact"/>
        <w:rPr>
          <w:sz w:val="20"/>
          <w:szCs w:val="20"/>
          <w:color w:val="auto"/>
        </w:rPr>
      </w:pPr>
    </w:p>
    <w:p>
      <w:pPr>
        <w:ind w:right="20" w:firstLine="324"/>
        <w:spacing w:after="0" w:line="323" w:lineRule="auto"/>
        <w:rPr>
          <w:sz w:val="20"/>
          <w:szCs w:val="20"/>
          <w:color w:val="auto"/>
        </w:rPr>
      </w:pPr>
      <w:r>
        <w:rPr>
          <w:rFonts w:ascii="Arial" w:cs="Arial" w:eastAsia="Arial" w:hAnsi="Arial"/>
          <w:sz w:val="16"/>
          <w:szCs w:val="16"/>
          <w:color w:val="auto"/>
        </w:rPr>
        <w:t>Certain statements in this Reoffer Prospectus and the documents incorporated by reference herein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Business Combination and its expected benefits; our performance following the Business Combination; the success, cost, timing and progress of development of the Nautilus Platform; the potential attributes and benefits of the Nautilus Platform; our ability to successfully implement our three phase commercial launch plan; and our ability to obtain funding for our operations. Forward-looking statements include statements relating to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116" w:lineRule="exact"/>
        <w:rPr>
          <w:sz w:val="20"/>
          <w:szCs w:val="20"/>
          <w:color w:val="auto"/>
        </w:rPr>
      </w:pPr>
    </w:p>
    <w:p>
      <w:pPr>
        <w:ind w:firstLine="324"/>
        <w:spacing w:after="0" w:line="306" w:lineRule="auto"/>
        <w:rPr>
          <w:sz w:val="20"/>
          <w:szCs w:val="20"/>
          <w:color w:val="auto"/>
        </w:rPr>
      </w:pPr>
      <w:r>
        <w:rPr>
          <w:rFonts w:ascii="Arial" w:cs="Arial" w:eastAsia="Arial" w:hAnsi="Arial"/>
          <w:sz w:val="17"/>
          <w:szCs w:val="17"/>
          <w:color w:val="auto"/>
        </w:rPr>
        <w:t>These forward-looking statements are based on current expectations and beliefs concerning future developments and their potential effects. There can be no assurance that future developments affecting us will be those that we have anticipated. The outcome of the events described in these forward-looking statements is subject to risks, uncertainties, and other factors, including those described in the section titled “Risk Factors” and elsewhere in this Reoffer Prospectus and the documents incorporated by reference herein. As a result of a number of known and unknown risks and uncertainties, our actual results or performance may be materially different from those expressed or implied by these forward-looking statements. Some factors that could cause actual results to differ include, but are not limited to, the following:</w:t>
      </w:r>
    </w:p>
    <w:p>
      <w:pPr>
        <w:spacing w:after="0" w:line="125" w:lineRule="exact"/>
        <w:rPr>
          <w:sz w:val="20"/>
          <w:szCs w:val="20"/>
          <w:color w:val="auto"/>
        </w:rPr>
      </w:pPr>
    </w:p>
    <w:p>
      <w:pPr>
        <w:ind w:left="660" w:right="80" w:hanging="328"/>
        <w:spacing w:after="0" w:line="30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the success of our Nautilus Platform (as defined herein), which remains in the development stage and subject to scientific and technical validation;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timing and progress of the development of the Nautilus Platform;</w:t>
      </w:r>
    </w:p>
    <w:p>
      <w:pPr>
        <w:spacing w:after="0" w:line="198"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of our addressable market, market growth, future revenue, key performance indicators, expenses, capital requirements and needs for additional financing;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the Nautilus Platform;</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Nautilus Platform on the field of proteomics and the size and growth of the addressable proteomics market;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and grow our business and commercialize our Nautilus Platform;</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implement our three phase commercial launch plan;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the Nautilus Platform;</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and business performance following the Business Combination, including financial projections and business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20" w:top="1417" w:right="399" w:bottom="1440" w:gutter="0" w:footer="0" w:header="0"/>
        </w:sectPr>
      </w:pPr>
    </w:p>
    <w:bookmarkStart w:id="11" w:name="page12"/>
    <w:bookmarkEnd w:id="11"/>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related to the Business Combination;</w:t>
      </w:r>
    </w:p>
    <w:p>
      <w:pPr>
        <w:spacing w:after="0" w:line="198" w:lineRule="exact"/>
        <w:rPr>
          <w:rFonts w:ascii="Arial" w:cs="Arial" w:eastAsia="Arial" w:hAnsi="Arial"/>
          <w:sz w:val="18"/>
          <w:szCs w:val="18"/>
          <w:color w:val="auto"/>
        </w:rPr>
      </w:pPr>
    </w:p>
    <w:p>
      <w:pPr>
        <w:ind w:left="660" w:right="320" w:hanging="328"/>
        <w:spacing w:after="0" w:line="30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our ability to grow and manage future growth effectively, and our ability to retain our key employees;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the Business Combination;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or other key personnel;</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local, regional, national and international economic conditions and events;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COVID-19 on the foregoing;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including but not limited to those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98" w:lineRule="exact"/>
        <w:rPr>
          <w:sz w:val="20"/>
          <w:szCs w:val="20"/>
          <w:color w:val="auto"/>
        </w:rPr>
      </w:pPr>
    </w:p>
    <w:p>
      <w:pPr>
        <w:ind w:firstLine="324"/>
        <w:spacing w:after="0" w:line="288" w:lineRule="auto"/>
        <w:rPr>
          <w:sz w:val="20"/>
          <w:szCs w:val="20"/>
          <w:color w:val="auto"/>
        </w:rPr>
      </w:pPr>
      <w:r>
        <w:rPr>
          <w:rFonts w:ascii="Arial" w:cs="Arial" w:eastAsia="Arial" w:hAnsi="Arial"/>
          <w:sz w:val="18"/>
          <w:szCs w:val="18"/>
          <w:color w:val="auto"/>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pandemic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35" w:lineRule="exact"/>
        <w:rPr>
          <w:sz w:val="20"/>
          <w:szCs w:val="20"/>
          <w:color w:val="auto"/>
        </w:rPr>
      </w:pPr>
    </w:p>
    <w:p>
      <w:pPr>
        <w:ind w:firstLine="324"/>
        <w:spacing w:after="0" w:line="28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Reoffer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5" w:lineRule="exact"/>
        <w:rPr>
          <w:sz w:val="20"/>
          <w:szCs w:val="20"/>
          <w:color w:val="auto"/>
        </w:rPr>
      </w:pPr>
    </w:p>
    <w:p>
      <w:pPr>
        <w:jc w:val="both"/>
        <w:ind w:right="40" w:firstLine="324"/>
        <w:spacing w:after="0" w:line="319" w:lineRule="auto"/>
        <w:rPr>
          <w:sz w:val="20"/>
          <w:szCs w:val="20"/>
          <w:color w:val="auto"/>
        </w:rPr>
      </w:pPr>
      <w:r>
        <w:rPr>
          <w:rFonts w:ascii="Arial" w:cs="Arial" w:eastAsia="Arial" w:hAnsi="Arial"/>
          <w:sz w:val="17"/>
          <w:szCs w:val="17"/>
          <w:color w:val="auto"/>
        </w:rPr>
        <w:t>You should read this Reoffer Prospectus and the documents that we reference in this Reoffer Prospectus and have filed as exhibits to the Registration Statement, of which this Reoffer Prospectus is a part,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320" w:top="1435" w:right="399" w:bottom="1440" w:gutter="0" w:footer="0" w:header="0"/>
        </w:sectPr>
      </w:pPr>
    </w:p>
    <w:bookmarkStart w:id="12" w:name="page13"/>
    <w:bookmarkEnd w:id="12"/>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43" w:lineRule="exact"/>
        <w:rPr>
          <w:sz w:val="20"/>
          <w:szCs w:val="20"/>
          <w:color w:val="auto"/>
        </w:rPr>
      </w:pPr>
    </w:p>
    <w:p>
      <w:pPr>
        <w:ind w:firstLine="324"/>
        <w:spacing w:after="0" w:line="295" w:lineRule="auto"/>
        <w:rPr>
          <w:sz w:val="20"/>
          <w:szCs w:val="20"/>
          <w:color w:val="auto"/>
        </w:rPr>
      </w:pPr>
      <w:r>
        <w:rPr>
          <w:rFonts w:ascii="Arial" w:cs="Arial" w:eastAsia="Arial" w:hAnsi="Arial"/>
          <w:sz w:val="18"/>
          <w:szCs w:val="18"/>
          <w:color w:val="auto"/>
        </w:rPr>
        <w:t>We will not receive any of the proceeds from the sale of the Shares hereunder. All of the proceeds from the sale of the Shares offered by the selling securityholders pursuant to this Reoffer Prospectus will be sold by the selling securityholders for their respective accounts. See the sections titled “Selling Stockholders” and “Plan of Distribution”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1417" w:right="49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43"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The following table sets forth, as of August 9, 2021 (the "Determination Date"), the names of the selling securityholders, the aggregate number of shares of Common Stock beneficially owned by the selling securityholders, the aggregate number of shares of Common Stock that the selling securityholders may offer pursuant to this Reoffer Prospectus and the number of shares of Common Stock that would be beneficially owned by the selling securityholders after the sale of the shares of Common Stock offered hereby assuming that the selling securityholders sell all of the shares of Common Stock covered by this Reoffer Prospectus. The percentage of beneficial ownership after the offered shares of Common Stock are sold is calculated based on 124,101,792 shares of Common Stock outstanding as of August 9, 2021.</w:t>
      </w:r>
    </w:p>
    <w:p>
      <w:pPr>
        <w:spacing w:after="0" w:line="135" w:lineRule="exact"/>
        <w:rPr>
          <w:sz w:val="20"/>
          <w:szCs w:val="20"/>
          <w:color w:val="auto"/>
        </w:rPr>
      </w:pPr>
    </w:p>
    <w:p>
      <w:pPr>
        <w:ind w:right="40" w:firstLine="324"/>
        <w:spacing w:after="0" w:line="327" w:lineRule="auto"/>
        <w:rPr>
          <w:sz w:val="20"/>
          <w:szCs w:val="20"/>
          <w:color w:val="auto"/>
        </w:rPr>
      </w:pPr>
      <w:r>
        <w:rPr>
          <w:rFonts w:ascii="Arial" w:cs="Arial" w:eastAsia="Arial" w:hAnsi="Arial"/>
          <w:sz w:val="16"/>
          <w:szCs w:val="16"/>
          <w:color w:val="auto"/>
        </w:rPr>
        <w:t>The Shares offered by the selling securityholders hereunder include an aggregate of 4,107,524 shares of Common Stock acquired upon the exercise of stock options or issuable upon the exercise of outstanding stock options by certain of our current and former directors, officers, other employees, and consultants pursuant to the Plans, as described in this Reoffer Prospectus. We have determined beneficial ownership in accordance with the rules of the SEC (except as described in footnote (1) to the table below),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as of August 9, 2021, subject to community property laws where applicable. Unless otherwise noted, the selling securityholder’s address is c/o Nautilus Biotechnology, Inc., 425 Pontius Avenue N, Suite 202, Seattle, WA 98109.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3"/>
          </w:tcPr>
          <w:p>
            <w:pPr>
              <w:jc w:val="center"/>
              <w:ind w:left="1016"/>
              <w:spacing w:after="0"/>
              <w:rPr>
                <w:sz w:val="20"/>
                <w:szCs w:val="20"/>
                <w:color w:val="auto"/>
              </w:rPr>
            </w:pPr>
            <w:r>
              <w:rPr>
                <w:rFonts w:ascii="Arial" w:cs="Arial" w:eastAsia="Arial" w:hAnsi="Arial"/>
                <w:sz w:val="14"/>
                <w:szCs w:val="14"/>
                <w:b w:val="1"/>
                <w:bCs w:val="1"/>
                <w:color w:val="auto"/>
                <w:w w:val="91"/>
              </w:rPr>
              <w:t>Common Stock</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240" w:type="dxa"/>
            <w:vAlign w:val="bottom"/>
            <w:gridSpan w:val="3"/>
          </w:tcPr>
          <w:p>
            <w:pPr>
              <w:jc w:val="center"/>
              <w:ind w:left="1036"/>
              <w:spacing w:after="0"/>
              <w:rPr>
                <w:sz w:val="20"/>
                <w:szCs w:val="20"/>
                <w:color w:val="auto"/>
              </w:rPr>
            </w:pPr>
            <w:r>
              <w:rPr>
                <w:rFonts w:ascii="Arial" w:cs="Arial" w:eastAsia="Arial" w:hAnsi="Arial"/>
                <w:sz w:val="14"/>
                <w:szCs w:val="14"/>
                <w:b w:val="1"/>
                <w:bCs w:val="1"/>
                <w:color w:val="auto"/>
                <w:w w:val="92"/>
              </w:rPr>
              <w:t>Beneficially</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240" w:type="dxa"/>
            <w:vAlign w:val="bottom"/>
            <w:gridSpan w:val="3"/>
            <w:vMerge w:val="restart"/>
          </w:tcPr>
          <w:p>
            <w:pPr>
              <w:jc w:val="center"/>
              <w:ind w:left="1016"/>
              <w:spacing w:after="0"/>
              <w:rPr>
                <w:sz w:val="20"/>
                <w:szCs w:val="20"/>
                <w:color w:val="auto"/>
              </w:rPr>
            </w:pPr>
            <w:r>
              <w:rPr>
                <w:rFonts w:ascii="Arial" w:cs="Arial" w:eastAsia="Arial" w:hAnsi="Arial"/>
                <w:sz w:val="14"/>
                <w:szCs w:val="14"/>
                <w:b w:val="1"/>
                <w:bCs w:val="1"/>
                <w:color w:val="auto"/>
                <w:w w:val="94"/>
              </w:rPr>
              <w:t>Owned After the</w:t>
            </w: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Shares of</w:t>
            </w:r>
          </w:p>
        </w:tc>
        <w:tc>
          <w:tcPr>
            <w:tcW w:w="2240" w:type="dxa"/>
            <w:vAlign w:val="bottom"/>
            <w:gridSpan w:val="3"/>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240" w:type="dxa"/>
            <w:vAlign w:val="bottom"/>
            <w:gridSpan w:val="3"/>
            <w:vMerge w:val="restart"/>
          </w:tcPr>
          <w:p>
            <w:pPr>
              <w:jc w:val="center"/>
              <w:ind w:left="1036"/>
              <w:spacing w:after="0"/>
              <w:rPr>
                <w:sz w:val="20"/>
                <w:szCs w:val="20"/>
                <w:color w:val="auto"/>
              </w:rPr>
            </w:pPr>
            <w:r>
              <w:rPr>
                <w:rFonts w:ascii="Arial" w:cs="Arial" w:eastAsia="Arial" w:hAnsi="Arial"/>
                <w:sz w:val="14"/>
                <w:szCs w:val="14"/>
                <w:b w:val="1"/>
                <w:bCs w:val="1"/>
                <w:color w:val="auto"/>
                <w:w w:val="91"/>
              </w:rPr>
              <w:t>Offered Shares of</w:t>
            </w: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Beneficially</w:t>
            </w: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2240" w:type="dxa"/>
            <w:vAlign w:val="bottom"/>
            <w:gridSpan w:val="3"/>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240" w:type="dxa"/>
            <w:vAlign w:val="bottom"/>
            <w:gridSpan w:val="3"/>
            <w:vMerge w:val="restart"/>
          </w:tcPr>
          <w:p>
            <w:pPr>
              <w:jc w:val="center"/>
              <w:ind w:left="1016"/>
              <w:spacing w:after="0"/>
              <w:rPr>
                <w:sz w:val="20"/>
                <w:szCs w:val="20"/>
                <w:color w:val="auto"/>
              </w:rPr>
            </w:pPr>
            <w:r>
              <w:rPr>
                <w:rFonts w:ascii="Arial" w:cs="Arial" w:eastAsia="Arial" w:hAnsi="Arial"/>
                <w:sz w:val="14"/>
                <w:szCs w:val="14"/>
                <w:b w:val="1"/>
                <w:bCs w:val="1"/>
                <w:color w:val="auto"/>
                <w:w w:val="91"/>
              </w:rPr>
              <w:t>Common Stock</w:t>
            </w: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Owned</w:t>
            </w: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Stock</w:t>
            </w:r>
          </w:p>
        </w:tc>
        <w:tc>
          <w:tcPr>
            <w:tcW w:w="2240" w:type="dxa"/>
            <w:vAlign w:val="bottom"/>
            <w:gridSpan w:val="3"/>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240" w:type="dxa"/>
            <w:vAlign w:val="bottom"/>
            <w:gridSpan w:val="3"/>
            <w:vMerge w:val="restart"/>
          </w:tcPr>
          <w:p>
            <w:pPr>
              <w:jc w:val="center"/>
              <w:ind w:left="1016"/>
              <w:spacing w:after="0"/>
              <w:rPr>
                <w:sz w:val="20"/>
                <w:szCs w:val="20"/>
                <w:color w:val="auto"/>
              </w:rPr>
            </w:pPr>
            <w:r>
              <w:rPr>
                <w:rFonts w:ascii="Arial" w:cs="Arial" w:eastAsia="Arial" w:hAnsi="Arial"/>
                <w:sz w:val="14"/>
                <w:szCs w:val="14"/>
                <w:b w:val="1"/>
                <w:bCs w:val="1"/>
                <w:color w:val="auto"/>
                <w:w w:val="90"/>
              </w:rPr>
              <w:t>are Sold</w:t>
            </w: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2"/>
            <w:vMerge w:val="restart"/>
          </w:tcPr>
          <w:p>
            <w:pPr>
              <w:jc w:val="center"/>
              <w:ind w:right="120"/>
              <w:spacing w:after="0" w:line="125" w:lineRule="exact"/>
              <w:rPr>
                <w:sz w:val="20"/>
                <w:szCs w:val="20"/>
                <w:color w:val="auto"/>
              </w:rPr>
            </w:pPr>
            <w:r>
              <w:rPr>
                <w:rFonts w:ascii="Arial" w:cs="Arial" w:eastAsia="Arial" w:hAnsi="Arial"/>
                <w:sz w:val="14"/>
                <w:szCs w:val="14"/>
                <w:b w:val="1"/>
                <w:bCs w:val="1"/>
                <w:color w:val="auto"/>
                <w:w w:val="96"/>
              </w:rPr>
              <w:t>Prior to</w:t>
            </w:r>
          </w:p>
        </w:tc>
        <w:tc>
          <w:tcPr>
            <w:tcW w:w="1620" w:type="dxa"/>
            <w:vAlign w:val="bottom"/>
            <w:gridSpan w:val="2"/>
            <w:vMerge w:val="restart"/>
          </w:tcPr>
          <w:p>
            <w:pPr>
              <w:jc w:val="center"/>
              <w:ind w:right="100"/>
              <w:spacing w:after="0" w:line="125" w:lineRule="exact"/>
              <w:rPr>
                <w:sz w:val="20"/>
                <w:szCs w:val="20"/>
                <w:color w:val="auto"/>
              </w:rPr>
            </w:pPr>
            <w:r>
              <w:rPr>
                <w:rFonts w:ascii="Arial" w:cs="Arial" w:eastAsia="Arial" w:hAnsi="Arial"/>
                <w:sz w:val="14"/>
                <w:szCs w:val="14"/>
                <w:b w:val="1"/>
                <w:bCs w:val="1"/>
                <w:color w:val="auto"/>
                <w:w w:val="92"/>
              </w:rPr>
              <w:t>Being</w:t>
            </w:r>
          </w:p>
        </w:tc>
        <w:tc>
          <w:tcPr>
            <w:tcW w:w="2240" w:type="dxa"/>
            <w:vAlign w:val="bottom"/>
            <w:gridSpan w:val="3"/>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Selling Securityholder</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Offering</w:t>
            </w:r>
            <w:r>
              <w:rPr>
                <w:rFonts w:ascii="Arial" w:cs="Arial" w:eastAsia="Arial" w:hAnsi="Arial"/>
                <w:sz w:val="18"/>
                <w:szCs w:val="18"/>
                <w:b w:val="1"/>
                <w:bCs w:val="1"/>
                <w:color w:val="auto"/>
                <w:w w:val="89"/>
                <w:vertAlign w:val="superscript"/>
              </w:rPr>
              <w:t>(1)</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Offered</w:t>
            </w:r>
            <w:r>
              <w:rPr>
                <w:rFonts w:ascii="Arial" w:cs="Arial" w:eastAsia="Arial" w:hAnsi="Arial"/>
                <w:sz w:val="18"/>
                <w:szCs w:val="18"/>
                <w:b w:val="1"/>
                <w:bCs w:val="1"/>
                <w:color w:val="auto"/>
                <w:w w:val="93"/>
                <w:vertAlign w:val="superscript"/>
              </w:rPr>
              <w:t>(1)</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Number</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63"/>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Anna Mowry</w:t>
            </w:r>
            <w:r>
              <w:rPr>
                <w:rFonts w:ascii="Arial" w:cs="Arial" w:eastAsia="Arial" w:hAnsi="Arial"/>
                <w:sz w:val="23"/>
                <w:szCs w:val="23"/>
                <w:color w:val="auto"/>
                <w:vertAlign w:val="superscript"/>
              </w:rPr>
              <w:t>(2)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435,368</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435,368</w:t>
            </w:r>
          </w:p>
        </w:tc>
        <w:tc>
          <w:tcPr>
            <w:tcW w:w="80" w:type="dxa"/>
            <w:vAlign w:val="bottom"/>
            <w:shd w:val="clear" w:color="auto" w:fill="CCEEFF"/>
          </w:tcPr>
          <w:p>
            <w:pPr>
              <w:spacing w:after="0"/>
              <w:rPr>
                <w:sz w:val="22"/>
                <w:szCs w:val="22"/>
                <w:color w:val="auto"/>
              </w:rPr>
            </w:pPr>
          </w:p>
        </w:tc>
        <w:tc>
          <w:tcPr>
            <w:tcW w:w="22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Farzad Nazem</w:t>
            </w:r>
            <w:r>
              <w:rPr>
                <w:rFonts w:ascii="Arial" w:cs="Arial" w:eastAsia="Arial" w:hAnsi="Arial"/>
                <w:sz w:val="23"/>
                <w:szCs w:val="23"/>
                <w:color w:val="auto"/>
                <w:vertAlign w:val="superscript"/>
              </w:rPr>
              <w:t>(3)</w:t>
            </w:r>
          </w:p>
        </w:tc>
        <w:tc>
          <w:tcPr>
            <w:tcW w:w="1540" w:type="dxa"/>
            <w:vAlign w:val="bottom"/>
          </w:tcPr>
          <w:p>
            <w:pPr>
              <w:jc w:val="right"/>
              <w:spacing w:after="0"/>
              <w:rPr>
                <w:sz w:val="20"/>
                <w:szCs w:val="20"/>
                <w:color w:val="auto"/>
              </w:rPr>
            </w:pPr>
            <w:r>
              <w:rPr>
                <w:rFonts w:ascii="Arial" w:cs="Arial" w:eastAsia="Arial" w:hAnsi="Arial"/>
                <w:sz w:val="18"/>
                <w:szCs w:val="18"/>
                <w:color w:val="auto"/>
              </w:rPr>
              <w:t>1,924,426</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36,280</w:t>
            </w:r>
          </w:p>
        </w:tc>
        <w:tc>
          <w:tcPr>
            <w:tcW w:w="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1,888,146</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Melissa Epperly</w:t>
            </w:r>
            <w:r>
              <w:rPr>
                <w:rFonts w:ascii="Arial" w:cs="Arial" w:eastAsia="Arial" w:hAnsi="Arial"/>
                <w:sz w:val="23"/>
                <w:szCs w:val="23"/>
                <w:color w:val="auto"/>
                <w:vertAlign w:val="superscript"/>
              </w:rPr>
              <w:t>(4)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72,561</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72,561</w:t>
            </w:r>
          </w:p>
        </w:tc>
        <w:tc>
          <w:tcPr>
            <w:tcW w:w="80" w:type="dxa"/>
            <w:vAlign w:val="bottom"/>
            <w:shd w:val="clear" w:color="auto" w:fill="CCEEFF"/>
          </w:tcPr>
          <w:p>
            <w:pPr>
              <w:spacing w:after="0"/>
              <w:rPr>
                <w:sz w:val="23"/>
                <w:szCs w:val="23"/>
                <w:color w:val="auto"/>
              </w:rPr>
            </w:pPr>
          </w:p>
        </w:tc>
        <w:tc>
          <w:tcPr>
            <w:tcW w:w="22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Matthew McIlwain</w:t>
            </w:r>
            <w:r>
              <w:rPr>
                <w:rFonts w:ascii="Arial" w:cs="Arial" w:eastAsia="Arial" w:hAnsi="Arial"/>
                <w:sz w:val="23"/>
                <w:szCs w:val="23"/>
                <w:color w:val="auto"/>
                <w:vertAlign w:val="superscript"/>
              </w:rPr>
              <w:t>(5)</w:t>
            </w:r>
          </w:p>
        </w:tc>
        <w:tc>
          <w:tcPr>
            <w:tcW w:w="1540" w:type="dxa"/>
            <w:vAlign w:val="bottom"/>
          </w:tcPr>
          <w:p>
            <w:pPr>
              <w:jc w:val="right"/>
              <w:spacing w:after="0"/>
              <w:rPr>
                <w:sz w:val="20"/>
                <w:szCs w:val="20"/>
                <w:color w:val="auto"/>
              </w:rPr>
            </w:pPr>
            <w:r>
              <w:rPr>
                <w:rFonts w:ascii="Arial" w:cs="Arial" w:eastAsia="Arial" w:hAnsi="Arial"/>
                <w:sz w:val="18"/>
                <w:szCs w:val="18"/>
                <w:color w:val="auto"/>
              </w:rPr>
              <w:t>6,379,155</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36,280</w:t>
            </w:r>
          </w:p>
        </w:tc>
        <w:tc>
          <w:tcPr>
            <w:tcW w:w="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6,342,875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Matthew Posard</w:t>
            </w:r>
            <w:r>
              <w:rPr>
                <w:rFonts w:ascii="Arial" w:cs="Arial" w:eastAsia="Arial" w:hAnsi="Arial"/>
                <w:sz w:val="23"/>
                <w:szCs w:val="23"/>
                <w:color w:val="auto"/>
                <w:vertAlign w:val="superscript"/>
              </w:rPr>
              <w:t>(6)</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368,476</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268,476</w:t>
            </w: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Matthew Murphy</w:t>
            </w:r>
            <w:r>
              <w:rPr>
                <w:rFonts w:ascii="Arial" w:cs="Arial" w:eastAsia="Arial" w:hAnsi="Arial"/>
                <w:sz w:val="23"/>
                <w:szCs w:val="23"/>
                <w:color w:val="auto"/>
                <w:vertAlign w:val="superscript"/>
              </w:rPr>
              <w:t>(7)</w:t>
            </w:r>
          </w:p>
        </w:tc>
        <w:tc>
          <w:tcPr>
            <w:tcW w:w="1540" w:type="dxa"/>
            <w:vAlign w:val="bottom"/>
          </w:tcPr>
          <w:p>
            <w:pPr>
              <w:jc w:val="right"/>
              <w:spacing w:after="0"/>
              <w:rPr>
                <w:sz w:val="20"/>
                <w:szCs w:val="20"/>
                <w:color w:val="auto"/>
              </w:rPr>
            </w:pPr>
            <w:r>
              <w:rPr>
                <w:rFonts w:ascii="Arial" w:cs="Arial" w:eastAsia="Arial" w:hAnsi="Arial"/>
                <w:sz w:val="18"/>
                <w:szCs w:val="18"/>
                <w:color w:val="auto"/>
              </w:rPr>
              <w:t>355,666</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326,526</w:t>
            </w:r>
          </w:p>
        </w:tc>
        <w:tc>
          <w:tcPr>
            <w:tcW w:w="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29,140</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Altman</w:t>
            </w:r>
            <w:r>
              <w:rPr>
                <w:rFonts w:ascii="Arial" w:cs="Arial" w:eastAsia="Arial" w:hAnsi="Arial"/>
                <w:sz w:val="23"/>
                <w:szCs w:val="23"/>
                <w:color w:val="auto"/>
                <w:vertAlign w:val="superscript"/>
              </w:rPr>
              <w:t>(8)</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4,190,935</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44,435</w:t>
            </w: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4,146,500</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70"/>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Nicholas Nelson</w:t>
            </w:r>
            <w:r>
              <w:rPr>
                <w:rFonts w:ascii="Arial" w:cs="Arial" w:eastAsia="Arial" w:hAnsi="Arial"/>
                <w:sz w:val="23"/>
                <w:szCs w:val="23"/>
                <w:color w:val="auto"/>
                <w:vertAlign w:val="superscript"/>
              </w:rPr>
              <w:t>(9)</w:t>
            </w:r>
          </w:p>
        </w:tc>
        <w:tc>
          <w:tcPr>
            <w:tcW w:w="1540" w:type="dxa"/>
            <w:vAlign w:val="bottom"/>
          </w:tcPr>
          <w:p>
            <w:pPr>
              <w:jc w:val="right"/>
              <w:spacing w:after="0"/>
              <w:rPr>
                <w:sz w:val="20"/>
                <w:szCs w:val="20"/>
                <w:color w:val="auto"/>
              </w:rPr>
            </w:pPr>
            <w:r>
              <w:rPr>
                <w:rFonts w:ascii="Arial" w:cs="Arial" w:eastAsia="Arial" w:hAnsi="Arial"/>
                <w:sz w:val="18"/>
                <w:szCs w:val="18"/>
                <w:color w:val="auto"/>
              </w:rPr>
              <w:t>816,315</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816,315</w:t>
            </w:r>
          </w:p>
        </w:tc>
        <w:tc>
          <w:tcPr>
            <w:tcW w:w="80" w:type="dxa"/>
            <w:vAlign w:val="bottom"/>
          </w:tcPr>
          <w:p>
            <w:pPr>
              <w:spacing w:after="0"/>
              <w:rPr>
                <w:sz w:val="23"/>
                <w:szCs w:val="23"/>
                <w:color w:val="auto"/>
              </w:rPr>
            </w:pPr>
          </w:p>
        </w:tc>
        <w:tc>
          <w:tcPr>
            <w:tcW w:w="224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Parag Mallick</w:t>
            </w:r>
            <w:r>
              <w:rPr>
                <w:rFonts w:ascii="Arial" w:cs="Arial" w:eastAsia="Arial" w:hAnsi="Arial"/>
                <w:sz w:val="23"/>
                <w:szCs w:val="23"/>
                <w:color w:val="auto"/>
                <w:vertAlign w:val="superscript"/>
              </w:rPr>
              <w:t>(10)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21,153,911</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464,019</w:t>
            </w: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20,689,892</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70"/>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 xml:space="preserve">Subramanian Sankar </w:t>
            </w:r>
            <w:r>
              <w:rPr>
                <w:rFonts w:ascii="Arial" w:cs="Arial" w:eastAsia="Arial" w:hAnsi="Arial"/>
                <w:sz w:val="23"/>
                <w:szCs w:val="23"/>
                <w:color w:val="auto"/>
                <w:vertAlign w:val="superscript"/>
              </w:rPr>
              <w:t>(11)</w:t>
            </w:r>
          </w:p>
        </w:tc>
        <w:tc>
          <w:tcPr>
            <w:tcW w:w="1540" w:type="dxa"/>
            <w:vAlign w:val="bottom"/>
          </w:tcPr>
          <w:p>
            <w:pPr>
              <w:jc w:val="right"/>
              <w:spacing w:after="0"/>
              <w:rPr>
                <w:sz w:val="20"/>
                <w:szCs w:val="20"/>
                <w:color w:val="auto"/>
              </w:rPr>
            </w:pPr>
            <w:r>
              <w:rPr>
                <w:rFonts w:ascii="Arial" w:cs="Arial" w:eastAsia="Arial" w:hAnsi="Arial"/>
                <w:sz w:val="18"/>
                <w:szCs w:val="18"/>
                <w:color w:val="auto"/>
              </w:rPr>
              <w:t>725,614</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725,614</w:t>
            </w:r>
          </w:p>
        </w:tc>
        <w:tc>
          <w:tcPr>
            <w:tcW w:w="80" w:type="dxa"/>
            <w:vAlign w:val="bottom"/>
          </w:tcPr>
          <w:p>
            <w:pPr>
              <w:spacing w:after="0"/>
              <w:rPr>
                <w:sz w:val="23"/>
                <w:szCs w:val="23"/>
                <w:color w:val="auto"/>
              </w:rPr>
            </w:pPr>
          </w:p>
        </w:tc>
        <w:tc>
          <w:tcPr>
            <w:tcW w:w="224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Sujal Patel</w:t>
            </w:r>
            <w:r>
              <w:rPr>
                <w:rFonts w:ascii="Arial" w:cs="Arial" w:eastAsia="Arial" w:hAnsi="Arial"/>
                <w:sz w:val="23"/>
                <w:szCs w:val="23"/>
                <w:color w:val="auto"/>
                <w:vertAlign w:val="superscript"/>
              </w:rPr>
              <w:t>(12)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17,497,732</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788,833</w:t>
            </w: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16,708,899</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70"/>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Vijay Pande</w:t>
            </w:r>
            <w:r>
              <w:rPr>
                <w:rFonts w:ascii="Arial" w:cs="Arial" w:eastAsia="Arial" w:hAnsi="Arial"/>
                <w:sz w:val="23"/>
                <w:szCs w:val="23"/>
                <w:color w:val="auto"/>
                <w:vertAlign w:val="superscript"/>
              </w:rPr>
              <w:t>(13)</w:t>
            </w:r>
          </w:p>
        </w:tc>
        <w:tc>
          <w:tcPr>
            <w:tcW w:w="1540" w:type="dxa"/>
            <w:vAlign w:val="bottom"/>
          </w:tcPr>
          <w:p>
            <w:pPr>
              <w:jc w:val="right"/>
              <w:spacing w:after="0"/>
              <w:rPr>
                <w:sz w:val="20"/>
                <w:szCs w:val="20"/>
                <w:color w:val="auto"/>
              </w:rPr>
            </w:pPr>
            <w:r>
              <w:rPr>
                <w:rFonts w:ascii="Arial" w:cs="Arial" w:eastAsia="Arial" w:hAnsi="Arial"/>
                <w:sz w:val="18"/>
                <w:szCs w:val="18"/>
                <w:color w:val="auto"/>
              </w:rPr>
              <w:t>36,280</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36,280</w:t>
            </w:r>
          </w:p>
        </w:tc>
        <w:tc>
          <w:tcPr>
            <w:tcW w:w="80" w:type="dxa"/>
            <w:vAlign w:val="bottom"/>
          </w:tcPr>
          <w:p>
            <w:pPr>
              <w:spacing w:after="0"/>
              <w:rPr>
                <w:sz w:val="23"/>
                <w:szCs w:val="23"/>
                <w:color w:val="auto"/>
              </w:rPr>
            </w:pPr>
          </w:p>
        </w:tc>
        <w:tc>
          <w:tcPr>
            <w:tcW w:w="224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Named Selling Securityholders</w:t>
            </w:r>
            <w:r>
              <w:rPr>
                <w:rFonts w:ascii="Arial" w:cs="Arial" w:eastAsia="Arial" w:hAnsi="Arial"/>
                <w:sz w:val="23"/>
                <w:szCs w:val="23"/>
                <w:color w:val="auto"/>
                <w:vertAlign w:val="superscript"/>
              </w:rPr>
              <w:t>(14)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56,537</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56,537</w:t>
            </w:r>
          </w:p>
        </w:tc>
        <w:tc>
          <w:tcPr>
            <w:tcW w:w="80" w:type="dxa"/>
            <w:vAlign w:val="bottom"/>
            <w:shd w:val="clear" w:color="auto" w:fill="CCEEFF"/>
          </w:tcPr>
          <w:p>
            <w:pPr>
              <w:spacing w:after="0"/>
              <w:rPr>
                <w:sz w:val="23"/>
                <w:szCs w:val="23"/>
                <w:color w:val="auto"/>
              </w:rPr>
            </w:pPr>
          </w:p>
        </w:tc>
        <w:tc>
          <w:tcPr>
            <w:tcW w:w="22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Total Shares</w:t>
            </w:r>
          </w:p>
        </w:tc>
        <w:tc>
          <w:tcPr>
            <w:tcW w:w="1540" w:type="dxa"/>
            <w:vAlign w:val="bottom"/>
          </w:tcPr>
          <w:p>
            <w:pPr>
              <w:jc w:val="right"/>
              <w:spacing w:after="0"/>
              <w:rPr>
                <w:sz w:val="20"/>
                <w:szCs w:val="20"/>
                <w:color w:val="auto"/>
              </w:rPr>
            </w:pPr>
            <w:r>
              <w:rPr>
                <w:rFonts w:ascii="Arial" w:cs="Arial" w:eastAsia="Arial" w:hAnsi="Arial"/>
                <w:sz w:val="18"/>
                <w:szCs w:val="18"/>
                <w:color w:val="auto"/>
              </w:rPr>
              <w:t>54,012,976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4,107,524</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49,905,452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38.9 %</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340" w:right="240" w:hanging="332"/>
        <w:spacing w:after="0" w:line="260" w:lineRule="auto"/>
        <w:tabs>
          <w:tab w:leader="none" w:pos="332"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number of shares of Common Stock reflects all shares of Common Stock acquired or issuable to a person pursuant to applicable grants previously made irrespective of whether such grants are exercisable, vested or convertible as of the Determination Date or will become exercisable, vested or convertible within 60 days after the Determination Date.</w:t>
      </w:r>
    </w:p>
    <w:p>
      <w:pPr>
        <w:ind w:left="340" w:right="60" w:hanging="332"/>
        <w:spacing w:after="0" w:line="276" w:lineRule="auto"/>
        <w:tabs>
          <w:tab w:leader="none" w:pos="332"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Consists of 435,368 shares of Common Stock issuable upon exercise of options held by Ms. Mowry. None of the 435,368 shares of Common Stock issuable upon exercise of options are exercisable within 60 days of August 9, 2021. 115,505 shares subject to the options vest on January 3, 2022 and 319,863 options to purchase shares of Common Stock vest monthly over 36 months thereafter, subject to Ms. Mowry’s continued service through each vesting date. If, during the period beginning three months before a change in control through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17" w:right="339" w:bottom="1440" w:gutter="0" w:footer="0" w:header="0"/>
        </w:sectPr>
      </w:pPr>
    </w:p>
    <w:bookmarkStart w:id="14" w:name="page15"/>
    <w:bookmarkEnd w:id="14"/>
    <w:p>
      <w:pPr>
        <w:ind w:left="332" w:right="20"/>
        <w:spacing w:after="0" w:line="269" w:lineRule="auto"/>
        <w:rPr>
          <w:sz w:val="20"/>
          <w:szCs w:val="20"/>
          <w:color w:val="auto"/>
        </w:rPr>
      </w:pPr>
      <w:r>
        <w:rPr>
          <w:rFonts w:ascii="Arial" w:cs="Arial" w:eastAsia="Arial" w:hAnsi="Arial"/>
          <w:sz w:val="13"/>
          <w:szCs w:val="13"/>
          <w:color w:val="auto"/>
        </w:rPr>
        <w:t>one-year anniversary of a change in control, Ms. Mowry’s employment with the Company is terminated either (x) by the Company without cause, and excluding by reason of Ms. Mowry’s death or disability or (y) by Ms. Mowry for good reason, then 100% of any unvested shares shall immediately vest. Ms. Mowry is the Chief Financial Officer and Treasurer of the Company.</w:t>
      </w:r>
    </w:p>
    <w:p>
      <w:pPr>
        <w:spacing w:after="0" w:line="1" w:lineRule="exact"/>
        <w:rPr>
          <w:sz w:val="20"/>
          <w:szCs w:val="20"/>
          <w:color w:val="auto"/>
        </w:rPr>
      </w:pPr>
    </w:p>
    <w:p>
      <w:pPr>
        <w:ind w:left="332" w:hanging="332"/>
        <w:spacing w:after="0" w:line="241" w:lineRule="auto"/>
        <w:tabs>
          <w:tab w:leader="none" w:pos="324"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of (i) 36,280 shares of Common Stock issuable upon exercise of options held by Mr. Nazem and (ii) 1,888,146 shares of Common Stock held by HAND Capital, LLC. None of the 36,280 shares of Common Stock issuable upon exercise of options are exercisable within 60 days of August 9, 2021. One hundred percent (100%) of the shares subject to the options vest on the earlier of (a) January 31, 2022 and (b) the day immediately before the date of the Company’s next annual meeting of stockholders, subject to Mr. Nazem’s continued status as a service provider through such vesting date. Mr. Nazem is the manager of HAND Capital, LLC and as such has voting and investment power over the shares held by HAND Capital, LLC. Mr. Nazem is a member of the board of directors of the Company.</w:t>
      </w:r>
    </w:p>
    <w:p>
      <w:pPr>
        <w:spacing w:after="0" w:line="1" w:lineRule="exact"/>
        <w:rPr>
          <w:rFonts w:ascii="Arial" w:cs="Arial" w:eastAsia="Arial" w:hAnsi="Arial"/>
          <w:sz w:val="14"/>
          <w:szCs w:val="14"/>
          <w:color w:val="auto"/>
        </w:rPr>
      </w:pPr>
    </w:p>
    <w:p>
      <w:pPr>
        <w:jc w:val="both"/>
        <w:ind w:left="332" w:right="40" w:hanging="332"/>
        <w:spacing w:after="0" w:line="241" w:lineRule="auto"/>
        <w:tabs>
          <w:tab w:leader="none" w:pos="324"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of 72,561 shares of Common Stock issuable upon exercise of options held by Ms. Epperly. 16,124 of the shares of Common Stock issuable upon exercise of options are exercisable within 60 days of August 9, 2021. The remaining shares subject to the options vest evenly on the last day of each month through January 31, 2024, subject to Ms. Epperly’s continued status as a service provider through each vesting date.</w:t>
      </w:r>
    </w:p>
    <w:p>
      <w:pPr>
        <w:spacing w:after="0" w:line="1" w:lineRule="exact"/>
        <w:rPr>
          <w:rFonts w:ascii="Arial" w:cs="Arial" w:eastAsia="Arial" w:hAnsi="Arial"/>
          <w:sz w:val="14"/>
          <w:szCs w:val="14"/>
          <w:color w:val="auto"/>
        </w:rPr>
      </w:pPr>
    </w:p>
    <w:p>
      <w:pPr>
        <w:ind w:left="332" w:right="20" w:hanging="332"/>
        <w:spacing w:after="0" w:line="241" w:lineRule="auto"/>
        <w:tabs>
          <w:tab w:leader="none" w:pos="324"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of (i) 322,105 shares of Common Stock held directly by Mr. McIlwain, (ii) 36,280 shares of Common Stock issuable upon exercise of options held by Mr. McIlwain, (iii) 5,798,394 shares of Common Stock held by Madrona Fund VI, and (iv) 222,376 shares of Common Stock held by Madrona Fund VI-A. None of the 36,280 shares of Common Stock issuable upon exercise of options are exercisable within 60 days of August 9, 2021. One hundred percent (100%) of the shares subject to the options vest on the earlier of (a) January 31, 2022 and (b) the day immediately before the date of the Company’s next annual meeting of stockholders, subject to Mr. McIlwain’s continued status as a service provider through such vesting date. Mr. McIlwain is a member of the board of directors of the Company.</w:t>
      </w:r>
    </w:p>
    <w:p>
      <w:pPr>
        <w:spacing w:after="0" w:line="1" w:lineRule="exact"/>
        <w:rPr>
          <w:rFonts w:ascii="Arial" w:cs="Arial" w:eastAsia="Arial" w:hAnsi="Arial"/>
          <w:sz w:val="14"/>
          <w:szCs w:val="14"/>
          <w:color w:val="auto"/>
        </w:rPr>
      </w:pPr>
    </w:p>
    <w:p>
      <w:pPr>
        <w:ind w:left="332" w:right="120" w:hanging="332"/>
        <w:spacing w:after="0" w:line="260" w:lineRule="auto"/>
        <w:tabs>
          <w:tab w:leader="none" w:pos="324" w:val="left"/>
        </w:tabs>
        <w:numPr>
          <w:ilvl w:val="0"/>
          <w:numId w:val="6"/>
        </w:numPr>
        <w:rPr>
          <w:rFonts w:ascii="Arial" w:cs="Arial" w:eastAsia="Arial" w:hAnsi="Arial"/>
          <w:sz w:val="13"/>
          <w:szCs w:val="13"/>
          <w:color w:val="auto"/>
        </w:rPr>
      </w:pPr>
      <w:r>
        <w:rPr>
          <w:rFonts w:ascii="Arial" w:cs="Arial" w:eastAsia="Arial" w:hAnsi="Arial"/>
          <w:sz w:val="13"/>
          <w:szCs w:val="13"/>
          <w:color w:val="auto"/>
        </w:rPr>
        <w:t>Consists of (i) 268,476 shares of Common Stock issuable upon exercise of options held by Mr. Posard and (ii) 100,000 shares of Common Stock held by the Matthew and Elizabeth Posard Trust (the “Posard Trust”). 166,033 of the shares of Common Stock issuable upon exercise of options are exercisable within 60 days of August 9, 2021. Of the remaining shares subject to the options (i) 18,544 shares of Common Stock that are issuable upon the exercise of options vest evenly on the 1st of each month through February 1, 2022, (ii) 47,619 shares of Common Stock that are issuable upon the exercise of options vest evenly on the 1st of each month through September 1, 2024, and (iii) 36,280 shares of Common Stock that are issuable upon exercise of options vest on the earlier of (a) January 31, 2022 and (b) the day immediately before the date of the Company’s next annual meeting of stockholders, subject to Mr. Posard’s continued status as a service provider through each vesting date. Mr. Posard is a member of the board of directors of the Company.</w:t>
      </w:r>
    </w:p>
    <w:p>
      <w:pPr>
        <w:ind w:left="332" w:right="100" w:hanging="332"/>
        <w:spacing w:after="0" w:line="241" w:lineRule="auto"/>
        <w:tabs>
          <w:tab w:leader="none" w:pos="324"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of (i) 29,140 shares of Common Stock held by the Murphy Family Trust and (ii) 326,526 shares of Common Stock issuable upon exercise of options held by Mr. Murphy. None of the 326,526 shares of Common Stock issuable upon exercise of options are exercisable within 60 days of August 9, 2021. 81,631 shares subject to the options vest on April 1, 2022 and 244,895 options to purchase shares of Common Stock vest monthly over 36 months thereafter, subject to Mr. Murphy’s continued service through each vesting date. If, during the period beginning three months before a change in control through the one-year anniversary of a change in control, Mr. Murphy’s employment with the Company is terminated either (x) by the Company without cause, and excluding by reason of Mr. Murphy’s death or disability or (y) by Mr. Murphy for good reason, then 100% of any unvested shares shall immediately vest. Mr. Murphy is the General Counsel of the Company.</w:t>
      </w:r>
    </w:p>
    <w:p>
      <w:pPr>
        <w:spacing w:after="0" w:line="2" w:lineRule="exact"/>
        <w:rPr>
          <w:rFonts w:ascii="Arial" w:cs="Arial" w:eastAsia="Arial" w:hAnsi="Arial"/>
          <w:sz w:val="14"/>
          <w:szCs w:val="14"/>
          <w:color w:val="auto"/>
        </w:rPr>
      </w:pPr>
    </w:p>
    <w:p>
      <w:pPr>
        <w:ind w:left="332" w:right="20" w:hanging="332"/>
        <w:spacing w:after="0" w:line="241" w:lineRule="auto"/>
        <w:tabs>
          <w:tab w:leader="none" w:pos="324"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of (i) 4,146,500 shares held in the name of ARYA’s sponsor, ARYA Sciences Holdings III, a Cayman Islands exempted limited company (“ARYA’s Sponsor”) and (ii) 44,435 shares of Common Stock issuable upon exercise of options held by Mr. Altman. 3,702 of the shares of Common Stock issuable upon exercise of options are exercisable within 60 days of August 9, 2021. The remaining shares subject to the options vest evenly on the ninth day of each month through June 9, 2024. ARYA’s Sponsor is governed by a board of directors consisting of two directors, Messrs. Stone and Altman. As such, Messrs. Stone and Altman have voting and investment discretion with respect to the shares held of record by ARYA’s Sponsor and may be deemed to have shared beneficial ownership of such shares. The address for the persons and entities set forth herein is 51 Astor Place, 10th Floor, New York, NY 10003. Mr. Altman is a member of the board of directors of the Company.</w:t>
      </w:r>
    </w:p>
    <w:p>
      <w:pPr>
        <w:spacing w:after="0" w:line="2" w:lineRule="exact"/>
        <w:rPr>
          <w:rFonts w:ascii="Arial" w:cs="Arial" w:eastAsia="Arial" w:hAnsi="Arial"/>
          <w:sz w:val="14"/>
          <w:szCs w:val="14"/>
          <w:color w:val="auto"/>
        </w:rPr>
      </w:pPr>
    </w:p>
    <w:p>
      <w:pPr>
        <w:ind w:left="332" w:right="180" w:hanging="332"/>
        <w:spacing w:after="0" w:line="260" w:lineRule="auto"/>
        <w:tabs>
          <w:tab w:leader="none" w:pos="324" w:val="left"/>
        </w:tabs>
        <w:numPr>
          <w:ilvl w:val="0"/>
          <w:numId w:val="6"/>
        </w:numPr>
        <w:rPr>
          <w:rFonts w:ascii="Arial" w:cs="Arial" w:eastAsia="Arial" w:hAnsi="Arial"/>
          <w:sz w:val="13"/>
          <w:szCs w:val="13"/>
          <w:color w:val="auto"/>
        </w:rPr>
      </w:pPr>
      <w:r>
        <w:rPr>
          <w:rFonts w:ascii="Arial" w:cs="Arial" w:eastAsia="Arial" w:hAnsi="Arial"/>
          <w:sz w:val="13"/>
          <w:szCs w:val="13"/>
          <w:color w:val="auto"/>
        </w:rPr>
        <w:t>Consists of 816,315 shares of Common Stock issuable upon exercise of options held by Mr. Nelson. 204,078 of the shares of Common Stock issuable upon exercise of options are exercisable within 60 days of August 9, 2021. The remaining 612,237 options to purchase shares of Common Stock vest monthly over 36 months thereafter, subject to Mr. Nelson’s continued service through each vesting date. If, during the period beginning three months before a change in control through the one-year anniversary of a change in control, Mr. Nelson’s employment with the Company is terminated either (x) by the Company without cause, and excluding by reason of Mr. Nelson’s death or disability or (y) by Mr. Nelson for good reason, then 100% of any unvested shares shall immediately vest. Mr. Nelson is the Chief Business Officer and Senior Vice President, Business Development.</w:t>
      </w:r>
    </w:p>
    <w:p>
      <w:pPr>
        <w:ind w:left="332" w:right="20" w:hanging="332"/>
        <w:spacing w:after="0" w:line="241" w:lineRule="auto"/>
        <w:tabs>
          <w:tab w:leader="none" w:pos="329"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of (i) 20,689,892 shares of Common Stock and (ii) 464,019 shares of Common Stock issuable upon exercise of options held by Dr. Mallick. None of the 464,019 shares of Common Stock issuable upon exercise of options are exercisable within 60 days of August 9, 2021. 116,005 shares subject to the options vest on January 31, 2022 and 348,014 options to purchase shares of Common Stock vest monthly over 36 months thereafter, subject to Dr. Mallick’s continued service through each vesting date. If, during the period beginning three months before a change in control through the one-year anniversary of a change in control, Dr. Mallick’s employment with the Company is terminated either (x) by the Company without cause, and excluding by reason of Dr. Mallick’s death or disability or (y) by Dr. Mallick for good reason, then 100% of any unvested shares shall immediately vest. Dr. Mallick is the Chief Scientist and a member of the board of directors of the Company.</w:t>
      </w:r>
    </w:p>
    <w:p>
      <w:pPr>
        <w:spacing w:after="0" w:line="2" w:lineRule="exact"/>
        <w:rPr>
          <w:rFonts w:ascii="Arial" w:cs="Arial" w:eastAsia="Arial" w:hAnsi="Arial"/>
          <w:sz w:val="14"/>
          <w:szCs w:val="14"/>
          <w:color w:val="auto"/>
        </w:rPr>
      </w:pPr>
    </w:p>
    <w:p>
      <w:pPr>
        <w:ind w:left="332" w:right="180" w:hanging="332"/>
        <w:spacing w:after="0" w:line="281" w:lineRule="auto"/>
        <w:tabs>
          <w:tab w:leader="none" w:pos="323" w:val="left"/>
        </w:tabs>
        <w:numPr>
          <w:ilvl w:val="0"/>
          <w:numId w:val="6"/>
        </w:numPr>
        <w:rPr>
          <w:rFonts w:ascii="Arial" w:cs="Arial" w:eastAsia="Arial" w:hAnsi="Arial"/>
          <w:sz w:val="12"/>
          <w:szCs w:val="12"/>
          <w:color w:val="auto"/>
        </w:rPr>
      </w:pPr>
      <w:r>
        <w:rPr>
          <w:rFonts w:ascii="Arial" w:cs="Arial" w:eastAsia="Arial" w:hAnsi="Arial"/>
          <w:sz w:val="12"/>
          <w:szCs w:val="12"/>
          <w:color w:val="auto"/>
        </w:rPr>
        <w:t>Consists of 725,614 shares of Common Stock issuable upon exercise of options held by Dr. Sankar. None of the 725,614 shares of Common Stock issuable upon exercise of options are exercisable within 60 days of Auugust 9, 2021. 192,509 shares subject to the options vest on January 3, 2022 and 533,105 options to purchase shares of Common Stock vest monthly over 36 months thereafter, subject to Dr. Sankar’s continued service through each vesting date. If, during the period beginning three months before a change in control through the one-year anniversary of a change in control, Dr. Sankar’s employment with the Company is terminated either (x) by the Company without cause, and excluding by reason of Dr. Sankar’s death or disability or (y) by Dr. Sankar for good reason, then 100% of any unvested shares shall immediately vest. Dr. Sankar is the Senior Vice President, Product Development of the Company.</w:t>
      </w:r>
    </w:p>
    <w:p>
      <w:pPr>
        <w:spacing w:after="0" w:line="2" w:lineRule="exact"/>
        <w:rPr>
          <w:rFonts w:ascii="Arial" w:cs="Arial" w:eastAsia="Arial" w:hAnsi="Arial"/>
          <w:sz w:val="12"/>
          <w:szCs w:val="12"/>
          <w:color w:val="auto"/>
        </w:rPr>
      </w:pPr>
    </w:p>
    <w:p>
      <w:pPr>
        <w:ind w:left="332" w:right="160" w:hanging="332"/>
        <w:spacing w:after="0" w:line="255" w:lineRule="auto"/>
        <w:tabs>
          <w:tab w:leader="none" w:pos="329"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of (i) 9,614,388 shares of Common Stock directly owned by Mr. Patel, (ii) 5,280,476 shares of Common Stock held by PFV I, LLC, (iii) 1,814,035 shares of Common Stock held by the Sujal Patel 2020 Children's Trust, u/a/d December 3, 2020, and (iv) 788,833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32"/>
          </w:cols>
          <w:pgMar w:left="328" w:top="1417" w:right="339" w:bottom="1440" w:gutter="0" w:footer="0" w:header="0"/>
        </w:sectPr>
      </w:pPr>
    </w:p>
    <w:bookmarkStart w:id="15" w:name="page16"/>
    <w:bookmarkEnd w:id="15"/>
    <w:p>
      <w:pPr>
        <w:ind w:left="332"/>
        <w:spacing w:after="0" w:line="244" w:lineRule="auto"/>
        <w:rPr>
          <w:sz w:val="20"/>
          <w:szCs w:val="20"/>
          <w:color w:val="auto"/>
        </w:rPr>
      </w:pPr>
      <w:r>
        <w:rPr>
          <w:rFonts w:ascii="Arial" w:cs="Arial" w:eastAsia="Arial" w:hAnsi="Arial"/>
          <w:sz w:val="14"/>
          <w:szCs w:val="14"/>
          <w:color w:val="auto"/>
        </w:rPr>
        <w:t>shares of Common Stock issuable upon exercise of options held by Mr. Patel. None of the 788,833 shares of Common Stock issuable upon exercise of options are exercisable within 60 days of August 9, 2021. 197,208 options to purchase shares of Common Stock vest on January 31, 2022 and 591,625 options to purchase shares of Common Stock vest monthly over 36 months thereafter, subject to Mr. Patel’s continued service through each vesting date. If, during the period beginning three months before a change in control through the one-year anniversary of a change in control, Mr. Patel’s employment with the Company is terminated either (x) by the Company without cause, and excluding by reason of Mr. Patel’s death or disability or (y) by Mr. Patel for good reason, then 100% of any unvested shares shall immediately vest. Mr. Patel is the President, Chief Executive Officer, Secretary and a member of the board of directors of the Company.</w:t>
      </w:r>
    </w:p>
    <w:p>
      <w:pPr>
        <w:spacing w:after="0" w:line="2" w:lineRule="exact"/>
        <w:rPr>
          <w:sz w:val="20"/>
          <w:szCs w:val="20"/>
          <w:color w:val="auto"/>
        </w:rPr>
      </w:pPr>
    </w:p>
    <w:p>
      <w:pPr>
        <w:ind w:left="332" w:right="160" w:hanging="332"/>
        <w:spacing w:after="0" w:line="241" w:lineRule="auto"/>
        <w:tabs>
          <w:tab w:leader="none" w:pos="329" w:val="left"/>
        </w:tabs>
        <w:numPr>
          <w:ilvl w:val="0"/>
          <w:numId w:val="7"/>
        </w:numPr>
        <w:rPr>
          <w:rFonts w:ascii="Arial" w:cs="Arial" w:eastAsia="Arial" w:hAnsi="Arial"/>
          <w:sz w:val="14"/>
          <w:szCs w:val="14"/>
          <w:color w:val="auto"/>
        </w:rPr>
      </w:pPr>
      <w:r>
        <w:rPr>
          <w:rFonts w:ascii="Arial" w:cs="Arial" w:eastAsia="Arial" w:hAnsi="Arial"/>
          <w:sz w:val="14"/>
          <w:szCs w:val="14"/>
          <w:color w:val="auto"/>
        </w:rPr>
        <w:t>Consists of 36,280 shares of Common Stock issuable upon exercise of options held by Mr. Pande. None of the 36,280 shares of Common Stock issuable upon exercise of options are exercisable within 60 days of August 9, 2021. One hundred percent (100%) of the options to purchase shares of Common Stock vest on the earlier of (a) January 31, 2022 and (b) the day immediately before the date of the Company’s next annual meeting of stockholders, subject to Mr. Pande’s continued status as a service provider through such vesting date. Mr. Pande is a member of the board of directors of the Company.</w:t>
      </w:r>
    </w:p>
    <w:p>
      <w:pPr>
        <w:spacing w:after="0" w:line="1" w:lineRule="exact"/>
        <w:rPr>
          <w:rFonts w:ascii="Arial" w:cs="Arial" w:eastAsia="Arial" w:hAnsi="Arial"/>
          <w:sz w:val="14"/>
          <w:szCs w:val="14"/>
          <w:color w:val="auto"/>
        </w:rPr>
      </w:pPr>
    </w:p>
    <w:p>
      <w:pPr>
        <w:ind w:left="332" w:right="360" w:hanging="332"/>
        <w:spacing w:after="0" w:line="255" w:lineRule="auto"/>
        <w:tabs>
          <w:tab w:leader="none" w:pos="329"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the following named non-affiliate selling securityholders, each of whom own at least 1,000 shares of Common Stock: Vadim Lobanov and Shunqiang Wang. The named non-affiliate selling securityholders each own less than 1% of the Registrant’s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12"/>
          </w:cols>
          <w:pgMar w:left="328" w:top="1417"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43"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We are registering the Shares covered by this Reoffer Prospectus to permit the selling securityholders to conduct public secondary trading of the Shares from time to time after the date of this Reoffer Prospectus. We will not receive any of the proceeds from the sale of the Shares offered by this Reoffer Prospectus. The aggregate proceeds to the selling securityholders from the sale of the Shares will be the purchase price of the Shares less any discounts and commissions. We will not pay any brokers’ or underwriters’ discounts and commissions in connection with the registration and sale of the Shares covered by this Reoffer Prospectus. The selling securityholders reserve the right to accept and, together with their respective agents, to reject, any proposed purchases of the Shares to be made directly or through agents.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Shares offered by this Reoffer Prospectus may be sold from time to time to purchasers:</w:t>
      </w:r>
    </w:p>
    <w:p>
      <w:pPr>
        <w:spacing w:after="0" w:line="19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directly by the selling securityholders;</w:t>
      </w:r>
    </w:p>
    <w:p>
      <w:pPr>
        <w:spacing w:after="0" w:line="198" w:lineRule="exact"/>
        <w:rPr>
          <w:rFonts w:ascii="Arial" w:cs="Arial" w:eastAsia="Arial" w:hAnsi="Arial"/>
          <w:sz w:val="18"/>
          <w:szCs w:val="18"/>
          <w:color w:val="auto"/>
        </w:rPr>
      </w:pPr>
    </w:p>
    <w:p>
      <w:pPr>
        <w:ind w:left="660" w:right="360" w:hanging="328"/>
        <w:spacing w:after="0" w:line="30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underwriters, broker-dealers or agents, who may receive compensation in the form of discounts, commissions or agent’s commissions from the selling securityholders or the purchasers of the Shares;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98" w:lineRule="exact"/>
        <w:rPr>
          <w:sz w:val="20"/>
          <w:szCs w:val="20"/>
          <w:color w:val="auto"/>
        </w:rPr>
      </w:pPr>
    </w:p>
    <w:p>
      <w:pPr>
        <w:ind w:right="40" w:firstLine="324"/>
        <w:spacing w:after="0" w:line="305" w:lineRule="auto"/>
        <w:rPr>
          <w:sz w:val="20"/>
          <w:szCs w:val="20"/>
          <w:color w:val="auto"/>
        </w:rPr>
      </w:pPr>
      <w:r>
        <w:rPr>
          <w:rFonts w:ascii="Arial" w:cs="Arial" w:eastAsia="Arial" w:hAnsi="Arial"/>
          <w:sz w:val="17"/>
          <w:szCs w:val="17"/>
          <w:color w:val="auto"/>
        </w:rPr>
        <w:t>Any underwriters, broker-dealers or agents who participate in the sale or distribution of the Shares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Exchange Act. We will make copies of this Reoffer Prospectus available to the selling securityholders for the purpose of satisfying the prospectus delivery requirements of the Securities Act. To our knowledge, there are currently no plans, arrangements or understandings between the selling securityholders and any underwriter, broker-dealer or agent regarding the sale of the Shares by the selling securityholders.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Shares may be sold in one or more transactions at:</w:t>
      </w:r>
    </w:p>
    <w:p>
      <w:pPr>
        <w:spacing w:after="0" w:line="19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fixed prices;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prevailing market prices at the time of sale;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prices related to such prevailing market prices;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varying prices determined at the time of sale; or</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sales may be effected in one or more transactions:</w:t>
      </w:r>
    </w:p>
    <w:p>
      <w:pPr>
        <w:spacing w:after="0" w:line="19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any national securities exchange or quotation service on which the Shares may be listed or quoted at the time of sale, including Nasdaq;</w:t>
      </w:r>
    </w:p>
    <w:p>
      <w:pPr>
        <w:spacing w:after="0" w:line="209"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transactions otherwise than on such exchanges or services or in the over-the-counter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17" w:right="339" w:bottom="1440" w:gutter="0" w:footer="0" w:header="0"/>
        </w:sectPr>
      </w:pPr>
    </w:p>
    <w:bookmarkStart w:id="17" w:name="page18"/>
    <w:bookmarkEnd w:id="17"/>
    <w:p>
      <w:pPr>
        <w:jc w:val="both"/>
        <w:ind w:left="660" w:right="80" w:hanging="328"/>
        <w:spacing w:after="0" w:line="29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through trading plans entered into by the selling securityholder pursuant to Rule 10b5-1 under the Exchange Act that are in place at the time of an offering pursuant to this Reoffer Prospectus and any applicable prospectus supplement hereto that provide for periodic sales of their securities on the basis of parameters described in such trading plans;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method permitted by applicable law; or</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through any combination of the foregoing.</w:t>
      </w:r>
    </w:p>
    <w:p>
      <w:pPr>
        <w:spacing w:after="0" w:line="198" w:lineRule="exact"/>
        <w:rPr>
          <w:sz w:val="20"/>
          <w:szCs w:val="20"/>
          <w:color w:val="auto"/>
        </w:rPr>
      </w:pPr>
    </w:p>
    <w:p>
      <w:pPr>
        <w:ind w:right="220" w:firstLine="324"/>
        <w:spacing w:after="0" w:line="308" w:lineRule="auto"/>
        <w:rPr>
          <w:sz w:val="20"/>
          <w:szCs w:val="20"/>
          <w:color w:val="auto"/>
        </w:rPr>
      </w:pPr>
      <w:r>
        <w:rPr>
          <w:rFonts w:ascii="Arial" w:cs="Arial" w:eastAsia="Arial" w:hAnsi="Arial"/>
          <w:sz w:val="18"/>
          <w:szCs w:val="18"/>
          <w:color w:val="auto"/>
        </w:rPr>
        <w:t>These transactions may include block transactions or crosses. Crosses are transactions in which the same broker acts as an agent on both sides of the trade.</w:t>
      </w:r>
    </w:p>
    <w:p>
      <w:pPr>
        <w:spacing w:after="0" w:line="117" w:lineRule="exact"/>
        <w:rPr>
          <w:sz w:val="20"/>
          <w:szCs w:val="20"/>
          <w:color w:val="auto"/>
        </w:rPr>
      </w:pPr>
    </w:p>
    <w:p>
      <w:pPr>
        <w:ind w:right="40" w:firstLine="324"/>
        <w:spacing w:after="0" w:line="312" w:lineRule="auto"/>
        <w:rPr>
          <w:sz w:val="20"/>
          <w:szCs w:val="20"/>
          <w:color w:val="auto"/>
        </w:rPr>
      </w:pPr>
      <w:r>
        <w:rPr>
          <w:rFonts w:ascii="Arial" w:cs="Arial" w:eastAsia="Arial" w:hAnsi="Arial"/>
          <w:sz w:val="17"/>
          <w:szCs w:val="17"/>
          <w:color w:val="auto"/>
        </w:rPr>
        <w:t>At the time a particular offering of the Shares is made, a prospectus supplement, if required, will be distributed, which will set forth the name of the selling securityholders, the aggregate amount of Shares being offered and the terms of the offering, including, to the extent required, (1) the name or names of any underwriters, broker-dealers or agents, (2) any discounts, commissions and other terms constituting compensation from the selling securityholders and (3) any discounts, commissions or concessions allowed or reallowed to be paid to broker-dealers.</w:t>
      </w:r>
    </w:p>
    <w:p>
      <w:pPr>
        <w:spacing w:after="0" w:line="118" w:lineRule="exact"/>
        <w:rPr>
          <w:sz w:val="20"/>
          <w:szCs w:val="20"/>
          <w:color w:val="auto"/>
        </w:rPr>
      </w:pPr>
    </w:p>
    <w:p>
      <w:pPr>
        <w:ind w:firstLine="324"/>
        <w:spacing w:after="0" w:line="286" w:lineRule="auto"/>
        <w:rPr>
          <w:sz w:val="20"/>
          <w:szCs w:val="20"/>
          <w:color w:val="auto"/>
        </w:rPr>
      </w:pPr>
      <w:r>
        <w:rPr>
          <w:rFonts w:ascii="Arial" w:cs="Arial" w:eastAsia="Arial" w:hAnsi="Arial"/>
          <w:sz w:val="18"/>
          <w:szCs w:val="18"/>
          <w:color w:val="auto"/>
        </w:rPr>
        <w:t>The selling securityholders will act independently of us in making decisions with respect to the timing, manner, and size of each resale or other transfer. There can be no assurance that the selling securityholders will sell any or all of the Shares under this Reoffer Prospectus. Further, we cannot assure you that the selling securityholders will not transfer, distribute, devise or gift the Shares by other means not described in this Reoffer Prospectus. In addition, any Shares covered by this Reoffer Prospectus that qualify for sale under Rule 144 of the Securities Act may be sold under Rule 144 rather than under this Reoffer Prospectus. The Shares may be sold in some states only through registered or licensed brokers or dealers. In addition, in some states the Shares may not be sold unless they have been registered or qualified for sale or an exemption from registration or qualification is available and complied with.</w:t>
      </w:r>
    </w:p>
    <w:p>
      <w:pPr>
        <w:spacing w:after="0" w:line="136" w:lineRule="exact"/>
        <w:rPr>
          <w:sz w:val="20"/>
          <w:szCs w:val="20"/>
          <w:color w:val="auto"/>
        </w:rPr>
      </w:pPr>
    </w:p>
    <w:p>
      <w:pPr>
        <w:ind w:right="80" w:firstLine="324"/>
        <w:spacing w:after="0" w:line="288" w:lineRule="auto"/>
        <w:rPr>
          <w:sz w:val="20"/>
          <w:szCs w:val="20"/>
          <w:color w:val="auto"/>
        </w:rPr>
      </w:pPr>
      <w:r>
        <w:rPr>
          <w:rFonts w:ascii="Arial" w:cs="Arial" w:eastAsia="Arial" w:hAnsi="Arial"/>
          <w:sz w:val="18"/>
          <w:szCs w:val="18"/>
          <w:color w:val="auto"/>
        </w:rPr>
        <w:t>The selling securityholders and any other person participating in the sale of the Shares will be subject to the Exchange Act. The Exchange Act rules include, without limitation, Regulation M, which may limit the timing of purchases and sales of any of the Shares by the selling securityholders and any other person. In addition, Regulation M may restrict the ability of any person engaged in the distribution of the Shares to engage in market-making activities with respect to the particular securities being distributed. This may affect the marketability of the Shares and the ability of any person or entity to engage in market-making activities with respect to the Shares.</w:t>
      </w:r>
    </w:p>
    <w:p>
      <w:pPr>
        <w:spacing w:after="0" w:line="135" w:lineRule="exact"/>
        <w:rPr>
          <w:sz w:val="20"/>
          <w:szCs w:val="20"/>
          <w:color w:val="auto"/>
        </w:rPr>
      </w:pPr>
    </w:p>
    <w:p>
      <w:pPr>
        <w:ind w:right="280" w:firstLine="324"/>
        <w:spacing w:after="0" w:line="308" w:lineRule="auto"/>
        <w:rPr>
          <w:sz w:val="20"/>
          <w:szCs w:val="20"/>
          <w:color w:val="auto"/>
        </w:rPr>
      </w:pPr>
      <w:r>
        <w:rPr>
          <w:rFonts w:ascii="Arial" w:cs="Arial" w:eastAsia="Arial" w:hAnsi="Arial"/>
          <w:sz w:val="18"/>
          <w:szCs w:val="18"/>
          <w:color w:val="auto"/>
        </w:rPr>
        <w:t>Once sold under the registration statement of which this Reoffer Prospectus forms a part, the shares of Common Stock will be freely tradable in the hands of persons other than our affiliates.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Restrictions</w:t>
      </w:r>
    </w:p>
    <w:p>
      <w:pPr>
        <w:spacing w:after="0" w:line="202" w:lineRule="exact"/>
        <w:rPr>
          <w:sz w:val="20"/>
          <w:szCs w:val="20"/>
          <w:color w:val="auto"/>
        </w:rPr>
      </w:pPr>
    </w:p>
    <w:p>
      <w:pPr>
        <w:ind w:right="180" w:firstLine="324"/>
        <w:spacing w:after="0" w:line="295" w:lineRule="auto"/>
        <w:rPr>
          <w:sz w:val="20"/>
          <w:szCs w:val="20"/>
          <w:color w:val="auto"/>
        </w:rPr>
      </w:pPr>
      <w:r>
        <w:rPr>
          <w:rFonts w:ascii="Arial" w:cs="Arial" w:eastAsia="Arial" w:hAnsi="Arial"/>
          <w:sz w:val="18"/>
          <w:szCs w:val="18"/>
          <w:color w:val="auto"/>
        </w:rPr>
        <w:t>Of the shares of Common Stock that may be offered or sold by selling securityholders identified in this Reoffer Prospectus, certain of the selling securityholders are subject to lock-up restrictions, subject to certain exceptions, for a period of time following the closing the Business Combination with respect to 3,736,563 of those shares pursuant to the Company's bylaws and/or other agreements.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43" w:lineRule="exact"/>
        <w:rPr>
          <w:sz w:val="20"/>
          <w:szCs w:val="20"/>
          <w:color w:val="auto"/>
        </w:rPr>
      </w:pPr>
    </w:p>
    <w:p>
      <w:pPr>
        <w:ind w:right="380" w:firstLine="324"/>
        <w:spacing w:after="0" w:line="308" w:lineRule="auto"/>
        <w:rPr>
          <w:sz w:val="20"/>
          <w:szCs w:val="20"/>
          <w:color w:val="auto"/>
        </w:rPr>
      </w:pPr>
      <w:r>
        <w:rPr>
          <w:rFonts w:ascii="Arial" w:cs="Arial" w:eastAsia="Arial" w:hAnsi="Arial"/>
          <w:sz w:val="18"/>
          <w:szCs w:val="18"/>
          <w:color w:val="auto"/>
        </w:rPr>
        <w:t>The validity of the Shares offered hereby has been passed upon for us by Wilson Sonsini Goodrich &amp; Rosati, Professional Corporation, Palo Alto, California. Certain members of, and investment partnerships comprised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435" w:right="359" w:bottom="1440" w:gutter="0" w:footer="0" w:header="0"/>
        </w:sectPr>
      </w:pPr>
    </w:p>
    <w:bookmarkStart w:id="18" w:name="page19"/>
    <w:bookmarkEnd w:id="18"/>
    <w:p>
      <w:pPr>
        <w:ind w:right="240"/>
        <w:spacing w:after="0" w:line="308" w:lineRule="auto"/>
        <w:rPr>
          <w:sz w:val="20"/>
          <w:szCs w:val="20"/>
          <w:color w:val="auto"/>
        </w:rPr>
      </w:pPr>
      <w:r>
        <w:rPr>
          <w:rFonts w:ascii="Arial" w:cs="Arial" w:eastAsia="Arial" w:hAnsi="Arial"/>
          <w:sz w:val="18"/>
          <w:szCs w:val="18"/>
          <w:color w:val="auto"/>
        </w:rPr>
        <w:t>members of, and persons associated with, Wilson Sonsini Goodrich &amp; Rosati, Professional Corporation, directly or indirectly, own less than 0.2% of the outstanding shares of our Common Stock.</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43" w:lineRule="exact"/>
        <w:rPr>
          <w:sz w:val="20"/>
          <w:szCs w:val="20"/>
          <w:color w:val="auto"/>
        </w:rPr>
      </w:pPr>
    </w:p>
    <w:p>
      <w:pPr>
        <w:ind w:right="40" w:firstLine="324"/>
        <w:spacing w:after="0" w:line="288" w:lineRule="auto"/>
        <w:rPr>
          <w:sz w:val="20"/>
          <w:szCs w:val="20"/>
          <w:color w:val="auto"/>
        </w:rPr>
      </w:pPr>
      <w:r>
        <w:rPr>
          <w:rFonts w:ascii="Arial" w:cs="Arial" w:eastAsia="Arial" w:hAnsi="Arial"/>
          <w:sz w:val="18"/>
          <w:szCs w:val="18"/>
          <w:color w:val="auto"/>
        </w:rPr>
        <w:t>The financial statements of Nautilus Biotechnology, Inc. as of December 31, 2020 and 2019 and for each of the two years in the period ended December 31, 2020 incorporated in this Reoffer Prospectus by reference to Nautilus Biotechnology Inc.’s final prospectus filed with the Commission pursuant to Rule 424(b) under the Securities Act on August 6, 2021, in connection with the Company’s Form S-1, have been so incorporated in reliance on the report of PricewaterhouseCoopers LLP, an independent registered public accounting firm, given on the authority of said firm as experts in auditing and accounting.</w:t>
      </w:r>
    </w:p>
    <w:p>
      <w:pPr>
        <w:spacing w:after="0" w:line="135" w:lineRule="exact"/>
        <w:rPr>
          <w:sz w:val="20"/>
          <w:szCs w:val="20"/>
          <w:color w:val="auto"/>
        </w:rPr>
      </w:pPr>
    </w:p>
    <w:p>
      <w:pPr>
        <w:ind w:right="280" w:firstLine="324"/>
        <w:spacing w:after="0" w:line="290" w:lineRule="auto"/>
        <w:rPr>
          <w:sz w:val="20"/>
          <w:szCs w:val="20"/>
          <w:color w:val="auto"/>
        </w:rPr>
      </w:pPr>
      <w:r>
        <w:rPr>
          <w:rFonts w:ascii="Arial" w:cs="Arial" w:eastAsia="Arial" w:hAnsi="Arial"/>
          <w:sz w:val="18"/>
          <w:szCs w:val="18"/>
          <w:color w:val="auto"/>
        </w:rPr>
        <w:t>The financial statements of ARYA Sciences Acquisition Corp III as of December 31, 2020, and for the period from March 27, 2020 (inception) through December 31, 2020, incorporated by reference in this Reoffer Prospectus have been audited by WithumSmith+Brown, PC (“Withum”), an independent registered public accounting firm, as stated in their report thereon and included in this Reoffer Prospectus, in reliance upon such report and upon the authority of such firm as experts in accounting and auditing.</w:t>
      </w:r>
    </w:p>
    <w:p>
      <w:pPr>
        <w:spacing w:after="0" w:line="13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previously filed with the SEC:</w:t>
      </w:r>
    </w:p>
    <w:p>
      <w:pPr>
        <w:spacing w:after="0" w:line="144" w:lineRule="exact"/>
        <w:rPr>
          <w:sz w:val="20"/>
          <w:szCs w:val="20"/>
          <w:color w:val="auto"/>
        </w:rPr>
      </w:pPr>
    </w:p>
    <w:p>
      <w:pPr>
        <w:ind w:left="1300" w:right="120" w:hanging="320"/>
        <w:spacing w:after="0" w:line="308"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Form </w:t>
      </w:r>
      <w:hyperlink r:id="rId12">
        <w:r>
          <w:rPr>
            <w:rFonts w:ascii="Arial" w:cs="Arial" w:eastAsia="Arial" w:hAnsi="Arial"/>
            <w:sz w:val="18"/>
            <w:szCs w:val="18"/>
            <w:u w:val="single" w:color="auto"/>
            <w:color w:val="0000FF"/>
          </w:rPr>
          <w:t>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001-39434) for the fiscal year ended December 31, 2020 filed with the SEC on March 30, 2021.</w:t>
      </w:r>
    </w:p>
    <w:p>
      <w:pPr>
        <w:spacing w:after="0" w:line="62" w:lineRule="exact"/>
        <w:rPr>
          <w:rFonts w:ascii="Arial" w:cs="Arial" w:eastAsia="Arial" w:hAnsi="Arial"/>
          <w:sz w:val="18"/>
          <w:szCs w:val="18"/>
          <w:color w:val="auto"/>
        </w:rPr>
      </w:pPr>
    </w:p>
    <w:p>
      <w:pPr>
        <w:ind w:left="1300" w:right="40" w:hanging="320"/>
        <w:spacing w:after="0" w:line="308"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Registrant’s Quarterly Report on Form </w:t>
      </w:r>
      <w:hyperlink r:id="rId13">
        <w:r>
          <w:rPr>
            <w:rFonts w:ascii="Arial" w:cs="Arial" w:eastAsia="Arial" w:hAnsi="Arial"/>
            <w:sz w:val="18"/>
            <w:szCs w:val="18"/>
            <w:u w:val="single" w:color="auto"/>
            <w:color w:val="0000FF"/>
          </w:rPr>
          <w:t>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001-39434) for the quarterly period ended March 31, 2021 filed with the SEC on May 13, 2021.</w:t>
      </w:r>
    </w:p>
    <w:p>
      <w:pPr>
        <w:spacing w:after="0" w:line="62" w:lineRule="exact"/>
        <w:rPr>
          <w:rFonts w:ascii="Arial" w:cs="Arial" w:eastAsia="Arial" w:hAnsi="Arial"/>
          <w:sz w:val="18"/>
          <w:szCs w:val="18"/>
          <w:color w:val="auto"/>
        </w:rPr>
      </w:pPr>
    </w:p>
    <w:p>
      <w:pPr>
        <w:ind w:left="1300" w:right="180" w:hanging="320"/>
        <w:spacing w:after="0" w:line="308"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Registrant's Quarterly Report on Form </w:t>
      </w:r>
      <w:hyperlink r:id="rId14">
        <w:r>
          <w:rPr>
            <w:rFonts w:ascii="Arial" w:cs="Arial" w:eastAsia="Arial" w:hAnsi="Arial"/>
            <w:sz w:val="18"/>
            <w:szCs w:val="18"/>
            <w:u w:val="single" w:color="auto"/>
            <w:color w:val="0000FF"/>
          </w:rPr>
          <w:t>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001-39434) for the quarterly period ended June 30, 2021 filed with the SEC on August 10, 2021.</w:t>
      </w:r>
    </w:p>
    <w:p>
      <w:pPr>
        <w:spacing w:after="0" w:line="62" w:lineRule="exact"/>
        <w:rPr>
          <w:rFonts w:ascii="Arial" w:cs="Arial" w:eastAsia="Arial" w:hAnsi="Arial"/>
          <w:sz w:val="18"/>
          <w:szCs w:val="18"/>
          <w:color w:val="auto"/>
        </w:rPr>
      </w:pPr>
    </w:p>
    <w:p>
      <w:pPr>
        <w:ind w:left="1300" w:right="140" w:hanging="320"/>
        <w:spacing w:after="0" w:line="295"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Registrant’s Final Prospectus filed with the SEC on August 6, 2021 pursuant to Rule </w:t>
      </w:r>
      <w:hyperlink r:id="rId15">
        <w:r>
          <w:rPr>
            <w:rFonts w:ascii="Arial" w:cs="Arial" w:eastAsia="Arial" w:hAnsi="Arial"/>
            <w:sz w:val="18"/>
            <w:szCs w:val="18"/>
            <w:u w:val="single" w:color="auto"/>
            <w:color w:val="0000FF"/>
          </w:rPr>
          <w:t>424(b)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under the Securities Act relating to the Registration Statement on Form S-1 (File No. 333-258100), which contains the Registrant’s audited financial statements for the latest fiscal year for which such statements have been filed.</w:t>
      </w:r>
    </w:p>
    <w:p>
      <w:pPr>
        <w:spacing w:after="0" w:line="73" w:lineRule="exact"/>
        <w:rPr>
          <w:rFonts w:ascii="Arial" w:cs="Arial" w:eastAsia="Arial" w:hAnsi="Arial"/>
          <w:sz w:val="18"/>
          <w:szCs w:val="18"/>
          <w:color w:val="auto"/>
        </w:rPr>
      </w:pPr>
    </w:p>
    <w:p>
      <w:pPr>
        <w:ind w:left="1300" w:right="460" w:hanging="320"/>
        <w:spacing w:after="0" w:line="308"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Registrant’s Current Reports on Form 8-K filed on </w:t>
      </w:r>
      <w:hyperlink r:id="rId16">
        <w:r>
          <w:rPr>
            <w:rFonts w:ascii="Arial" w:cs="Arial" w:eastAsia="Arial" w:hAnsi="Arial"/>
            <w:sz w:val="18"/>
            <w:szCs w:val="18"/>
            <w:u w:val="single" w:color="auto"/>
            <w:color w:val="0000FF"/>
          </w:rPr>
          <w:t>February 8, 2021</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FF"/>
          </w:rPr>
          <w:t>June 1, 2021</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June 8,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9">
        <w:r>
          <w:rPr>
            <w:rFonts w:ascii="Arial" w:cs="Arial" w:eastAsia="Arial" w:hAnsi="Arial"/>
            <w:sz w:val="18"/>
            <w:szCs w:val="18"/>
            <w:u w:val="single" w:color="auto"/>
            <w:color w:val="0000FF"/>
          </w:rPr>
          <w:t>June 10,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information furnished rather than filed).</w:t>
      </w:r>
    </w:p>
    <w:p>
      <w:pPr>
        <w:spacing w:after="0" w:line="62" w:lineRule="exact"/>
        <w:rPr>
          <w:rFonts w:ascii="Arial" w:cs="Arial" w:eastAsia="Arial" w:hAnsi="Arial"/>
          <w:sz w:val="18"/>
          <w:szCs w:val="18"/>
          <w:color w:val="auto"/>
        </w:rPr>
      </w:pPr>
    </w:p>
    <w:p>
      <w:pPr>
        <w:ind w:left="1300" w:right="100" w:hanging="320"/>
        <w:spacing w:after="0" w:line="295"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contained in the Registrant’s Registration Statement on Form </w:t>
      </w:r>
      <w:hyperlink r:id="rId20">
        <w:r>
          <w:rPr>
            <w:rFonts w:ascii="Arial" w:cs="Arial" w:eastAsia="Arial" w:hAnsi="Arial"/>
            <w:sz w:val="18"/>
            <w:szCs w:val="18"/>
            <w:u w:val="single" w:color="auto"/>
            <w:color w:val="0000FF"/>
          </w:rPr>
          <w:t>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August 6, 2020 pursuant to Section 12(b) of the Securities and Exchange Act of 1934, as amended (the “Exchange Act”), including any amendment or report filed for the purpose of updating such description.</w:t>
      </w:r>
    </w:p>
    <w:p>
      <w:pPr>
        <w:spacing w:after="0" w:line="74" w:lineRule="exact"/>
        <w:rPr>
          <w:rFonts w:ascii="Arial" w:cs="Arial" w:eastAsia="Arial" w:hAnsi="Arial"/>
          <w:sz w:val="18"/>
          <w:szCs w:val="18"/>
          <w:color w:val="auto"/>
        </w:rPr>
      </w:pPr>
    </w:p>
    <w:p>
      <w:pPr>
        <w:ind w:firstLine="648"/>
        <w:spacing w:after="0" w:line="309" w:lineRule="auto"/>
        <w:rPr>
          <w:sz w:val="20"/>
          <w:szCs w:val="20"/>
          <w:color w:val="auto"/>
        </w:rPr>
      </w:pPr>
      <w:r>
        <w:rPr>
          <w:rFonts w:ascii="Arial" w:cs="Arial" w:eastAsia="Arial" w:hAnsi="Arial"/>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documents or information deemed to have been furnished and not filed in accordance with the rules of the SEC shall not be deemed incorporated by reference into this Registration Statement.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1435" w:right="379" w:bottom="1440" w:gutter="0" w:footer="0" w:header="0"/>
        </w:sectPr>
      </w:pPr>
    </w:p>
    <w:bookmarkStart w:id="19" w:name="page20"/>
    <w:bookmarkEnd w:id="19"/>
    <w:p>
      <w:pPr>
        <w:ind w:firstLine="648"/>
        <w:spacing w:after="0" w:line="290"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43" w:lineRule="exact"/>
        <w:rPr>
          <w:sz w:val="20"/>
          <w:szCs w:val="20"/>
          <w:color w:val="auto"/>
        </w:rPr>
      </w:pPr>
    </w:p>
    <w:p>
      <w:pPr>
        <w:ind w:firstLine="324"/>
        <w:spacing w:after="0" w:line="306" w:lineRule="auto"/>
        <w:rPr>
          <w:sz w:val="20"/>
          <w:szCs w:val="20"/>
          <w:color w:val="auto"/>
        </w:rPr>
      </w:pPr>
      <w:r>
        <w:rPr>
          <w:rFonts w:ascii="Arial" w:cs="Arial" w:eastAsia="Arial" w:hAnsi="Arial"/>
          <w:sz w:val="17"/>
          <w:szCs w:val="17"/>
          <w:color w:val="auto"/>
        </w:rPr>
        <w:t>We file annual, quarterly and current reports, proxy statements and other documents with the SEC under the U.S. Securities Exchange Act of 1934, as amended.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by linking directly from our website at www.nautilus.bio. These filings will be available as soon as reasonably practicable after we electronically file such material with, or furnish it to, the SEC. The information on, or that can be accessed through, our website is not part of this Reoffer Prospectus.</w:t>
      </w:r>
    </w:p>
    <w:p>
      <w:pPr>
        <w:spacing w:after="0" w:line="125" w:lineRule="exact"/>
        <w:rPr>
          <w:sz w:val="20"/>
          <w:szCs w:val="20"/>
          <w:color w:val="auto"/>
        </w:rPr>
      </w:pPr>
    </w:p>
    <w:p>
      <w:pPr>
        <w:ind w:right="100" w:firstLine="324"/>
        <w:spacing w:after="0" w:line="309" w:lineRule="auto"/>
        <w:rPr>
          <w:sz w:val="20"/>
          <w:szCs w:val="20"/>
          <w:color w:val="auto"/>
        </w:rPr>
      </w:pPr>
      <w:r>
        <w:rPr>
          <w:rFonts w:ascii="Arial" w:cs="Arial" w:eastAsia="Arial" w:hAnsi="Arial"/>
          <w:sz w:val="17"/>
          <w:szCs w:val="17"/>
          <w:color w:val="auto"/>
        </w:rPr>
        <w:t>We will provide without charge to each person, including any beneficial owner, to whom a copy of this Reoffer Prospectus is delivered, upon written or oral request of any such person, a copy of any and all of the information that has been incorporated by reference in this Reoffer Prospectus but not delivered with the Reoffer Prospectus other than the exhibits to those documents, unless the exhibits are specifically incorporated by reference into the information that this Reoffer Prospectus incorporates. Requests for documents should be directed to Nautlius Biotechnology, Inc., Attention: Legal Department, 425 Pontius Ave N, Ste 202, Seattle, Washington 98109, (206) 333-2001.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1435" w:right="439" w:bottom="1440" w:gutter="0" w:footer="0" w:header="0"/>
        </w:sectPr>
      </w:pPr>
    </w:p>
    <w:bookmarkStart w:id="20" w:name="page21"/>
    <w:bookmarkEnd w:id="20"/>
    <w:p>
      <w:pPr>
        <w:spacing w:after="0" w:line="34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56" w:lineRule="exact"/>
        <w:rPr>
          <w:sz w:val="20"/>
          <w:szCs w:val="20"/>
          <w:color w:val="auto"/>
        </w:rPr>
      </w:pPr>
    </w:p>
    <w:p>
      <w:pPr>
        <w:ind w:firstLine="648"/>
        <w:spacing w:after="0" w:line="290"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on Form S-8 (the “Registration Statement”) in accordance with the provisions of Rule 428 under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020"/>
          </w:cols>
          <w:pgMar w:left="320" w:top="1440" w:right="559" w:bottom="1440" w:gutter="0" w:footer="0" w:header="0"/>
        </w:sectPr>
      </w:pPr>
    </w:p>
    <w:bookmarkStart w:id="21" w:name="page22"/>
    <w:bookmarkEnd w:id="21"/>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02" w:lineRule="exact"/>
        <w:rPr>
          <w:sz w:val="20"/>
          <w:szCs w:val="20"/>
          <w:color w:val="auto"/>
        </w:rPr>
      </w:pPr>
    </w:p>
    <w:p>
      <w:pPr>
        <w:ind w:right="20" w:firstLine="648"/>
        <w:spacing w:after="0" w:line="308" w:lineRule="auto"/>
        <w:rPr>
          <w:sz w:val="20"/>
          <w:szCs w:val="20"/>
          <w:color w:val="auto"/>
        </w:rPr>
      </w:pPr>
      <w:r>
        <w:rPr>
          <w:rFonts w:ascii="Arial" w:cs="Arial" w:eastAsia="Arial" w:hAnsi="Arial"/>
          <w:sz w:val="18"/>
          <w:szCs w:val="18"/>
          <w:color w:val="auto"/>
        </w:rPr>
        <w:t>Nautilus Biotechnology, Inc. (the “Registrant”) hereby incorporates by reference into this registration statement (the “Registration Statement”) the following documents previously filed with the Securities and Exchange Commission (the “SEC”):</w:t>
      </w:r>
    </w:p>
    <w:p>
      <w:pPr>
        <w:spacing w:after="0" w:line="157" w:lineRule="exact"/>
        <w:rPr>
          <w:sz w:val="20"/>
          <w:szCs w:val="20"/>
          <w:color w:val="auto"/>
        </w:rPr>
      </w:pPr>
    </w:p>
    <w:p>
      <w:pPr>
        <w:ind w:left="1760" w:right="260" w:hanging="870"/>
        <w:spacing w:after="0" w:line="277" w:lineRule="auto"/>
        <w:tabs>
          <w:tab w:leader="none" w:pos="1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Form </w:t>
      </w:r>
      <w:hyperlink r:id="rId12">
        <w:r>
          <w:rPr>
            <w:rFonts w:ascii="Arial" w:cs="Arial" w:eastAsia="Arial" w:hAnsi="Arial"/>
            <w:sz w:val="18"/>
            <w:szCs w:val="18"/>
            <w:u w:val="single" w:color="auto"/>
            <w:color w:val="0000FF"/>
          </w:rPr>
          <w:t>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001-39434) for the fiscal year ended December 31, 2020 filed with the SEC on March 30, 2021</w:t>
      </w:r>
    </w:p>
    <w:p>
      <w:pPr>
        <w:spacing w:after="0" w:line="8" w:lineRule="exact"/>
        <w:rPr>
          <w:rFonts w:ascii="Arial" w:cs="Arial" w:eastAsia="Arial" w:hAnsi="Arial"/>
          <w:sz w:val="18"/>
          <w:szCs w:val="18"/>
          <w:color w:val="auto"/>
        </w:rPr>
      </w:pPr>
    </w:p>
    <w:p>
      <w:pPr>
        <w:ind w:left="1760" w:right="220" w:hanging="870"/>
        <w:spacing w:after="0" w:line="277" w:lineRule="auto"/>
        <w:tabs>
          <w:tab w:leader="none" w:pos="1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Registrant’s Quarterly Report on Form </w:t>
      </w:r>
      <w:hyperlink r:id="rId13">
        <w:r>
          <w:rPr>
            <w:rFonts w:ascii="Arial" w:cs="Arial" w:eastAsia="Arial" w:hAnsi="Arial"/>
            <w:sz w:val="18"/>
            <w:szCs w:val="18"/>
            <w:u w:val="single" w:color="auto"/>
            <w:color w:val="0000FF"/>
          </w:rPr>
          <w:t>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001-39434) for the quarterly period ended March 31, 2021 filed with the SEC on May 13, 2021.</w:t>
      </w:r>
    </w:p>
    <w:p>
      <w:pPr>
        <w:spacing w:after="0" w:line="8" w:lineRule="exact"/>
        <w:rPr>
          <w:rFonts w:ascii="Arial" w:cs="Arial" w:eastAsia="Arial" w:hAnsi="Arial"/>
          <w:sz w:val="18"/>
          <w:szCs w:val="18"/>
          <w:color w:val="auto"/>
        </w:rPr>
      </w:pPr>
    </w:p>
    <w:p>
      <w:pPr>
        <w:ind w:left="1760" w:right="100" w:hanging="870"/>
        <w:spacing w:after="0" w:line="277" w:lineRule="auto"/>
        <w:tabs>
          <w:tab w:leader="none" w:pos="1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Registrant's Quarterly Report on Form </w:t>
      </w:r>
      <w:hyperlink r:id="rId14">
        <w:r>
          <w:rPr>
            <w:rFonts w:ascii="Arial" w:cs="Arial" w:eastAsia="Arial" w:hAnsi="Arial"/>
            <w:sz w:val="18"/>
            <w:szCs w:val="18"/>
            <w:u w:val="single" w:color="auto"/>
            <w:color w:val="0000FF"/>
          </w:rPr>
          <w:t>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001-39434) for the quarterly period ended June 30, 2021 filed with the SEC on August 10, 2021</w:t>
      </w:r>
    </w:p>
    <w:p>
      <w:pPr>
        <w:spacing w:after="0" w:line="8" w:lineRule="exact"/>
        <w:rPr>
          <w:rFonts w:ascii="Arial" w:cs="Arial" w:eastAsia="Arial" w:hAnsi="Arial"/>
          <w:sz w:val="18"/>
          <w:szCs w:val="18"/>
          <w:color w:val="auto"/>
        </w:rPr>
      </w:pPr>
    </w:p>
    <w:p>
      <w:pPr>
        <w:jc w:val="both"/>
        <w:ind w:left="1760" w:right="80" w:hanging="870"/>
        <w:spacing w:after="0" w:line="263" w:lineRule="auto"/>
        <w:tabs>
          <w:tab w:leader="none" w:pos="1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Registrant’s Final Prospectus filed with the SEC on August 6, 2021 pursuant to Rule </w:t>
      </w:r>
      <w:hyperlink r:id="rId15">
        <w:r>
          <w:rPr>
            <w:rFonts w:ascii="Arial" w:cs="Arial" w:eastAsia="Arial" w:hAnsi="Arial"/>
            <w:sz w:val="18"/>
            <w:szCs w:val="18"/>
            <w:u w:val="single" w:color="auto"/>
            <w:color w:val="0000FF"/>
          </w:rPr>
          <w:t>424(b)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under the Securities Act relating to the Registration Statement on Form S-1 (File No. 333-258100), which contains the Registrant’s audited financial statements for the latest fiscal year for which such statements have been filed.</w:t>
      </w:r>
    </w:p>
    <w:p>
      <w:pPr>
        <w:spacing w:after="0" w:line="130" w:lineRule="exact"/>
        <w:rPr>
          <w:rFonts w:ascii="Arial" w:cs="Arial" w:eastAsia="Arial" w:hAnsi="Arial"/>
          <w:sz w:val="18"/>
          <w:szCs w:val="18"/>
          <w:color w:val="auto"/>
        </w:rPr>
      </w:pPr>
    </w:p>
    <w:p>
      <w:pPr>
        <w:ind w:left="1760" w:right="320" w:hanging="870"/>
        <w:spacing w:after="0" w:line="277" w:lineRule="auto"/>
        <w:tabs>
          <w:tab w:leader="none" w:pos="1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Registrant’s Current Reports on Form 8-K filed on </w:t>
      </w:r>
      <w:hyperlink r:id="rId16">
        <w:r>
          <w:rPr>
            <w:rFonts w:ascii="Arial" w:cs="Arial" w:eastAsia="Arial" w:hAnsi="Arial"/>
            <w:sz w:val="18"/>
            <w:szCs w:val="18"/>
            <w:u w:val="single" w:color="auto"/>
            <w:color w:val="0000FF"/>
          </w:rPr>
          <w:t>February 8, 2021</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FF"/>
          </w:rPr>
          <w:t>June 1, 2021</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June 8, 2021</w:t>
        </w:r>
      </w:hyperlink>
      <w:r>
        <w:rPr>
          <w:rFonts w:ascii="Arial" w:cs="Arial" w:eastAsia="Arial" w:hAnsi="Arial"/>
          <w:sz w:val="18"/>
          <w:szCs w:val="18"/>
          <w:color w:val="auto"/>
        </w:rPr>
        <w:t xml:space="preserve">, and </w:t>
      </w:r>
      <w:hyperlink r:id="rId19">
        <w:r>
          <w:rPr>
            <w:rFonts w:ascii="Arial" w:cs="Arial" w:eastAsia="Arial" w:hAnsi="Arial"/>
            <w:sz w:val="18"/>
            <w:szCs w:val="18"/>
            <w:u w:val="single" w:color="auto"/>
            <w:color w:val="0000FF"/>
          </w:rPr>
          <w:t>June 10,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information furnished rather than filed).</w:t>
      </w:r>
    </w:p>
    <w:p>
      <w:pPr>
        <w:spacing w:after="0" w:line="8" w:lineRule="exact"/>
        <w:rPr>
          <w:rFonts w:ascii="Arial" w:cs="Arial" w:eastAsia="Arial" w:hAnsi="Arial"/>
          <w:sz w:val="18"/>
          <w:szCs w:val="18"/>
          <w:color w:val="auto"/>
        </w:rPr>
      </w:pPr>
    </w:p>
    <w:p>
      <w:pPr>
        <w:ind w:left="1760" w:right="20" w:hanging="870"/>
        <w:spacing w:after="0" w:line="263" w:lineRule="auto"/>
        <w:tabs>
          <w:tab w:leader="none" w:pos="1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contained in the Registrant’s Registration Statement on Form </w:t>
      </w:r>
      <w:hyperlink r:id="rId20">
        <w:r>
          <w:rPr>
            <w:rFonts w:ascii="Arial" w:cs="Arial" w:eastAsia="Arial" w:hAnsi="Arial"/>
            <w:sz w:val="18"/>
            <w:szCs w:val="18"/>
            <w:u w:val="single" w:color="auto"/>
            <w:color w:val="0000FF"/>
          </w:rPr>
          <w:t>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August 6, 2020 pursuant to Section 12(b) of the Securities and Exchange Act of 1934, as amended (the “Exchange Act”), including any amendment or report filed for the purpose of updating such description.</w:t>
      </w:r>
    </w:p>
    <w:p>
      <w:pPr>
        <w:spacing w:after="0" w:line="265" w:lineRule="exact"/>
        <w:rPr>
          <w:rFonts w:ascii="Arial" w:cs="Arial" w:eastAsia="Arial" w:hAnsi="Arial"/>
          <w:sz w:val="18"/>
          <w:szCs w:val="18"/>
          <w:color w:val="auto"/>
        </w:rPr>
      </w:pPr>
    </w:p>
    <w:p>
      <w:pPr>
        <w:ind w:firstLine="648"/>
        <w:spacing w:after="0" w:line="303" w:lineRule="auto"/>
        <w:rPr>
          <w:sz w:val="20"/>
          <w:szCs w:val="20"/>
          <w:color w:val="auto"/>
        </w:rPr>
      </w:pPr>
      <w:r>
        <w:rPr>
          <w:rFonts w:ascii="Arial" w:cs="Arial" w:eastAsia="Arial" w:hAnsi="Arial"/>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2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02"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02" w:lineRule="exact"/>
        <w:rPr>
          <w:rFonts w:ascii="Arial" w:cs="Arial" w:eastAsia="Arial" w:hAnsi="Arial"/>
          <w:sz w:val="18"/>
          <w:szCs w:val="18"/>
          <w:color w:val="auto"/>
        </w:rPr>
      </w:pPr>
    </w:p>
    <w:p>
      <w:pPr>
        <w:ind w:right="380" w:firstLine="648"/>
        <w:spacing w:after="0" w:line="341" w:lineRule="auto"/>
        <w:rPr>
          <w:sz w:val="20"/>
          <w:szCs w:val="20"/>
          <w:color w:val="auto"/>
        </w:rPr>
      </w:pPr>
      <w:r>
        <w:rPr>
          <w:rFonts w:ascii="Arial" w:cs="Arial" w:eastAsia="Arial" w:hAnsi="Arial"/>
          <w:sz w:val="17"/>
          <w:szCs w:val="17"/>
          <w:color w:val="auto"/>
        </w:rPr>
        <w:t>Certain members of, and investment partnerships comprised of members of, and persons associated with, Wilson Sonsini Goodrich &amp; Rosati, Professional Corporation, directly or indirectly, own less than 0.2% of the outstanding shares of the Registrant's Common Stock.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7"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320" w:top="1440" w:right="379" w:bottom="1440" w:gutter="0" w:footer="0" w:header="0"/>
        </w:sectPr>
      </w:pPr>
    </w:p>
    <w:bookmarkStart w:id="22" w:name="page23"/>
    <w:bookmarkEnd w:id="22"/>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48" w:lineRule="exact"/>
        <w:rPr>
          <w:sz w:val="20"/>
          <w:szCs w:val="20"/>
          <w:color w:val="auto"/>
        </w:rPr>
      </w:pPr>
    </w:p>
    <w:p>
      <w:pPr>
        <w:ind w:right="140" w:firstLine="441"/>
        <w:spacing w:after="0" w:line="287" w:lineRule="auto"/>
        <w:rPr>
          <w:sz w:val="20"/>
          <w:szCs w:val="20"/>
          <w:color w:val="auto"/>
        </w:rPr>
      </w:pPr>
      <w:r>
        <w:rPr>
          <w:rFonts w:ascii="Arial" w:cs="Arial" w:eastAsia="Arial" w:hAnsi="Arial"/>
          <w:sz w:val="18"/>
          <w:szCs w:val="18"/>
          <w:color w:val="auto"/>
        </w:rPr>
        <w:t>As permitted by Section 102 of the Delaware General Corporation Law, the Registrant’s certificate of incorporation provides that its officers and directors will be indemnified by the Registrant to the fullest extent authorized by Delaware law, as it now exists or may in the future be amended. In addition, the Registrant’s certificate of incorporation provides that its directors will not be personally liable for monetary damages to the Registrant or its stockholders for breaches of their fiduciary duty as directors, to the fullest extent permitted by Delaware law as it now exists or may in the future be amended. The Registrant’s certificate of incorporation also authorizes it to indemnify its officers, directors and other agents to the fullest extent permitted under Delaware law.</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permitted by Section 145 of the Delaware General Corporation Law, the Registrant’s bylaws provide that:</w:t>
      </w:r>
    </w:p>
    <w:p>
      <w:pPr>
        <w:spacing w:after="0" w:line="131" w:lineRule="exact"/>
        <w:rPr>
          <w:sz w:val="20"/>
          <w:szCs w:val="20"/>
          <w:color w:val="auto"/>
        </w:rPr>
      </w:pPr>
    </w:p>
    <w:p>
      <w:pPr>
        <w:ind w:left="1100" w:hanging="327"/>
        <w:spacing w:after="0" w:line="308" w:lineRule="auto"/>
        <w:tabs>
          <w:tab w:leader="none" w:pos="10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 may indemnify its directors, officers and employees to the fullest extent permitted by the Delaware General Corporation Law, subject to limited exceptions;</w:t>
      </w:r>
    </w:p>
    <w:p>
      <w:pPr>
        <w:spacing w:after="0" w:line="62" w:lineRule="exact"/>
        <w:rPr>
          <w:rFonts w:ascii="Arial" w:cs="Arial" w:eastAsia="Arial" w:hAnsi="Arial"/>
          <w:sz w:val="18"/>
          <w:szCs w:val="18"/>
          <w:color w:val="auto"/>
        </w:rPr>
      </w:pPr>
    </w:p>
    <w:p>
      <w:pPr>
        <w:ind w:left="1100" w:right="420" w:hanging="327"/>
        <w:spacing w:after="0" w:line="308" w:lineRule="auto"/>
        <w:tabs>
          <w:tab w:leader="none" w:pos="10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 may advance expenses to its directors, officers and employees in connection with a legal proceeding to the fullest extent permitted by the Delaware General Corporation Law, subject to limited exceptions; and</w:t>
      </w:r>
    </w:p>
    <w:p>
      <w:pPr>
        <w:spacing w:after="0" w:line="62" w:lineRule="exact"/>
        <w:rPr>
          <w:rFonts w:ascii="Arial" w:cs="Arial" w:eastAsia="Arial" w:hAnsi="Arial"/>
          <w:sz w:val="18"/>
          <w:szCs w:val="18"/>
          <w:color w:val="auto"/>
        </w:rPr>
      </w:pPr>
    </w:p>
    <w:p>
      <w:pPr>
        <w:ind w:left="1100" w:hanging="327"/>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rights provided in the Registrant’s bylaws are not exclusive.</w:t>
      </w:r>
    </w:p>
    <w:p>
      <w:pPr>
        <w:spacing w:after="0" w:line="144" w:lineRule="exact"/>
        <w:rPr>
          <w:sz w:val="20"/>
          <w:szCs w:val="20"/>
          <w:color w:val="auto"/>
        </w:rPr>
      </w:pPr>
    </w:p>
    <w:p>
      <w:pPr>
        <w:ind w:right="80" w:firstLine="441"/>
        <w:spacing w:after="0" w:line="284" w:lineRule="auto"/>
        <w:rPr>
          <w:sz w:val="20"/>
          <w:szCs w:val="20"/>
          <w:color w:val="auto"/>
        </w:rPr>
      </w:pPr>
      <w:r>
        <w:rPr>
          <w:rFonts w:ascii="Arial" w:cs="Arial" w:eastAsia="Arial" w:hAnsi="Arial"/>
          <w:sz w:val="18"/>
          <w:szCs w:val="18"/>
          <w:color w:val="auto"/>
        </w:rPr>
        <w:t>The Registrant’s certificate of incorporation and its bylaws provide for the indemnification provisions described above and elsewhere herein. The Registrant has entered into separate indemnification agreements with its directors and officers that may be broader than the specific indemnification provisions contained in the Delaware General Corporation Law. The Registrant has entered into agreements with its officers and directors to provide contractual indemnification in addition to the indemnification provided for in its certificate of incorporation. The Registrant’s bylaws also permit it to maintain insurance on behalf of any officer, director or employee for any liability arising out of his or her actions, regardless of whether Delaware law would permit such indemnification. The Registrant has obtained a policy of director’s and officer’s liability insurance that insures its officers and directors against the cost of defense, settlement or payment of a judgment in some circumstances and insures the Registrant against its obligations to indemnify its officers and directors. These indemnification provisions and the indemnification agreements may be sufficiently broad to permit indemnification of directors and officers for liabilities, including reimbursement of expenses incurred, arising under the Securities Act of 1933, as amended, or the Securities Act.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02" w:lineRule="exact"/>
        <w:rPr>
          <w:sz w:val="20"/>
          <w:szCs w:val="20"/>
          <w:color w:val="auto"/>
        </w:rPr>
      </w:pPr>
    </w:p>
    <w:p>
      <w:pPr>
        <w:ind w:right="60" w:firstLine="648"/>
        <w:spacing w:after="0" w:line="309" w:lineRule="auto"/>
        <w:rPr>
          <w:sz w:val="20"/>
          <w:szCs w:val="20"/>
          <w:color w:val="auto"/>
        </w:rPr>
      </w:pPr>
      <w:r>
        <w:rPr>
          <w:rFonts w:ascii="Arial" w:cs="Arial" w:eastAsia="Arial" w:hAnsi="Arial"/>
          <w:sz w:val="17"/>
          <w:szCs w:val="17"/>
          <w:color w:val="auto"/>
        </w:rPr>
        <w:t>The issuance of the outstanding shares being offered by this Reoffer Prospectus were deemed to be exempt from registration under the Securities Act in reliance upon Rule 701 promulgated under Section 3(b) of the Securities Act as transactions pursuant to benefit plans and contracts relating to compensation as provided under Rule 701. The recipients represented their intention to acquire the securities for investment only and not with a view to or for sale in connection with any distribution thereof, and appropriate legends were placed upon the stock certificates. The recipients had adequate access, through their relationships with the Registrant, to information about the Registrant.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Registrant has filed the exhibits listed on the accompanying Exhibit Index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320" w:top="1440" w:right="37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gridSpan w:val="5"/>
          </w:tcPr>
          <w:p>
            <w:pPr>
              <w:ind w:left="860"/>
              <w:spacing w:after="0"/>
              <w:rPr>
                <w:sz w:val="20"/>
                <w:szCs w:val="20"/>
                <w:color w:val="auto"/>
              </w:rPr>
            </w:pPr>
            <w:r>
              <w:rPr>
                <w:rFonts w:ascii="Arial" w:cs="Arial" w:eastAsia="Arial" w:hAnsi="Arial"/>
                <w:sz w:val="14"/>
                <w:szCs w:val="14"/>
                <w:b w:val="1"/>
                <w:bCs w:val="1"/>
                <w:color w:val="auto"/>
              </w:rPr>
              <w:t>Incorporated by Reference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120" w:type="dxa"/>
            <w:vAlign w:val="bottom"/>
            <w:gridSpan w:val="14"/>
            <w:vMerge w:val="restart"/>
          </w:tcPr>
          <w:p>
            <w:pPr>
              <w:ind w:left="760"/>
              <w:spacing w:after="0"/>
              <w:rPr>
                <w:sz w:val="20"/>
                <w:szCs w:val="20"/>
                <w:color w:val="auto"/>
              </w:rPr>
            </w:pPr>
            <w:r>
              <w:rPr>
                <w:rFonts w:ascii="Arial" w:cs="Arial" w:eastAsia="Arial" w:hAnsi="Arial"/>
                <w:sz w:val="14"/>
                <w:szCs w:val="14"/>
                <w:b w:val="1"/>
                <w:bCs w:val="1"/>
                <w:color w:val="auto"/>
              </w:rPr>
              <w:t>Exhibit Description</w:t>
            </w:r>
          </w:p>
        </w:tc>
        <w:tc>
          <w:tcPr>
            <w:tcW w:w="7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120" w:type="dxa"/>
            <w:vAlign w:val="bottom"/>
            <w:gridSpan w:val="14"/>
            <w:vMerge w:val="continue"/>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500" w:type="dxa"/>
            <w:vAlign w:val="bottom"/>
            <w:gridSpan w:val="2"/>
          </w:tcPr>
          <w:p>
            <w:pPr>
              <w:ind w:left="460"/>
              <w:spacing w:after="0"/>
              <w:rPr>
                <w:sz w:val="20"/>
                <w:szCs w:val="20"/>
                <w:color w:val="auto"/>
              </w:rPr>
            </w:pPr>
            <w:r>
              <w:rPr>
                <w:rFonts w:ascii="Arial" w:cs="Arial" w:eastAsia="Arial" w:hAnsi="Arial"/>
                <w:sz w:val="14"/>
                <w:szCs w:val="14"/>
                <w:b w:val="1"/>
                <w:bCs w:val="1"/>
                <w:color w:val="auto"/>
              </w:rPr>
              <w:t>File No.</w:t>
            </w:r>
          </w:p>
        </w:tc>
        <w:tc>
          <w:tcPr>
            <w:tcW w:w="1160" w:type="dxa"/>
            <w:vAlign w:val="bottom"/>
            <w:gridSpan w:val="3"/>
          </w:tcPr>
          <w:p>
            <w:pPr>
              <w:ind w:left="160"/>
              <w:spacing w:after="0"/>
              <w:rPr>
                <w:sz w:val="20"/>
                <w:szCs w:val="20"/>
                <w:color w:val="auto"/>
              </w:rPr>
            </w:pPr>
            <w:r>
              <w:rPr>
                <w:rFonts w:ascii="Arial" w:cs="Arial" w:eastAsia="Arial" w:hAnsi="Arial"/>
                <w:sz w:val="14"/>
                <w:szCs w:val="14"/>
                <w:b w:val="1"/>
                <w:bCs w:val="1"/>
                <w:color w:val="auto"/>
              </w:rPr>
              <w:t>Exhibit</w:t>
            </w:r>
          </w:p>
        </w:tc>
        <w:tc>
          <w:tcPr>
            <w:tcW w:w="1440" w:type="dxa"/>
            <w:vAlign w:val="bottom"/>
          </w:tcPr>
          <w:p>
            <w:pPr>
              <w:jc w:val="center"/>
              <w:ind w:right="208"/>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26"/>
        </w:trPr>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880" w:type="dxa"/>
            <w:vAlign w:val="bottom"/>
          </w:tcPr>
          <w:p>
            <w:pPr>
              <w:jc w:val="center"/>
              <w:spacing w:after="0" w:line="155" w:lineRule="exact"/>
              <w:rPr>
                <w:sz w:val="20"/>
                <w:szCs w:val="20"/>
                <w:color w:val="auto"/>
              </w:rPr>
            </w:pPr>
            <w:r>
              <w:rPr>
                <w:rFonts w:ascii="Arial" w:cs="Arial" w:eastAsia="Arial" w:hAnsi="Arial"/>
                <w:sz w:val="14"/>
                <w:szCs w:val="14"/>
                <w:color w:val="auto"/>
                <w:w w:val="92"/>
              </w:rPr>
              <w:t>4.1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bottom w:val="single" w:sz="8" w:color="0000FF"/>
            </w:tcBorders>
            <w:gridSpan w:val="8"/>
          </w:tcPr>
          <w:p>
            <w:pPr>
              <w:spacing w:after="0" w:line="155" w:lineRule="exact"/>
              <w:rPr>
                <w:rFonts w:ascii="Arial" w:cs="Arial" w:eastAsia="Arial" w:hAnsi="Arial"/>
                <w:sz w:val="14"/>
                <w:szCs w:val="14"/>
                <w:color w:val="0000FF"/>
                <w:w w:val="95"/>
              </w:rPr>
            </w:pPr>
            <w:hyperlink r:id="rId21">
              <w:r>
                <w:rPr>
                  <w:rFonts w:ascii="Arial" w:cs="Arial" w:eastAsia="Arial" w:hAnsi="Arial"/>
                  <w:sz w:val="14"/>
                  <w:szCs w:val="14"/>
                  <w:color w:val="0000FF"/>
                  <w:w w:val="95"/>
                </w:rPr>
                <w:t>Certificate of Incorporation of Nautilus Biotechnology, Inc.</w:t>
              </w:r>
            </w:hyperlink>
          </w:p>
        </w:tc>
        <w:tc>
          <w:tcPr>
            <w:tcW w:w="1980" w:type="dxa"/>
            <w:vAlign w:val="bottom"/>
            <w:gridSpan w:val="9"/>
          </w:tcPr>
          <w:p>
            <w:pPr>
              <w:spacing w:after="0"/>
              <w:rPr>
                <w:sz w:val="13"/>
                <w:szCs w:val="13"/>
                <w:color w:val="auto"/>
              </w:rPr>
            </w:pPr>
          </w:p>
        </w:tc>
        <w:tc>
          <w:tcPr>
            <w:tcW w:w="720" w:type="dxa"/>
            <w:vAlign w:val="bottom"/>
            <w:gridSpan w:val="2"/>
          </w:tcPr>
          <w:p>
            <w:pPr>
              <w:jc w:val="center"/>
              <w:ind w:right="100"/>
              <w:spacing w:after="0" w:line="155" w:lineRule="exact"/>
              <w:rPr>
                <w:sz w:val="20"/>
                <w:szCs w:val="20"/>
                <w:color w:val="auto"/>
              </w:rPr>
            </w:pPr>
            <w:r>
              <w:rPr>
                <w:rFonts w:ascii="Arial" w:cs="Arial" w:eastAsia="Arial" w:hAnsi="Arial"/>
                <w:sz w:val="14"/>
                <w:szCs w:val="14"/>
                <w:color w:val="auto"/>
              </w:rPr>
              <w:t>8-K</w:t>
            </w:r>
          </w:p>
        </w:tc>
        <w:tc>
          <w:tcPr>
            <w:tcW w:w="1400" w:type="dxa"/>
            <w:vAlign w:val="bottom"/>
          </w:tcPr>
          <w:p>
            <w:pPr>
              <w:jc w:val="center"/>
              <w:spacing w:after="0" w:line="155" w:lineRule="exact"/>
              <w:rPr>
                <w:sz w:val="20"/>
                <w:szCs w:val="20"/>
                <w:color w:val="auto"/>
              </w:rPr>
            </w:pPr>
            <w:r>
              <w:rPr>
                <w:rFonts w:ascii="Arial" w:cs="Arial" w:eastAsia="Arial" w:hAnsi="Arial"/>
                <w:sz w:val="14"/>
                <w:szCs w:val="14"/>
                <w:color w:val="auto"/>
                <w:w w:val="92"/>
              </w:rPr>
              <w:t>001-39434</w:t>
            </w:r>
          </w:p>
        </w:tc>
        <w:tc>
          <w:tcPr>
            <w:tcW w:w="10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Arial" w:cs="Arial" w:eastAsia="Arial" w:hAnsi="Arial"/>
                <w:sz w:val="14"/>
                <w:szCs w:val="14"/>
                <w:color w:val="auto"/>
                <w:w w:val="92"/>
              </w:rPr>
              <w:t>3.1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jc w:val="center"/>
              <w:ind w:right="208"/>
              <w:spacing w:after="0" w:line="155" w:lineRule="exact"/>
              <w:rPr>
                <w:sz w:val="20"/>
                <w:szCs w:val="20"/>
                <w:color w:val="auto"/>
              </w:rPr>
            </w:pPr>
            <w:r>
              <w:rPr>
                <w:rFonts w:ascii="Arial" w:cs="Arial" w:eastAsia="Arial" w:hAnsi="Arial"/>
                <w:sz w:val="14"/>
                <w:szCs w:val="14"/>
                <w:color w:val="auto"/>
                <w:w w:val="90"/>
              </w:rPr>
              <w:t>June 10, 2021</w:t>
            </w: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20" w:type="dxa"/>
            <w:vAlign w:val="bottom"/>
            <w:gridSpan w:val="17"/>
          </w:tcPr>
          <w:p>
            <w:pPr>
              <w:spacing w:after="0"/>
              <w:rPr>
                <w:rFonts w:ascii="Arial" w:cs="Arial" w:eastAsia="Arial" w:hAnsi="Arial"/>
                <w:sz w:val="14"/>
                <w:szCs w:val="14"/>
                <w:color w:val="0000FF"/>
              </w:rPr>
            </w:pPr>
            <w:hyperlink r:id="rId22">
              <w:r>
                <w:rPr>
                  <w:rFonts w:ascii="Arial" w:cs="Arial" w:eastAsia="Arial" w:hAnsi="Arial"/>
                  <w:sz w:val="14"/>
                  <w:szCs w:val="14"/>
                  <w:color w:val="0000FF"/>
                </w:rPr>
                <w:t>Bylaws of Nautilus Biotechnology, Inc.</w:t>
              </w:r>
            </w:hyperlink>
          </w:p>
        </w:tc>
        <w:tc>
          <w:tcPr>
            <w:tcW w:w="7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001-39434</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center"/>
              <w:ind w:right="208"/>
              <w:spacing w:after="0"/>
              <w:rPr>
                <w:sz w:val="20"/>
                <w:szCs w:val="20"/>
                <w:color w:val="auto"/>
              </w:rPr>
            </w:pPr>
            <w:r>
              <w:rPr>
                <w:rFonts w:ascii="Arial" w:cs="Arial" w:eastAsia="Arial" w:hAnsi="Arial"/>
                <w:sz w:val="14"/>
                <w:szCs w:val="14"/>
                <w:color w:val="auto"/>
                <w:w w:val="90"/>
              </w:rPr>
              <w:t>June 10, 2021</w:t>
            </w: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0" w:type="dxa"/>
            <w:vAlign w:val="bottom"/>
            <w:tcBorders>
              <w:top w:val="single" w:sz="8" w:color="0000FF"/>
              <w:bottom w:val="single" w:sz="8" w:color="0000FF"/>
            </w:tcBorders>
            <w:gridSpan w:val="4"/>
          </w:tcPr>
          <w:p>
            <w:pPr>
              <w:spacing w:after="0"/>
              <w:rPr>
                <w:rFonts w:ascii="Arial" w:cs="Arial" w:eastAsia="Arial" w:hAnsi="Arial"/>
                <w:sz w:val="14"/>
                <w:szCs w:val="14"/>
                <w:color w:val="0000FF"/>
                <w:w w:val="93"/>
              </w:rPr>
            </w:pPr>
            <w:hyperlink r:id="rId23">
              <w:r>
                <w:rPr>
                  <w:rFonts w:ascii="Arial" w:cs="Arial" w:eastAsia="Arial" w:hAnsi="Arial"/>
                  <w:sz w:val="14"/>
                  <w:szCs w:val="14"/>
                  <w:color w:val="0000FF"/>
                  <w:w w:val="93"/>
                </w:rPr>
                <w:t>Specimen Common Stock Certificate.</w:t>
              </w:r>
            </w:hyperlink>
          </w:p>
        </w:tc>
        <w:tc>
          <w:tcPr>
            <w:tcW w:w="80" w:type="dxa"/>
            <w:vAlign w:val="bottom"/>
            <w:tcBorders>
              <w:top w:val="single" w:sz="8" w:color="0000FF"/>
            </w:tcBorders>
          </w:tcPr>
          <w:p>
            <w:pPr>
              <w:spacing w:after="0"/>
              <w:rPr>
                <w:sz w:val="21"/>
                <w:szCs w:val="21"/>
                <w:color w:val="auto"/>
              </w:rPr>
            </w:pPr>
          </w:p>
        </w:tc>
        <w:tc>
          <w:tcPr>
            <w:tcW w:w="3140" w:type="dxa"/>
            <w:vAlign w:val="bottom"/>
            <w:gridSpan w:val="12"/>
          </w:tcPr>
          <w:p>
            <w:pPr>
              <w:spacing w:after="0"/>
              <w:rPr>
                <w:sz w:val="21"/>
                <w:szCs w:val="21"/>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001-39434</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center"/>
              <w:ind w:right="208"/>
              <w:spacing w:after="0"/>
              <w:rPr>
                <w:sz w:val="20"/>
                <w:szCs w:val="20"/>
                <w:color w:val="auto"/>
              </w:rPr>
            </w:pPr>
            <w:r>
              <w:rPr>
                <w:rFonts w:ascii="Arial" w:cs="Arial" w:eastAsia="Arial" w:hAnsi="Arial"/>
                <w:sz w:val="14"/>
                <w:szCs w:val="14"/>
                <w:color w:val="auto"/>
                <w:w w:val="90"/>
              </w:rPr>
              <w:t>June 10, 2021</w:t>
            </w: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20" w:type="dxa"/>
            <w:vAlign w:val="bottom"/>
            <w:gridSpan w:val="17"/>
          </w:tcPr>
          <w:p>
            <w:pPr>
              <w:spacing w:after="0"/>
              <w:rPr>
                <w:rFonts w:ascii="Arial" w:cs="Arial" w:eastAsia="Arial" w:hAnsi="Arial"/>
                <w:sz w:val="14"/>
                <w:szCs w:val="14"/>
                <w:color w:val="0000FF"/>
              </w:rPr>
            </w:pPr>
            <w:hyperlink r:id="rId24">
              <w:r>
                <w:rPr>
                  <w:rFonts w:ascii="Arial" w:cs="Arial" w:eastAsia="Arial" w:hAnsi="Arial"/>
                  <w:sz w:val="14"/>
                  <w:szCs w:val="14"/>
                  <w:color w:val="0000FF"/>
                </w:rPr>
                <w:t>Nautilus Biotechnology, Inc. 2021 Equity Incentive Plan.</w:t>
              </w:r>
            </w:hyperlink>
          </w:p>
        </w:tc>
        <w:tc>
          <w:tcPr>
            <w:tcW w:w="7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001-39434</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10.4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center"/>
              <w:ind w:right="208"/>
              <w:spacing w:after="0"/>
              <w:rPr>
                <w:sz w:val="20"/>
                <w:szCs w:val="20"/>
                <w:color w:val="auto"/>
              </w:rPr>
            </w:pPr>
            <w:r>
              <w:rPr>
                <w:rFonts w:ascii="Arial" w:cs="Arial" w:eastAsia="Arial" w:hAnsi="Arial"/>
                <w:sz w:val="14"/>
                <w:szCs w:val="14"/>
                <w:color w:val="auto"/>
                <w:w w:val="90"/>
              </w:rPr>
              <w:t>June 10, 2021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4"/>
                <w:szCs w:val="14"/>
                <w:color w:val="auto"/>
                <w:w w:val="92"/>
              </w:rPr>
              <w:t>4.5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20" w:type="dxa"/>
            <w:vAlign w:val="bottom"/>
            <w:gridSpan w:val="17"/>
          </w:tcPr>
          <w:p>
            <w:pPr>
              <w:spacing w:after="0"/>
              <w:rPr>
                <w:rFonts w:ascii="Arial" w:cs="Arial" w:eastAsia="Arial" w:hAnsi="Arial"/>
                <w:sz w:val="14"/>
                <w:szCs w:val="14"/>
                <w:color w:val="0000FF"/>
              </w:rPr>
            </w:pPr>
            <w:hyperlink r:id="rId25">
              <w:r>
                <w:rPr>
                  <w:rFonts w:ascii="Arial" w:cs="Arial" w:eastAsia="Arial" w:hAnsi="Arial"/>
                  <w:sz w:val="14"/>
                  <w:szCs w:val="14"/>
                  <w:color w:val="0000FF"/>
                </w:rPr>
                <w:t>Form of Stock Option Agreement under the Nautilus Biotechnology, Inc. 2021 Equity</w:t>
              </w:r>
            </w:hyperlink>
          </w:p>
        </w:tc>
        <w:tc>
          <w:tcPr>
            <w:tcW w:w="72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S-4</w:t>
            </w:r>
          </w:p>
        </w:tc>
        <w:tc>
          <w:tcPr>
            <w:tcW w:w="1400" w:type="dxa"/>
            <w:vAlign w:val="bottom"/>
          </w:tcPr>
          <w:p>
            <w:pPr>
              <w:jc w:val="center"/>
              <w:spacing w:after="0"/>
              <w:rPr>
                <w:sz w:val="20"/>
                <w:szCs w:val="20"/>
                <w:color w:val="auto"/>
              </w:rPr>
            </w:pPr>
            <w:r>
              <w:rPr>
                <w:rFonts w:ascii="Arial" w:cs="Arial" w:eastAsia="Arial" w:hAnsi="Arial"/>
                <w:sz w:val="14"/>
                <w:szCs w:val="14"/>
                <w:color w:val="auto"/>
                <w:w w:val="93"/>
              </w:rPr>
              <w:t>333-254796</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10.7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center"/>
              <w:ind w:right="208"/>
              <w:spacing w:after="0"/>
              <w:rPr>
                <w:sz w:val="20"/>
                <w:szCs w:val="20"/>
                <w:color w:val="auto"/>
              </w:rPr>
            </w:pPr>
            <w:r>
              <w:rPr>
                <w:rFonts w:ascii="Arial" w:cs="Arial" w:eastAsia="Arial" w:hAnsi="Arial"/>
                <w:sz w:val="14"/>
                <w:szCs w:val="14"/>
                <w:color w:val="auto"/>
                <w:w w:val="94"/>
              </w:rPr>
              <w:t>March 26, 2021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0000FF"/>
              <w:bottom w:val="single" w:sz="8" w:color="0000FF"/>
            </w:tcBorders>
            <w:gridSpan w:val="2"/>
          </w:tcPr>
          <w:p>
            <w:pPr>
              <w:spacing w:after="0" w:line="142" w:lineRule="exact"/>
              <w:rPr>
                <w:rFonts w:ascii="Arial" w:cs="Arial" w:eastAsia="Arial" w:hAnsi="Arial"/>
                <w:sz w:val="14"/>
                <w:szCs w:val="14"/>
                <w:color w:val="0000FF"/>
                <w:w w:val="93"/>
              </w:rPr>
            </w:pPr>
            <w:hyperlink r:id="rId25">
              <w:r>
                <w:rPr>
                  <w:rFonts w:ascii="Arial" w:cs="Arial" w:eastAsia="Arial" w:hAnsi="Arial"/>
                  <w:sz w:val="14"/>
                  <w:szCs w:val="14"/>
                  <w:color w:val="0000FF"/>
                  <w:w w:val="93"/>
                </w:rPr>
                <w:t>Incentive Plan.</w:t>
              </w:r>
            </w:hyperlink>
          </w:p>
        </w:tc>
        <w:tc>
          <w:tcPr>
            <w:tcW w:w="4080" w:type="dxa"/>
            <w:vAlign w:val="bottom"/>
            <w:tcBorders>
              <w:top w:val="single" w:sz="8" w:color="0000FF"/>
            </w:tcBorders>
            <w:gridSpan w:val="10"/>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4"/>
                <w:szCs w:val="14"/>
                <w:color w:val="auto"/>
                <w:w w:val="92"/>
              </w:rPr>
              <w:t>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20" w:type="dxa"/>
            <w:vAlign w:val="bottom"/>
            <w:gridSpan w:val="17"/>
          </w:tcPr>
          <w:p>
            <w:pPr>
              <w:spacing w:after="0"/>
              <w:rPr>
                <w:rFonts w:ascii="Arial" w:cs="Arial" w:eastAsia="Arial" w:hAnsi="Arial"/>
                <w:sz w:val="14"/>
                <w:szCs w:val="14"/>
                <w:color w:val="0000FF"/>
              </w:rPr>
            </w:pPr>
            <w:hyperlink r:id="rId26">
              <w:r>
                <w:rPr>
                  <w:rFonts w:ascii="Arial" w:cs="Arial" w:eastAsia="Arial" w:hAnsi="Arial"/>
                  <w:sz w:val="14"/>
                  <w:szCs w:val="14"/>
                  <w:color w:val="0000FF"/>
                </w:rPr>
                <w:t>Form of Restricted Stock Unit Agreement under the Nautilus Biotechnology, Inc. 2021</w:t>
              </w:r>
            </w:hyperlink>
          </w:p>
        </w:tc>
        <w:tc>
          <w:tcPr>
            <w:tcW w:w="72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S-4</w:t>
            </w:r>
          </w:p>
        </w:tc>
        <w:tc>
          <w:tcPr>
            <w:tcW w:w="1400" w:type="dxa"/>
            <w:vAlign w:val="bottom"/>
          </w:tcPr>
          <w:p>
            <w:pPr>
              <w:jc w:val="center"/>
              <w:spacing w:after="0"/>
              <w:rPr>
                <w:sz w:val="20"/>
                <w:szCs w:val="20"/>
                <w:color w:val="auto"/>
              </w:rPr>
            </w:pPr>
            <w:r>
              <w:rPr>
                <w:rFonts w:ascii="Arial" w:cs="Arial" w:eastAsia="Arial" w:hAnsi="Arial"/>
                <w:sz w:val="14"/>
                <w:szCs w:val="14"/>
                <w:color w:val="auto"/>
                <w:w w:val="93"/>
              </w:rPr>
              <w:t>333-254796</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10.8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center"/>
              <w:ind w:right="208"/>
              <w:spacing w:after="0"/>
              <w:rPr>
                <w:sz w:val="20"/>
                <w:szCs w:val="20"/>
                <w:color w:val="auto"/>
              </w:rPr>
            </w:pPr>
            <w:r>
              <w:rPr>
                <w:rFonts w:ascii="Arial" w:cs="Arial" w:eastAsia="Arial" w:hAnsi="Arial"/>
                <w:sz w:val="14"/>
                <w:szCs w:val="14"/>
                <w:color w:val="auto"/>
                <w:w w:val="94"/>
              </w:rPr>
              <w:t>March 26, 2021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Borders>
              <w:top w:val="single" w:sz="8" w:color="0000FF"/>
              <w:bottom w:val="single" w:sz="8" w:color="0000FF"/>
            </w:tcBorders>
            <w:gridSpan w:val="3"/>
          </w:tcPr>
          <w:p>
            <w:pPr>
              <w:spacing w:after="0" w:line="142" w:lineRule="exact"/>
              <w:rPr>
                <w:rFonts w:ascii="Arial" w:cs="Arial" w:eastAsia="Arial" w:hAnsi="Arial"/>
                <w:sz w:val="14"/>
                <w:szCs w:val="14"/>
                <w:color w:val="0000FF"/>
                <w:w w:val="95"/>
              </w:rPr>
            </w:pPr>
            <w:hyperlink r:id="rId26">
              <w:r>
                <w:rPr>
                  <w:rFonts w:ascii="Arial" w:cs="Arial" w:eastAsia="Arial" w:hAnsi="Arial"/>
                  <w:sz w:val="14"/>
                  <w:szCs w:val="14"/>
                  <w:color w:val="0000FF"/>
                  <w:w w:val="95"/>
                </w:rPr>
                <w:t>Equity Incentive Plan.</w:t>
              </w:r>
            </w:hyperlink>
          </w:p>
        </w:tc>
        <w:tc>
          <w:tcPr>
            <w:tcW w:w="3720" w:type="dxa"/>
            <w:vAlign w:val="bottom"/>
            <w:tcBorders>
              <w:top w:val="single" w:sz="8" w:color="0000FF"/>
            </w:tcBorders>
            <w:gridSpan w:val="10"/>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4"/>
                <w:szCs w:val="14"/>
                <w:color w:val="auto"/>
                <w:w w:val="92"/>
              </w:rPr>
              <w:t>4.7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20" w:type="dxa"/>
            <w:vAlign w:val="bottom"/>
            <w:gridSpan w:val="17"/>
          </w:tcPr>
          <w:p>
            <w:pPr>
              <w:spacing w:after="0"/>
              <w:rPr>
                <w:rFonts w:ascii="Arial" w:cs="Arial" w:eastAsia="Arial" w:hAnsi="Arial"/>
                <w:sz w:val="14"/>
                <w:szCs w:val="14"/>
                <w:color w:val="0000FF"/>
                <w:w w:val="99"/>
              </w:rPr>
            </w:pPr>
            <w:hyperlink r:id="rId27">
              <w:r>
                <w:rPr>
                  <w:rFonts w:ascii="Arial" w:cs="Arial" w:eastAsia="Arial" w:hAnsi="Arial"/>
                  <w:sz w:val="14"/>
                  <w:szCs w:val="14"/>
                  <w:color w:val="0000FF"/>
                  <w:w w:val="99"/>
                </w:rPr>
                <w:t>Form of Restricted Stock Award Agreement under the Nautilus Biotechnology, Inc. 2021</w:t>
              </w:r>
            </w:hyperlink>
          </w:p>
        </w:tc>
        <w:tc>
          <w:tcPr>
            <w:tcW w:w="72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S-4</w:t>
            </w:r>
          </w:p>
        </w:tc>
        <w:tc>
          <w:tcPr>
            <w:tcW w:w="1400" w:type="dxa"/>
            <w:vAlign w:val="bottom"/>
          </w:tcPr>
          <w:p>
            <w:pPr>
              <w:jc w:val="center"/>
              <w:spacing w:after="0"/>
              <w:rPr>
                <w:sz w:val="20"/>
                <w:szCs w:val="20"/>
                <w:color w:val="auto"/>
              </w:rPr>
            </w:pPr>
            <w:r>
              <w:rPr>
                <w:rFonts w:ascii="Arial" w:cs="Arial" w:eastAsia="Arial" w:hAnsi="Arial"/>
                <w:sz w:val="14"/>
                <w:szCs w:val="14"/>
                <w:color w:val="auto"/>
                <w:w w:val="93"/>
              </w:rPr>
              <w:t>333-254796</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10.9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center"/>
              <w:ind w:right="208"/>
              <w:spacing w:after="0"/>
              <w:rPr>
                <w:sz w:val="20"/>
                <w:szCs w:val="20"/>
                <w:color w:val="auto"/>
              </w:rPr>
            </w:pPr>
            <w:r>
              <w:rPr>
                <w:rFonts w:ascii="Arial" w:cs="Arial" w:eastAsia="Arial" w:hAnsi="Arial"/>
                <w:sz w:val="14"/>
                <w:szCs w:val="14"/>
                <w:color w:val="auto"/>
                <w:w w:val="94"/>
              </w:rPr>
              <w:t>March 26, 2021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Borders>
              <w:top w:val="single" w:sz="8" w:color="0000FF"/>
              <w:bottom w:val="single" w:sz="8" w:color="0000FF"/>
            </w:tcBorders>
            <w:gridSpan w:val="3"/>
          </w:tcPr>
          <w:p>
            <w:pPr>
              <w:spacing w:after="0" w:line="142" w:lineRule="exact"/>
              <w:rPr>
                <w:rFonts w:ascii="Arial" w:cs="Arial" w:eastAsia="Arial" w:hAnsi="Arial"/>
                <w:sz w:val="14"/>
                <w:szCs w:val="14"/>
                <w:color w:val="0000FF"/>
                <w:w w:val="95"/>
              </w:rPr>
            </w:pPr>
            <w:hyperlink r:id="rId27">
              <w:r>
                <w:rPr>
                  <w:rFonts w:ascii="Arial" w:cs="Arial" w:eastAsia="Arial" w:hAnsi="Arial"/>
                  <w:sz w:val="14"/>
                  <w:szCs w:val="14"/>
                  <w:color w:val="0000FF"/>
                  <w:w w:val="95"/>
                </w:rPr>
                <w:t>Equity Incentive Plan.</w:t>
              </w:r>
            </w:hyperlink>
          </w:p>
        </w:tc>
        <w:tc>
          <w:tcPr>
            <w:tcW w:w="3840" w:type="dxa"/>
            <w:vAlign w:val="bottom"/>
            <w:tcBorders>
              <w:top w:val="single" w:sz="8" w:color="0000FF"/>
            </w:tcBorders>
            <w:gridSpan w:val="11"/>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4"/>
                <w:szCs w:val="14"/>
                <w:color w:val="auto"/>
                <w:w w:val="92"/>
              </w:rPr>
              <w:t>4.8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60" w:type="dxa"/>
            <w:vAlign w:val="bottom"/>
            <w:tcBorders>
              <w:bottom w:val="single" w:sz="8" w:color="0000FF"/>
            </w:tcBorders>
            <w:gridSpan w:val="9"/>
          </w:tcPr>
          <w:p>
            <w:pPr>
              <w:spacing w:after="0"/>
              <w:rPr>
                <w:rFonts w:ascii="Arial" w:cs="Arial" w:eastAsia="Arial" w:hAnsi="Arial"/>
                <w:sz w:val="14"/>
                <w:szCs w:val="14"/>
                <w:color w:val="0000FF"/>
                <w:w w:val="93"/>
              </w:rPr>
            </w:pPr>
            <w:hyperlink r:id="rId28">
              <w:r>
                <w:rPr>
                  <w:rFonts w:ascii="Arial" w:cs="Arial" w:eastAsia="Arial" w:hAnsi="Arial"/>
                  <w:sz w:val="14"/>
                  <w:szCs w:val="14"/>
                  <w:color w:val="0000FF"/>
                  <w:w w:val="93"/>
                </w:rPr>
                <w:t>Nautilus Biotechnology, Inc. 2021 Employee Stock Purchase Plan.</w:t>
              </w:r>
            </w:hyperlink>
          </w:p>
        </w:tc>
        <w:tc>
          <w:tcPr>
            <w:tcW w:w="1560" w:type="dxa"/>
            <w:vAlign w:val="bottom"/>
            <w:gridSpan w:val="8"/>
          </w:tcPr>
          <w:p>
            <w:pPr>
              <w:spacing w:after="0"/>
              <w:rPr>
                <w:sz w:val="21"/>
                <w:szCs w:val="21"/>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001-39434</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10.5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center"/>
              <w:ind w:right="208"/>
              <w:spacing w:after="0"/>
              <w:rPr>
                <w:sz w:val="20"/>
                <w:szCs w:val="20"/>
                <w:color w:val="auto"/>
              </w:rPr>
            </w:pPr>
            <w:r>
              <w:rPr>
                <w:rFonts w:ascii="Arial" w:cs="Arial" w:eastAsia="Arial" w:hAnsi="Arial"/>
                <w:sz w:val="14"/>
                <w:szCs w:val="14"/>
                <w:color w:val="auto"/>
                <w:w w:val="90"/>
              </w:rPr>
              <w:t>June 10, 2021</w:t>
            </w: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4"/>
                <w:szCs w:val="14"/>
                <w:color w:val="auto"/>
                <w:w w:val="92"/>
              </w:rPr>
              <w:t>4.9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20" w:type="dxa"/>
            <w:vAlign w:val="bottom"/>
            <w:gridSpan w:val="17"/>
          </w:tcPr>
          <w:p>
            <w:pPr>
              <w:spacing w:after="0"/>
              <w:rPr>
                <w:rFonts w:ascii="Arial" w:cs="Arial" w:eastAsia="Arial" w:hAnsi="Arial"/>
                <w:sz w:val="14"/>
                <w:szCs w:val="14"/>
                <w:color w:val="0000FF"/>
              </w:rPr>
            </w:pPr>
            <w:hyperlink r:id="rId29">
              <w:r>
                <w:rPr>
                  <w:rFonts w:ascii="Arial" w:cs="Arial" w:eastAsia="Arial" w:hAnsi="Arial"/>
                  <w:sz w:val="14"/>
                  <w:szCs w:val="14"/>
                  <w:color w:val="0000FF"/>
                </w:rPr>
                <w:t>Nautilus Biotechnology, Inc. 2017 Equity Incentive Plan and forms of agreements</w:t>
              </w:r>
            </w:hyperlink>
          </w:p>
        </w:tc>
        <w:tc>
          <w:tcPr>
            <w:tcW w:w="72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S-4</w:t>
            </w:r>
          </w:p>
        </w:tc>
        <w:tc>
          <w:tcPr>
            <w:tcW w:w="1400" w:type="dxa"/>
            <w:vAlign w:val="bottom"/>
          </w:tcPr>
          <w:p>
            <w:pPr>
              <w:jc w:val="center"/>
              <w:spacing w:after="0"/>
              <w:rPr>
                <w:sz w:val="20"/>
                <w:szCs w:val="20"/>
                <w:color w:val="auto"/>
              </w:rPr>
            </w:pPr>
            <w:r>
              <w:rPr>
                <w:rFonts w:ascii="Arial" w:cs="Arial" w:eastAsia="Arial" w:hAnsi="Arial"/>
                <w:sz w:val="14"/>
                <w:szCs w:val="14"/>
                <w:color w:val="auto"/>
                <w:w w:val="93"/>
              </w:rPr>
              <w:t>333-254796</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5"/>
              </w:rPr>
              <w:t>10.11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center"/>
              <w:ind w:right="208"/>
              <w:spacing w:after="0"/>
              <w:rPr>
                <w:sz w:val="20"/>
                <w:szCs w:val="20"/>
                <w:color w:val="auto"/>
              </w:rPr>
            </w:pPr>
            <w:r>
              <w:rPr>
                <w:rFonts w:ascii="Arial" w:cs="Arial" w:eastAsia="Arial" w:hAnsi="Arial"/>
                <w:sz w:val="14"/>
                <w:szCs w:val="14"/>
                <w:color w:val="auto"/>
                <w:w w:val="94"/>
              </w:rPr>
              <w:t>March 26, 2021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20" w:type="dxa"/>
            <w:vAlign w:val="bottom"/>
            <w:tcBorders>
              <w:top w:val="single" w:sz="8" w:color="0000FF"/>
            </w:tcBorders>
            <w:gridSpan w:val="10"/>
          </w:tcPr>
          <w:p>
            <w:pPr>
              <w:spacing w:after="0" w:line="142" w:lineRule="exact"/>
              <w:rPr>
                <w:rFonts w:ascii="Arial" w:cs="Arial" w:eastAsia="Arial" w:hAnsi="Arial"/>
                <w:sz w:val="14"/>
                <w:szCs w:val="14"/>
                <w:color w:val="0000FF"/>
              </w:rPr>
            </w:pPr>
            <w:hyperlink r:id="rId29">
              <w:r>
                <w:rPr>
                  <w:rFonts w:ascii="Arial" w:cs="Arial" w:eastAsia="Arial" w:hAnsi="Arial"/>
                  <w:sz w:val="14"/>
                  <w:szCs w:val="14"/>
                  <w:color w:val="0000FF"/>
                </w:rPr>
                <w:t>thereunder</w:t>
              </w:r>
            </w:hyperlink>
          </w:p>
        </w:tc>
        <w:tc>
          <w:tcPr>
            <w:tcW w:w="140" w:type="dxa"/>
            <w:vAlign w:val="bottom"/>
          </w:tcPr>
          <w:p>
            <w:pPr>
              <w:spacing w:after="0"/>
              <w:rPr>
                <w:sz w:val="12"/>
                <w:szCs w:val="12"/>
                <w:color w:val="auto"/>
              </w:rPr>
            </w:pPr>
          </w:p>
        </w:tc>
        <w:tc>
          <w:tcPr>
            <w:tcW w:w="420" w:type="dxa"/>
            <w:vAlign w:val="bottom"/>
            <w:gridSpan w:val="4"/>
          </w:tcPr>
          <w:p>
            <w:pPr>
              <w:spacing w:after="0"/>
              <w:rPr>
                <w:sz w:val="12"/>
                <w:szCs w:val="12"/>
                <w:color w:val="auto"/>
              </w:rPr>
            </w:pPr>
          </w:p>
        </w:tc>
        <w:tc>
          <w:tcPr>
            <w:tcW w:w="14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4"/>
                <w:szCs w:val="14"/>
                <w:color w:val="auto"/>
                <w:w w:val="92"/>
              </w:rPr>
              <w:t>5.1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20" w:type="dxa"/>
            <w:vAlign w:val="bottom"/>
            <w:gridSpan w:val="17"/>
          </w:tcPr>
          <w:p>
            <w:pPr>
              <w:spacing w:after="0"/>
              <w:rPr>
                <w:rFonts w:ascii="Arial" w:cs="Arial" w:eastAsia="Arial" w:hAnsi="Arial"/>
                <w:sz w:val="14"/>
                <w:szCs w:val="14"/>
                <w:color w:val="0000FF"/>
              </w:rPr>
            </w:pPr>
            <w:hyperlink w:anchor="page27">
              <w:r>
                <w:rPr>
                  <w:rFonts w:ascii="Arial" w:cs="Arial" w:eastAsia="Arial" w:hAnsi="Arial"/>
                  <w:sz w:val="14"/>
                  <w:szCs w:val="14"/>
                  <w:color w:val="0000FF"/>
                </w:rPr>
                <w:t>Opinion of Wilson Sonsini Goodrich &amp; Rosati, P.C.</w:t>
              </w:r>
            </w:hyperlink>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4"/>
                <w:szCs w:val="14"/>
                <w:color w:val="auto"/>
                <w:w w:val="95"/>
              </w:rPr>
              <w:t>23.1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tcBorders>
              <w:bottom w:val="single" w:sz="8" w:color="0000FF"/>
            </w:tcBorders>
            <w:gridSpan w:val="15"/>
          </w:tcPr>
          <w:p>
            <w:pPr>
              <w:spacing w:after="0"/>
              <w:rPr>
                <w:rFonts w:ascii="Arial" w:cs="Arial" w:eastAsia="Arial" w:hAnsi="Arial"/>
                <w:sz w:val="14"/>
                <w:szCs w:val="14"/>
                <w:color w:val="0000FF"/>
                <w:w w:val="92"/>
              </w:rPr>
            </w:pPr>
            <w:hyperlink w:anchor="page29">
              <w:r>
                <w:rPr>
                  <w:rFonts w:ascii="Arial" w:cs="Arial" w:eastAsia="Arial" w:hAnsi="Arial"/>
                  <w:sz w:val="14"/>
                  <w:szCs w:val="14"/>
                  <w:color w:val="0000FF"/>
                  <w:w w:val="92"/>
                </w:rPr>
                <w:t xml:space="preserve">Consent of Independent Registered </w:t>
              </w:r>
            </w:hyperlink>
            <w:r>
              <w:rPr>
                <w:rFonts w:ascii="Arial" w:cs="Arial" w:eastAsia="Arial" w:hAnsi="Arial"/>
                <w:sz w:val="14"/>
                <w:szCs w:val="14"/>
                <w:color w:val="0000FF"/>
                <w:w w:val="92"/>
              </w:rPr>
              <w:t xml:space="preserve">Public </w:t>
            </w:r>
            <w:hyperlink w:anchor="page29">
              <w:r>
                <w:rPr>
                  <w:rFonts w:ascii="Arial" w:cs="Arial" w:eastAsia="Arial" w:hAnsi="Arial"/>
                  <w:sz w:val="14"/>
                  <w:szCs w:val="14"/>
                  <w:color w:val="0000FF"/>
                  <w:w w:val="92"/>
                </w:rPr>
                <w:t>Accounting Firm, PricewaterhouseCoopers LLP.</w:t>
              </w:r>
            </w:hyperlink>
          </w:p>
        </w:tc>
        <w:tc>
          <w:tcPr>
            <w:tcW w:w="140" w:type="dxa"/>
            <w:vAlign w:val="bottom"/>
            <w:gridSpan w:val="2"/>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4"/>
                <w:szCs w:val="14"/>
                <w:color w:val="auto"/>
                <w:w w:val="95"/>
              </w:rPr>
              <w:t>23.2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20" w:type="dxa"/>
            <w:vAlign w:val="bottom"/>
            <w:gridSpan w:val="17"/>
          </w:tcPr>
          <w:p>
            <w:pPr>
              <w:spacing w:after="0"/>
              <w:rPr>
                <w:rFonts w:ascii="Arial" w:cs="Arial" w:eastAsia="Arial" w:hAnsi="Arial"/>
                <w:sz w:val="14"/>
                <w:szCs w:val="14"/>
                <w:color w:val="0000FF"/>
              </w:rPr>
            </w:pPr>
            <w:hyperlink w:anchor="page30">
              <w:r>
                <w:rPr>
                  <w:rFonts w:ascii="Arial" w:cs="Arial" w:eastAsia="Arial" w:hAnsi="Arial"/>
                  <w:sz w:val="14"/>
                  <w:szCs w:val="14"/>
                  <w:color w:val="0000FF"/>
                </w:rPr>
                <w:t>Consent of WithumSmith+Brown, PC</w:t>
              </w:r>
            </w:hyperlink>
            <w:r>
              <w:rPr>
                <w:rFonts w:ascii="Arial" w:cs="Arial" w:eastAsia="Arial" w:hAnsi="Arial"/>
                <w:sz w:val="14"/>
                <w:szCs w:val="14"/>
                <w:color w:val="000000"/>
              </w:rPr>
              <w:t>.</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Pr>
          <w:p>
            <w:pPr>
              <w:jc w:val="center"/>
              <w:spacing w:after="0"/>
              <w:rPr>
                <w:sz w:val="20"/>
                <w:szCs w:val="20"/>
                <w:color w:val="auto"/>
              </w:rPr>
            </w:pPr>
            <w:r>
              <w:rPr>
                <w:rFonts w:ascii="Arial" w:cs="Arial" w:eastAsia="Arial" w:hAnsi="Arial"/>
                <w:sz w:val="14"/>
                <w:szCs w:val="14"/>
                <w:color w:val="auto"/>
                <w:w w:val="95"/>
              </w:rPr>
              <w:t>23.3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20" w:type="dxa"/>
            <w:vAlign w:val="bottom"/>
            <w:gridSpan w:val="17"/>
          </w:tcPr>
          <w:p>
            <w:pPr>
              <w:spacing w:after="0"/>
              <w:rPr>
                <w:rFonts w:ascii="Arial" w:cs="Arial" w:eastAsia="Arial" w:hAnsi="Arial"/>
                <w:sz w:val="14"/>
                <w:szCs w:val="14"/>
                <w:color w:val="0000FF"/>
              </w:rPr>
            </w:pPr>
            <w:hyperlink w:anchor="page27">
              <w:r>
                <w:rPr>
                  <w:rFonts w:ascii="Arial" w:cs="Arial" w:eastAsia="Arial" w:hAnsi="Arial"/>
                  <w:sz w:val="14"/>
                  <w:szCs w:val="14"/>
                  <w:color w:val="0000FF"/>
                </w:rPr>
                <w:t>Consent of Wilson Sonsini Goodrich &amp; Rosati, P.C. (included in Exhibit 5.1 hereto).</w:t>
              </w:r>
            </w:hyperlink>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880" w:type="dxa"/>
            <w:vAlign w:val="bottom"/>
          </w:tcPr>
          <w:p>
            <w:pPr>
              <w:jc w:val="center"/>
              <w:spacing w:after="0"/>
              <w:rPr>
                <w:sz w:val="20"/>
                <w:szCs w:val="20"/>
                <w:color w:val="auto"/>
              </w:rPr>
            </w:pPr>
            <w:r>
              <w:rPr>
                <w:rFonts w:ascii="Arial" w:cs="Arial" w:eastAsia="Arial" w:hAnsi="Arial"/>
                <w:sz w:val="14"/>
                <w:szCs w:val="14"/>
                <w:color w:val="auto"/>
                <w:w w:val="95"/>
              </w:rPr>
              <w:t>24.1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tcBorders>
              <w:top w:val="single" w:sz="8" w:color="0000FF"/>
            </w:tcBorders>
            <w:gridSpan w:val="11"/>
          </w:tcPr>
          <w:p>
            <w:pPr>
              <w:spacing w:after="0"/>
              <w:rPr>
                <w:sz w:val="20"/>
                <w:szCs w:val="20"/>
                <w:color w:val="auto"/>
              </w:rPr>
            </w:pPr>
            <w:r>
              <w:rPr>
                <w:rFonts w:ascii="Arial" w:cs="Arial" w:eastAsia="Arial" w:hAnsi="Arial"/>
                <w:sz w:val="14"/>
                <w:szCs w:val="14"/>
                <w:color w:val="auto"/>
              </w:rPr>
              <w:t>Power of Attorney (included on the signature page hereto).</w:t>
            </w:r>
          </w:p>
        </w:tc>
        <w:tc>
          <w:tcPr>
            <w:tcW w:w="560" w:type="dxa"/>
            <w:vAlign w:val="bottom"/>
            <w:gridSpan w:val="6"/>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undersigned Registrant hereby undertakes:</w:t>
      </w:r>
    </w:p>
    <w:p>
      <w:pPr>
        <w:spacing w:after="0" w:line="171" w:lineRule="exact"/>
        <w:rPr>
          <w:sz w:val="20"/>
          <w:szCs w:val="20"/>
          <w:color w:val="auto"/>
        </w:rPr>
      </w:pPr>
    </w:p>
    <w:p>
      <w:pPr>
        <w:ind w:left="920" w:hanging="26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171" w:lineRule="exact"/>
        <w:rPr>
          <w:sz w:val="20"/>
          <w:szCs w:val="20"/>
          <w:color w:val="auto"/>
        </w:rPr>
      </w:pPr>
    </w:p>
    <w:p>
      <w:pPr>
        <w:ind w:right="60" w:firstLine="656"/>
        <w:spacing w:after="0" w:line="293" w:lineRule="auto"/>
        <w:tabs>
          <w:tab w:leader="none" w:pos="91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10" w:lineRule="exact"/>
        <w:rPr>
          <w:rFonts w:ascii="Arial" w:cs="Arial" w:eastAsia="Arial" w:hAnsi="Arial"/>
          <w:sz w:val="16"/>
          <w:szCs w:val="16"/>
          <w:color w:val="auto"/>
        </w:rPr>
      </w:pPr>
    </w:p>
    <w:p>
      <w:pPr>
        <w:ind w:right="420" w:firstLine="656"/>
        <w:spacing w:after="0" w:line="277" w:lineRule="auto"/>
        <w:tabs>
          <w:tab w:leader="none" w:pos="96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320" w:top="1417" w:right="359" w:bottom="1440" w:gutter="0" w:footer="0" w:header="0"/>
        </w:sectPr>
      </w:pPr>
    </w:p>
    <w:bookmarkStart w:id="24" w:name="page25"/>
    <w:bookmarkEnd w:id="24"/>
    <w:p>
      <w:pPr>
        <w:ind w:right="220" w:firstLine="656"/>
        <w:spacing w:after="0" w:line="263" w:lineRule="auto"/>
        <w:tabs>
          <w:tab w:leader="none" w:pos="9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right="640" w:firstLine="656"/>
        <w:spacing w:after="0" w:line="277" w:lineRule="auto"/>
        <w:tabs>
          <w:tab w:leader="none" w:pos="9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 The undersigned Registrant hereby undertakes 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4"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320" w:top="1421" w:right="3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Seattle, State of Washington, on this tenth day of August, 2021.</w:t>
      </w:r>
    </w:p>
    <w:p>
      <w:pPr>
        <w:spacing w:after="0" w:line="18"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NAUTILUS BIOTECHNOLOGY, INC.</w:t>
      </w:r>
    </w:p>
    <w:p>
      <w:pPr>
        <w:spacing w:after="0" w:line="67" w:lineRule="exact"/>
        <w:rPr>
          <w:sz w:val="20"/>
          <w:szCs w:val="20"/>
          <w:color w:val="auto"/>
        </w:rPr>
      </w:pPr>
    </w:p>
    <w:p>
      <w:pPr>
        <w:ind w:left="6560"/>
        <w:spacing w:after="0"/>
        <w:tabs>
          <w:tab w:leader="none" w:pos="7040" w:val="left"/>
        </w:tabs>
        <w:rPr>
          <w:sz w:val="20"/>
          <w:szCs w:val="20"/>
          <w:color w:val="auto"/>
        </w:rPr>
      </w:pPr>
      <w:r>
        <w:rPr>
          <w:rFonts w:ascii="Arial" w:cs="Arial" w:eastAsia="Arial" w:hAnsi="Arial"/>
          <w:sz w:val="18"/>
          <w:szCs w:val="18"/>
          <w:color w:val="auto"/>
        </w:rPr>
        <w:t>By:</w:t>
        <w:tab/>
        <w:t>/s/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31750</wp:posOffset>
            </wp:positionV>
            <wp:extent cx="2665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57"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Sujal Patel</w:t>
      </w:r>
    </w:p>
    <w:p>
      <w:pPr>
        <w:spacing w:after="0" w:line="6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Chief Executive Officer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Sujal Patel and Anna Mowry, and each of them, as his or her true and lawful attorney-in-fact and agent with full power of substitution and resubstitution, for such person in any and all capacities, to sign any and all amendments to this Registration Statement (including post-effective amendments) on Form S-8,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such person might or could do in person, hereby ratifying and confirming all that any said attorney-in-fact, proxy and agent, or any substitute of any of them, may lawfully do or cause to be done by virtue hereof.</w:t>
      </w:r>
    </w:p>
    <w:p>
      <w:pPr>
        <w:spacing w:after="0" w:line="12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20"/>
          </w:cols>
          <w:pgMar w:left="320" w:top="1417" w:right="359" w:bottom="1440" w:gutter="0" w:footer="0" w:header="0"/>
        </w:sectPr>
      </w:pP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27"/>
        </w:trPr>
        <w:tc>
          <w:tcPr>
            <w:tcW w:w="3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77"/>
        </w:trPr>
        <w:tc>
          <w:tcPr>
            <w:tcW w:w="3580" w:type="dxa"/>
            <w:vAlign w:val="bottom"/>
          </w:tcPr>
          <w:p>
            <w:pPr>
              <w:ind w:left="40"/>
              <w:spacing w:after="0"/>
              <w:rPr>
                <w:sz w:val="20"/>
                <w:szCs w:val="20"/>
                <w:color w:val="auto"/>
              </w:rPr>
            </w:pPr>
            <w:r>
              <w:rPr>
                <w:rFonts w:ascii="Arial" w:cs="Arial" w:eastAsia="Arial" w:hAnsi="Arial"/>
                <w:sz w:val="18"/>
                <w:szCs w:val="18"/>
                <w:color w:val="auto"/>
              </w:rPr>
              <w:t>/s/ Sujal Patel</w:t>
            </w:r>
          </w:p>
        </w:tc>
        <w:tc>
          <w:tcPr>
            <w:tcW w:w="24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Chief Executive Officer, President and Director</w:t>
            </w:r>
          </w:p>
        </w:tc>
      </w:tr>
      <w:tr>
        <w:trPr>
          <w:trHeight w:val="27"/>
        </w:trPr>
        <w:tc>
          <w:tcPr>
            <w:tcW w:w="3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color w:val="auto"/>
              </w:rPr>
              <w:t>Sujal Patel</w:t>
            </w:r>
          </w:p>
        </w:tc>
        <w:tc>
          <w:tcPr>
            <w:tcW w:w="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324"/>
        </w:trPr>
        <w:tc>
          <w:tcPr>
            <w:tcW w:w="3580" w:type="dxa"/>
            <w:vAlign w:val="bottom"/>
          </w:tcPr>
          <w:p>
            <w:pPr>
              <w:ind w:left="40"/>
              <w:spacing w:after="0"/>
              <w:rPr>
                <w:sz w:val="20"/>
                <w:szCs w:val="20"/>
                <w:color w:val="auto"/>
              </w:rPr>
            </w:pPr>
            <w:r>
              <w:rPr>
                <w:rFonts w:ascii="Arial" w:cs="Arial" w:eastAsia="Arial" w:hAnsi="Arial"/>
                <w:sz w:val="18"/>
                <w:szCs w:val="18"/>
                <w:color w:val="auto"/>
              </w:rPr>
              <w:t>/s/ Anna Mowry</w:t>
            </w:r>
          </w:p>
        </w:tc>
        <w:tc>
          <w:tcPr>
            <w:tcW w:w="24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7"/>
        </w:trPr>
        <w:tc>
          <w:tcPr>
            <w:tcW w:w="3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color w:val="auto"/>
              </w:rPr>
              <w:t>Anna Mowry</w:t>
            </w:r>
          </w:p>
        </w:tc>
        <w:tc>
          <w:tcPr>
            <w:tcW w:w="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r>
        <w:trPr>
          <w:trHeight w:val="324"/>
        </w:trPr>
        <w:tc>
          <w:tcPr>
            <w:tcW w:w="3580" w:type="dxa"/>
            <w:vAlign w:val="bottom"/>
          </w:tcPr>
          <w:p>
            <w:pPr>
              <w:ind w:left="40"/>
              <w:spacing w:after="0"/>
              <w:rPr>
                <w:sz w:val="20"/>
                <w:szCs w:val="20"/>
                <w:color w:val="auto"/>
              </w:rPr>
            </w:pPr>
            <w:r>
              <w:rPr>
                <w:rFonts w:ascii="Arial" w:cs="Arial" w:eastAsia="Arial" w:hAnsi="Arial"/>
                <w:sz w:val="18"/>
                <w:szCs w:val="18"/>
                <w:color w:val="auto"/>
              </w:rPr>
              <w:t>/s/ Matthew L. Posard</w:t>
            </w:r>
          </w:p>
        </w:tc>
        <w:tc>
          <w:tcPr>
            <w:tcW w:w="24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color w:val="auto"/>
              </w:rPr>
              <w:t>Matthew L. Posard</w:t>
            </w:r>
          </w:p>
        </w:tc>
        <w:tc>
          <w:tcPr>
            <w:tcW w:w="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Chair of the Board of Directors</w:t>
            </w:r>
          </w:p>
        </w:tc>
      </w:tr>
      <w:tr>
        <w:trPr>
          <w:trHeight w:val="324"/>
        </w:trPr>
        <w:tc>
          <w:tcPr>
            <w:tcW w:w="3580" w:type="dxa"/>
            <w:vAlign w:val="bottom"/>
          </w:tcPr>
          <w:p>
            <w:pPr>
              <w:ind w:left="40"/>
              <w:spacing w:after="0"/>
              <w:rPr>
                <w:sz w:val="20"/>
                <w:szCs w:val="20"/>
                <w:color w:val="auto"/>
              </w:rPr>
            </w:pPr>
            <w:r>
              <w:rPr>
                <w:rFonts w:ascii="Arial" w:cs="Arial" w:eastAsia="Arial" w:hAnsi="Arial"/>
                <w:sz w:val="18"/>
                <w:szCs w:val="18"/>
                <w:color w:val="auto"/>
              </w:rPr>
              <w:t>/s/ Michael Altman</w:t>
            </w:r>
          </w:p>
        </w:tc>
        <w:tc>
          <w:tcPr>
            <w:tcW w:w="24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color w:val="auto"/>
              </w:rPr>
              <w:t>Michael Altman</w:t>
            </w:r>
          </w:p>
        </w:tc>
        <w:tc>
          <w:tcPr>
            <w:tcW w:w="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324"/>
        </w:trPr>
        <w:tc>
          <w:tcPr>
            <w:tcW w:w="3580" w:type="dxa"/>
            <w:vAlign w:val="bottom"/>
          </w:tcPr>
          <w:p>
            <w:pPr>
              <w:ind w:left="40"/>
              <w:spacing w:after="0"/>
              <w:rPr>
                <w:sz w:val="20"/>
                <w:szCs w:val="20"/>
                <w:color w:val="auto"/>
              </w:rPr>
            </w:pPr>
            <w:r>
              <w:rPr>
                <w:rFonts w:ascii="Arial" w:cs="Arial" w:eastAsia="Arial" w:hAnsi="Arial"/>
                <w:sz w:val="18"/>
                <w:szCs w:val="18"/>
                <w:color w:val="auto"/>
              </w:rPr>
              <w:t>/s/ Melissa Epperly</w:t>
            </w:r>
          </w:p>
        </w:tc>
        <w:tc>
          <w:tcPr>
            <w:tcW w:w="24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color w:val="auto"/>
              </w:rPr>
              <w:t>Melissa Epperly</w:t>
            </w:r>
          </w:p>
        </w:tc>
        <w:tc>
          <w:tcPr>
            <w:tcW w:w="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324"/>
        </w:trPr>
        <w:tc>
          <w:tcPr>
            <w:tcW w:w="3580" w:type="dxa"/>
            <w:vAlign w:val="bottom"/>
          </w:tcPr>
          <w:p>
            <w:pPr>
              <w:ind w:left="40"/>
              <w:spacing w:after="0"/>
              <w:rPr>
                <w:sz w:val="20"/>
                <w:szCs w:val="20"/>
                <w:color w:val="auto"/>
              </w:rPr>
            </w:pPr>
            <w:r>
              <w:rPr>
                <w:rFonts w:ascii="Arial" w:cs="Arial" w:eastAsia="Arial" w:hAnsi="Arial"/>
                <w:sz w:val="18"/>
                <w:szCs w:val="18"/>
                <w:color w:val="auto"/>
              </w:rPr>
              <w:t>/s/ Parag Mallick</w:t>
            </w:r>
          </w:p>
        </w:tc>
        <w:tc>
          <w:tcPr>
            <w:tcW w:w="24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color w:val="auto"/>
              </w:rPr>
              <w:t>Parag Mallick</w:t>
            </w:r>
          </w:p>
        </w:tc>
        <w:tc>
          <w:tcPr>
            <w:tcW w:w="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324"/>
        </w:trPr>
        <w:tc>
          <w:tcPr>
            <w:tcW w:w="3580" w:type="dxa"/>
            <w:vAlign w:val="bottom"/>
          </w:tcPr>
          <w:p>
            <w:pPr>
              <w:ind w:left="40"/>
              <w:spacing w:after="0"/>
              <w:rPr>
                <w:sz w:val="20"/>
                <w:szCs w:val="20"/>
                <w:color w:val="auto"/>
              </w:rPr>
            </w:pPr>
            <w:r>
              <w:rPr>
                <w:rFonts w:ascii="Arial" w:cs="Arial" w:eastAsia="Arial" w:hAnsi="Arial"/>
                <w:sz w:val="18"/>
                <w:szCs w:val="18"/>
                <w:color w:val="auto"/>
              </w:rPr>
              <w:t>/s/ Matthew McIlwain</w:t>
            </w:r>
          </w:p>
        </w:tc>
        <w:tc>
          <w:tcPr>
            <w:tcW w:w="24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color w:val="auto"/>
              </w:rPr>
              <w:t>Matthew McIlwain</w:t>
            </w:r>
          </w:p>
        </w:tc>
        <w:tc>
          <w:tcPr>
            <w:tcW w:w="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324"/>
        </w:trPr>
        <w:tc>
          <w:tcPr>
            <w:tcW w:w="3580" w:type="dxa"/>
            <w:vAlign w:val="bottom"/>
          </w:tcPr>
          <w:p>
            <w:pPr>
              <w:ind w:left="40"/>
              <w:spacing w:after="0"/>
              <w:rPr>
                <w:sz w:val="20"/>
                <w:szCs w:val="20"/>
                <w:color w:val="auto"/>
              </w:rPr>
            </w:pPr>
            <w:r>
              <w:rPr>
                <w:rFonts w:ascii="Arial" w:cs="Arial" w:eastAsia="Arial" w:hAnsi="Arial"/>
                <w:sz w:val="18"/>
                <w:szCs w:val="18"/>
                <w:color w:val="auto"/>
              </w:rPr>
              <w:t>/s/ Farzad Nazem</w:t>
            </w:r>
          </w:p>
        </w:tc>
        <w:tc>
          <w:tcPr>
            <w:tcW w:w="24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r>
      <w:tr>
        <w:trPr>
          <w:trHeight w:val="236"/>
        </w:trPr>
        <w:tc>
          <w:tcPr>
            <w:tcW w:w="3580" w:type="dxa"/>
            <w:vAlign w:val="bottom"/>
          </w:tcPr>
          <w:p>
            <w:pPr>
              <w:ind w:left="40"/>
              <w:spacing w:after="0"/>
              <w:rPr>
                <w:sz w:val="20"/>
                <w:szCs w:val="20"/>
                <w:color w:val="auto"/>
              </w:rPr>
            </w:pPr>
            <w:r>
              <w:rPr>
                <w:rFonts w:ascii="Arial" w:cs="Arial" w:eastAsia="Arial" w:hAnsi="Arial"/>
                <w:sz w:val="18"/>
                <w:szCs w:val="18"/>
                <w:color w:val="auto"/>
              </w:rPr>
              <w:t>Farzad Nazem</w:t>
            </w:r>
          </w:p>
        </w:tc>
        <w:tc>
          <w:tcPr>
            <w:tcW w:w="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324"/>
        </w:trPr>
        <w:tc>
          <w:tcPr>
            <w:tcW w:w="3580" w:type="dxa"/>
            <w:vAlign w:val="bottom"/>
          </w:tcPr>
          <w:p>
            <w:pPr>
              <w:ind w:left="40"/>
              <w:spacing w:after="0"/>
              <w:rPr>
                <w:sz w:val="20"/>
                <w:szCs w:val="20"/>
                <w:color w:val="auto"/>
              </w:rPr>
            </w:pPr>
            <w:r>
              <w:rPr>
                <w:rFonts w:ascii="Arial" w:cs="Arial" w:eastAsia="Arial" w:hAnsi="Arial"/>
                <w:sz w:val="18"/>
                <w:szCs w:val="18"/>
                <w:color w:val="auto"/>
              </w:rPr>
              <w:t>/s/ Vijay Pande</w:t>
            </w:r>
          </w:p>
        </w:tc>
        <w:tc>
          <w:tcPr>
            <w:tcW w:w="24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20" w:type="dxa"/>
            <w:vAlign w:val="bottom"/>
          </w:tcPr>
          <w:p>
            <w:pPr>
              <w:spacing w:after="0"/>
              <w:rPr>
                <w:sz w:val="2"/>
                <w:szCs w:val="2"/>
                <w:color w:val="auto"/>
              </w:rPr>
            </w:pPr>
          </w:p>
        </w:tc>
      </w:tr>
      <w:tr>
        <w:trPr>
          <w:trHeight w:val="236"/>
        </w:trPr>
        <w:tc>
          <w:tcPr>
            <w:tcW w:w="3580" w:type="dxa"/>
            <w:vAlign w:val="bottom"/>
          </w:tcPr>
          <w:p>
            <w:pPr>
              <w:ind w:left="40"/>
              <w:spacing w:after="0"/>
              <w:rPr>
                <w:sz w:val="20"/>
                <w:szCs w:val="20"/>
                <w:color w:val="auto"/>
              </w:rPr>
            </w:pPr>
            <w:r>
              <w:rPr>
                <w:rFonts w:ascii="Arial" w:cs="Arial" w:eastAsia="Arial" w:hAnsi="Arial"/>
                <w:sz w:val="18"/>
                <w:szCs w:val="18"/>
                <w:color w:val="auto"/>
              </w:rPr>
              <w:t>Vijay Pande</w:t>
            </w:r>
          </w:p>
        </w:tc>
        <w:tc>
          <w:tcPr>
            <w:tcW w:w="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34290</wp:posOffset>
            </wp:positionV>
            <wp:extent cx="1225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August 10, 2021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August 10, 2021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August 10, 2021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August 10, 2021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August 10, 2021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August 10, 2021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August 10, 2021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August 10, 2021</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August 10, 2021</w:t>
      </w:r>
    </w:p>
    <w:p>
      <w:pPr>
        <w:sectPr>
          <w:pgSz w:w="11900" w:h="16838" w:orient="portrait"/>
          <w:cols w:equalWidth="0" w:num="2">
            <w:col w:w="9040" w:space="620"/>
            <w:col w:w="1560"/>
          </w:cols>
          <w:pgMar w:left="320" w:top="1417" w:right="35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000"/>
        <w:spacing w:after="0"/>
        <w:rPr>
          <w:sz w:val="20"/>
          <w:szCs w:val="20"/>
          <w:color w:val="auto"/>
        </w:rPr>
      </w:pPr>
      <w:r>
        <w:rPr>
          <w:rFonts w:ascii="Arial" w:cs="Arial" w:eastAsia="Arial" w:hAnsi="Arial"/>
          <w:sz w:val="14"/>
          <w:szCs w:val="14"/>
          <w:color w:val="003D4C"/>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-55245</wp:posOffset>
            </wp:positionV>
            <wp:extent cx="1097280" cy="419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extLst>
                    </a:blip>
                    <a:srcRect/>
                    <a:stretch>
                      <a:fillRect/>
                    </a:stretch>
                  </pic:blipFill>
                  <pic:spPr bwMode="auto">
                    <a:xfrm>
                      <a:off x="0" y="0"/>
                      <a:ext cx="1097280" cy="419735"/>
                    </a:xfrm>
                    <a:prstGeom prst="rect">
                      <a:avLst/>
                    </a:prstGeom>
                    <a:noFill/>
                  </pic:spPr>
                </pic:pic>
              </a:graphicData>
            </a:graphic>
          </wp:anchor>
        </w:drawing>
      </w:r>
    </w:p>
    <w:p>
      <w:pPr>
        <w:ind w:left="7000"/>
        <w:spacing w:after="0"/>
        <w:rPr>
          <w:sz w:val="20"/>
          <w:szCs w:val="20"/>
          <w:color w:val="auto"/>
        </w:rPr>
      </w:pPr>
      <w:r>
        <w:rPr>
          <w:rFonts w:ascii="Arial" w:cs="Arial" w:eastAsia="Arial" w:hAnsi="Arial"/>
          <w:sz w:val="14"/>
          <w:szCs w:val="14"/>
          <w:color w:val="003D4C"/>
        </w:rPr>
        <w:t>Professional Corporation</w:t>
      </w:r>
    </w:p>
    <w:p>
      <w:pPr>
        <w:spacing w:after="0" w:line="97" w:lineRule="exact"/>
        <w:rPr>
          <w:sz w:val="20"/>
          <w:szCs w:val="20"/>
          <w:color w:val="auto"/>
        </w:rPr>
      </w:pPr>
    </w:p>
    <w:p>
      <w:pPr>
        <w:ind w:left="7000"/>
        <w:spacing w:after="0"/>
        <w:rPr>
          <w:sz w:val="20"/>
          <w:szCs w:val="20"/>
          <w:color w:val="auto"/>
        </w:rPr>
      </w:pPr>
      <w:r>
        <w:rPr>
          <w:rFonts w:ascii="Arial" w:cs="Arial" w:eastAsia="Arial" w:hAnsi="Arial"/>
          <w:sz w:val="14"/>
          <w:szCs w:val="14"/>
          <w:color w:val="003D4C"/>
        </w:rPr>
        <w:t>650 Page Mill Road</w:t>
      </w:r>
    </w:p>
    <w:p>
      <w:pPr>
        <w:spacing w:after="0" w:line="13" w:lineRule="exact"/>
        <w:rPr>
          <w:sz w:val="20"/>
          <w:szCs w:val="20"/>
          <w:color w:val="auto"/>
        </w:rPr>
      </w:pPr>
    </w:p>
    <w:p>
      <w:pPr>
        <w:ind w:left="7000"/>
        <w:spacing w:after="0"/>
        <w:rPr>
          <w:sz w:val="20"/>
          <w:szCs w:val="20"/>
          <w:color w:val="auto"/>
        </w:rPr>
      </w:pPr>
      <w:r>
        <w:rPr>
          <w:rFonts w:ascii="Arial" w:cs="Arial" w:eastAsia="Arial" w:hAnsi="Arial"/>
          <w:sz w:val="14"/>
          <w:szCs w:val="14"/>
          <w:color w:val="003D4C"/>
        </w:rPr>
        <w:t>Palo Alto, CA 94304-1050</w:t>
      </w:r>
    </w:p>
    <w:p>
      <w:pPr>
        <w:spacing w:after="0" w:line="97" w:lineRule="exact"/>
        <w:rPr>
          <w:sz w:val="20"/>
          <w:szCs w:val="20"/>
          <w:color w:val="auto"/>
        </w:rPr>
      </w:pPr>
    </w:p>
    <w:p>
      <w:pPr>
        <w:ind w:left="7000"/>
        <w:spacing w:after="0"/>
        <w:rPr>
          <w:sz w:val="20"/>
          <w:szCs w:val="20"/>
          <w:color w:val="auto"/>
        </w:rPr>
      </w:pPr>
      <w:r>
        <w:rPr>
          <w:rFonts w:ascii="Arial" w:cs="Arial" w:eastAsia="Arial" w:hAnsi="Arial"/>
          <w:sz w:val="14"/>
          <w:szCs w:val="14"/>
          <w:color w:val="003D4C"/>
        </w:rPr>
        <w:t>o: 650.493.9300</w:t>
      </w:r>
    </w:p>
    <w:p>
      <w:pPr>
        <w:spacing w:after="0" w:line="13" w:lineRule="exact"/>
        <w:rPr>
          <w:sz w:val="20"/>
          <w:szCs w:val="20"/>
          <w:color w:val="auto"/>
        </w:rPr>
      </w:pPr>
    </w:p>
    <w:p>
      <w:pPr>
        <w:ind w:left="7000"/>
        <w:spacing w:after="0"/>
        <w:rPr>
          <w:sz w:val="20"/>
          <w:szCs w:val="20"/>
          <w:color w:val="auto"/>
        </w:rPr>
      </w:pPr>
      <w:r>
        <w:rPr>
          <w:rFonts w:ascii="Arial" w:cs="Arial" w:eastAsia="Arial" w:hAnsi="Arial"/>
          <w:sz w:val="14"/>
          <w:szCs w:val="14"/>
          <w:color w:val="003D4C"/>
        </w:rPr>
        <w:t>f: 650.493.6811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August 10, 2021</w:t>
      </w:r>
    </w:p>
    <w:p>
      <w:pPr>
        <w:spacing w:after="0" w:line="227" w:lineRule="auto"/>
        <w:rPr>
          <w:sz w:val="20"/>
          <w:szCs w:val="20"/>
          <w:color w:val="auto"/>
        </w:rPr>
      </w:pPr>
      <w:r>
        <w:rPr>
          <w:rFonts w:ascii="Arial" w:cs="Arial" w:eastAsia="Arial" w:hAnsi="Arial"/>
          <w:sz w:val="20"/>
          <w:szCs w:val="20"/>
          <w:color w:val="auto"/>
        </w:rPr>
        <w:t>Nautilus Biotechnology, Inc.</w:t>
      </w:r>
    </w:p>
    <w:p>
      <w:pPr>
        <w:spacing w:after="0" w:line="225" w:lineRule="auto"/>
        <w:rPr>
          <w:sz w:val="20"/>
          <w:szCs w:val="20"/>
          <w:color w:val="auto"/>
        </w:rPr>
      </w:pPr>
      <w:r>
        <w:rPr>
          <w:rFonts w:ascii="Arial" w:cs="Arial" w:eastAsia="Arial" w:hAnsi="Arial"/>
          <w:sz w:val="20"/>
          <w:szCs w:val="20"/>
          <w:color w:val="auto"/>
        </w:rPr>
        <w:t>425 Ponitus Ave N, Ste 202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Seattle, WA 98109</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 </w:t>
      </w:r>
      <w:r>
        <w:rPr>
          <w:rFonts w:ascii="Arial" w:cs="Arial" w:eastAsia="Arial" w:hAnsi="Arial"/>
          <w:sz w:val="21"/>
          <w:szCs w:val="21"/>
          <w:b w:val="1"/>
          <w:bCs w:val="1"/>
          <w:u w:val="single" w:color="auto"/>
          <w:color w:val="auto"/>
        </w:rPr>
        <w:t>Reoffer Registration Statement on Form S-8</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4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We are acting as counsel to Nautilus Biotechnology, Inc., a Delaware corporation (the “</w:t>
      </w:r>
      <w:r>
        <w:rPr>
          <w:rFonts w:ascii="Arial" w:cs="Arial" w:eastAsia="Arial" w:hAnsi="Arial"/>
          <w:sz w:val="19"/>
          <w:szCs w:val="19"/>
          <w:u w:val="single" w:color="auto"/>
          <w:color w:val="auto"/>
        </w:rPr>
        <w:t>Company</w:t>
      </w:r>
      <w:r>
        <w:rPr>
          <w:rFonts w:ascii="Arial" w:cs="Arial" w:eastAsia="Arial" w:hAnsi="Arial"/>
          <w:sz w:val="18"/>
          <w:szCs w:val="18"/>
          <w:color w:val="auto"/>
        </w:rPr>
        <w:t>”), in connection with the filing by the Company with the Securities and Exchange Commission of a Registration Statement on Form S-8 (the “</w:t>
      </w:r>
      <w:r>
        <w:rPr>
          <w:rFonts w:ascii="Arial" w:cs="Arial" w:eastAsia="Arial" w:hAnsi="Arial"/>
          <w:sz w:val="19"/>
          <w:szCs w:val="19"/>
          <w:u w:val="single" w:color="auto"/>
          <w:color w:val="auto"/>
        </w:rPr>
        <w:t>Registration Statement</w:t>
      </w:r>
      <w:r>
        <w:rPr>
          <w:rFonts w:ascii="Arial" w:cs="Arial" w:eastAsia="Arial" w:hAnsi="Arial"/>
          <w:sz w:val="18"/>
          <w:szCs w:val="18"/>
          <w:color w:val="auto"/>
        </w:rPr>
        <w:t>”)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8"/>
          <w:szCs w:val="18"/>
          <w:color w:val="auto"/>
        </w:rPr>
        <w:t>”), covering the registration for resale under the Securities Act of an aggregate of up to 4,107,524 shares (the “</w:t>
      </w:r>
      <w:r>
        <w:rPr>
          <w:rFonts w:ascii="Arial" w:cs="Arial" w:eastAsia="Arial" w:hAnsi="Arial"/>
          <w:sz w:val="19"/>
          <w:szCs w:val="19"/>
          <w:u w:val="single" w:color="auto"/>
          <w:color w:val="auto"/>
        </w:rPr>
        <w:t>Shares</w:t>
      </w:r>
      <w:r>
        <w:rPr>
          <w:rFonts w:ascii="Arial" w:cs="Arial" w:eastAsia="Arial" w:hAnsi="Arial"/>
          <w:sz w:val="18"/>
          <w:szCs w:val="18"/>
          <w:color w:val="auto"/>
        </w:rPr>
        <w:t>”) of the Company’s common stock, $0.0001 par value per share (“</w:t>
      </w:r>
      <w:r>
        <w:rPr>
          <w:rFonts w:ascii="Arial" w:cs="Arial" w:eastAsia="Arial" w:hAnsi="Arial"/>
          <w:sz w:val="19"/>
          <w:szCs w:val="19"/>
          <w:u w:val="single" w:color="auto"/>
          <w:color w:val="auto"/>
        </w:rPr>
        <w:t>Common Stock</w:t>
      </w:r>
      <w:r>
        <w:rPr>
          <w:rFonts w:ascii="Arial" w:cs="Arial" w:eastAsia="Arial" w:hAnsi="Arial"/>
          <w:sz w:val="18"/>
          <w:szCs w:val="18"/>
          <w:color w:val="auto"/>
        </w:rPr>
        <w:t>”), consisting of (i) up to 370,961 shares of Common Stock (the “</w:t>
      </w:r>
      <w:r>
        <w:rPr>
          <w:rFonts w:ascii="Arial" w:cs="Arial" w:eastAsia="Arial" w:hAnsi="Arial"/>
          <w:sz w:val="19"/>
          <w:szCs w:val="19"/>
          <w:u w:val="single" w:color="auto"/>
          <w:color w:val="auto"/>
        </w:rPr>
        <w:t>2021 Plan Shares</w:t>
      </w:r>
      <w:r>
        <w:rPr>
          <w:rFonts w:ascii="Arial" w:cs="Arial" w:eastAsia="Arial" w:hAnsi="Arial"/>
          <w:sz w:val="18"/>
          <w:szCs w:val="18"/>
          <w:color w:val="auto"/>
        </w:rPr>
        <w:t>”) that may be issued upon the exercise of stock options outstanding under the Company’s 2021 Equity Incentive Plan (the “</w:t>
      </w:r>
      <w:r>
        <w:rPr>
          <w:rFonts w:ascii="Arial" w:cs="Arial" w:eastAsia="Arial" w:hAnsi="Arial"/>
          <w:sz w:val="19"/>
          <w:szCs w:val="19"/>
          <w:u w:val="single" w:color="auto"/>
          <w:color w:val="auto"/>
        </w:rPr>
        <w:t>2021 Plan</w:t>
      </w:r>
      <w:r>
        <w:rPr>
          <w:rFonts w:ascii="Arial" w:cs="Arial" w:eastAsia="Arial" w:hAnsi="Arial"/>
          <w:sz w:val="18"/>
          <w:szCs w:val="18"/>
          <w:color w:val="auto"/>
        </w:rPr>
        <w:t>”), (ii) up to 3,680,026 shares of Common Stock (the “</w:t>
      </w:r>
      <w:r>
        <w:rPr>
          <w:rFonts w:ascii="Arial" w:cs="Arial" w:eastAsia="Arial" w:hAnsi="Arial"/>
          <w:sz w:val="19"/>
          <w:szCs w:val="19"/>
          <w:u w:val="single" w:color="auto"/>
          <w:color w:val="auto"/>
        </w:rPr>
        <w:t>2017 Plan Shares</w:t>
      </w:r>
      <w:r>
        <w:rPr>
          <w:rFonts w:ascii="Arial" w:cs="Arial" w:eastAsia="Arial" w:hAnsi="Arial"/>
          <w:sz w:val="18"/>
          <w:szCs w:val="18"/>
          <w:color w:val="auto"/>
        </w:rPr>
        <w:t>,” and together with the 2021 Plan Shares, the “</w:t>
      </w:r>
      <w:r>
        <w:rPr>
          <w:rFonts w:ascii="Arial" w:cs="Arial" w:eastAsia="Arial" w:hAnsi="Arial"/>
          <w:sz w:val="19"/>
          <w:szCs w:val="19"/>
          <w:u w:val="single" w:color="auto"/>
          <w:color w:val="auto"/>
        </w:rPr>
        <w:t>Option Shares</w:t>
      </w:r>
      <w:r>
        <w:rPr>
          <w:rFonts w:ascii="Arial" w:cs="Arial" w:eastAsia="Arial" w:hAnsi="Arial"/>
          <w:sz w:val="18"/>
          <w:szCs w:val="18"/>
          <w:color w:val="auto"/>
        </w:rPr>
        <w:t>”) that may be issued upon the exercise of stock options outstanding under the Company’s 2017 Equity Incentive Plan, as amended (the “</w:t>
      </w:r>
      <w:r>
        <w:rPr>
          <w:rFonts w:ascii="Arial" w:cs="Arial" w:eastAsia="Arial" w:hAnsi="Arial"/>
          <w:sz w:val="19"/>
          <w:szCs w:val="19"/>
          <w:u w:val="single" w:color="auto"/>
          <w:color w:val="auto"/>
        </w:rPr>
        <w:t>2017 Plan</w:t>
      </w:r>
      <w:r>
        <w:rPr>
          <w:rFonts w:ascii="Arial" w:cs="Arial" w:eastAsia="Arial" w:hAnsi="Arial"/>
          <w:sz w:val="18"/>
          <w:szCs w:val="18"/>
          <w:color w:val="auto"/>
        </w:rPr>
        <w:t>,” and, collectively with the 2021 Plan, the “</w:t>
      </w:r>
      <w:r>
        <w:rPr>
          <w:rFonts w:ascii="Arial" w:cs="Arial" w:eastAsia="Arial" w:hAnsi="Arial"/>
          <w:sz w:val="19"/>
          <w:szCs w:val="19"/>
          <w:u w:val="single" w:color="auto"/>
          <w:color w:val="auto"/>
        </w:rPr>
        <w:t>Plans</w:t>
      </w:r>
      <w:r>
        <w:rPr>
          <w:rFonts w:ascii="Arial" w:cs="Arial" w:eastAsia="Arial" w:hAnsi="Arial"/>
          <w:sz w:val="18"/>
          <w:szCs w:val="18"/>
          <w:color w:val="auto"/>
        </w:rPr>
        <w:t>”), and (iii) 56,537 shares of Common Stock issued upon the exercise of stock options granted under the 2017 Plan (the “</w:t>
      </w:r>
      <w:r>
        <w:rPr>
          <w:rFonts w:ascii="Arial" w:cs="Arial" w:eastAsia="Arial" w:hAnsi="Arial"/>
          <w:sz w:val="19"/>
          <w:szCs w:val="19"/>
          <w:u w:val="single" w:color="auto"/>
          <w:color w:val="auto"/>
        </w:rPr>
        <w:t>Issued Shares</w:t>
      </w:r>
      <w:r>
        <w:rPr>
          <w:rFonts w:ascii="Arial" w:cs="Arial" w:eastAsia="Arial" w:hAnsi="Arial"/>
          <w:sz w:val="18"/>
          <w:szCs w:val="18"/>
          <w:color w:val="auto"/>
        </w:rPr>
        <w:t>”), on behalf of the selling securityholders or their permitted transferees described in the prospectus included in the Registration Statement.</w:t>
      </w:r>
    </w:p>
    <w:p>
      <w:pPr>
        <w:spacing w:after="0" w:line="1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We have examined such instruments, documents, certificates and records, and such questions of law, as we have considered necessary or appropriate for the basis of our opinions hereinafter expressed.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that the Registration Statement, and any amendments thereto, will have become effective under the Securities Act; and (v) the legal capacity and competency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12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Based upon the foregoing, and subject to the qualifications set forth below, we are of the opinion that (i) when the Option Shares have been issued pursuant to the applicable provisions of the Plans and pursuant to the agreements which accompany the Plans, and in accordance with the Registration Statement, such Option Shares will be validly issued, fully paid and non-assessable and (ii) the Issued Shares are validly issued, fully paid and non-assessable.</w:t>
      </w:r>
    </w:p>
    <w:p>
      <w:pPr>
        <w:spacing w:after="0" w:line="1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express no opinion as to the laws of any jurisdiction, other than the Federal laws of the United States of America and the General Corporation Law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700"/>
        <w:spacing w:after="0"/>
        <w:tabs>
          <w:tab w:leader="none" w:pos="2420" w:val="left"/>
          <w:tab w:leader="none" w:pos="3160" w:val="left"/>
          <w:tab w:leader="none" w:pos="3920" w:val="left"/>
          <w:tab w:leader="none" w:pos="4840" w:val="left"/>
          <w:tab w:leader="none" w:pos="5900" w:val="left"/>
          <w:tab w:leader="none" w:pos="6720" w:val="left"/>
          <w:tab w:leader="none" w:pos="7880" w:val="left"/>
          <w:tab w:leader="none" w:pos="8860" w:val="left"/>
        </w:tabs>
        <w:rPr>
          <w:sz w:val="20"/>
          <w:szCs w:val="20"/>
          <w:color w:val="auto"/>
        </w:rPr>
      </w:pPr>
      <w:r>
        <w:rPr>
          <w:rFonts w:ascii="Arial" w:cs="Arial" w:eastAsia="Arial" w:hAnsi="Arial"/>
          <w:sz w:val="13"/>
          <w:szCs w:val="13"/>
          <w:color w:val="003D4C"/>
        </w:rPr>
        <w:t>AUSTIN</w:t>
      </w:r>
      <w:r>
        <w:rPr>
          <w:sz w:val="20"/>
          <w:szCs w:val="20"/>
          <w:color w:val="auto"/>
        </w:rPr>
        <w:tab/>
      </w:r>
      <w:r>
        <w:rPr>
          <w:rFonts w:ascii="Arial" w:cs="Arial" w:eastAsia="Arial" w:hAnsi="Arial"/>
          <w:sz w:val="13"/>
          <w:szCs w:val="13"/>
          <w:color w:val="003D4C"/>
        </w:rPr>
        <w:t>BEIJING</w:t>
      </w:r>
      <w:r>
        <w:rPr>
          <w:sz w:val="20"/>
          <w:szCs w:val="20"/>
          <w:color w:val="auto"/>
        </w:rPr>
        <w:tab/>
      </w:r>
      <w:r>
        <w:rPr>
          <w:rFonts w:ascii="Arial" w:cs="Arial" w:eastAsia="Arial" w:hAnsi="Arial"/>
          <w:sz w:val="13"/>
          <w:szCs w:val="13"/>
          <w:color w:val="003D4C"/>
        </w:rPr>
        <w:t>BOSTON</w:t>
      </w:r>
      <w:r>
        <w:rPr>
          <w:sz w:val="20"/>
          <w:szCs w:val="20"/>
          <w:color w:val="auto"/>
        </w:rPr>
        <w:tab/>
      </w:r>
      <w:r>
        <w:rPr>
          <w:rFonts w:ascii="Arial" w:cs="Arial" w:eastAsia="Arial" w:hAnsi="Arial"/>
          <w:sz w:val="13"/>
          <w:szCs w:val="13"/>
          <w:color w:val="003D4C"/>
        </w:rPr>
        <w:t>BRUSSELS</w:t>
      </w:r>
      <w:r>
        <w:rPr>
          <w:sz w:val="20"/>
          <w:szCs w:val="20"/>
          <w:color w:val="auto"/>
        </w:rPr>
        <w:tab/>
      </w:r>
      <w:r>
        <w:rPr>
          <w:rFonts w:ascii="Arial" w:cs="Arial" w:eastAsia="Arial" w:hAnsi="Arial"/>
          <w:sz w:val="13"/>
          <w:szCs w:val="13"/>
          <w:color w:val="003D4C"/>
        </w:rPr>
        <w:t>HONG KONG</w:t>
      </w:r>
      <w:r>
        <w:rPr>
          <w:sz w:val="20"/>
          <w:szCs w:val="20"/>
          <w:color w:val="auto"/>
        </w:rPr>
        <w:tab/>
      </w:r>
      <w:r>
        <w:rPr>
          <w:rFonts w:ascii="Arial" w:cs="Arial" w:eastAsia="Arial" w:hAnsi="Arial"/>
          <w:sz w:val="13"/>
          <w:szCs w:val="13"/>
          <w:color w:val="003D4C"/>
        </w:rPr>
        <w:t>LONDON</w:t>
      </w:r>
      <w:r>
        <w:rPr>
          <w:sz w:val="20"/>
          <w:szCs w:val="20"/>
          <w:color w:val="auto"/>
        </w:rPr>
        <w:tab/>
      </w:r>
      <w:r>
        <w:rPr>
          <w:rFonts w:ascii="Arial" w:cs="Arial" w:eastAsia="Arial" w:hAnsi="Arial"/>
          <w:sz w:val="13"/>
          <w:szCs w:val="13"/>
          <w:color w:val="003D4C"/>
        </w:rPr>
        <w:t>LOS ANGELES</w:t>
      </w:r>
      <w:r>
        <w:rPr>
          <w:sz w:val="20"/>
          <w:szCs w:val="20"/>
          <w:color w:val="auto"/>
        </w:rPr>
        <w:tab/>
      </w:r>
      <w:r>
        <w:rPr>
          <w:rFonts w:ascii="Arial" w:cs="Arial" w:eastAsia="Arial" w:hAnsi="Arial"/>
          <w:sz w:val="13"/>
          <w:szCs w:val="13"/>
          <w:color w:val="003D4C"/>
        </w:rPr>
        <w:t>NEW YORK</w:t>
      </w:r>
      <w:r>
        <w:rPr>
          <w:sz w:val="20"/>
          <w:szCs w:val="20"/>
          <w:color w:val="auto"/>
        </w:rPr>
        <w:tab/>
      </w:r>
      <w:r>
        <w:rPr>
          <w:rFonts w:ascii="Arial" w:cs="Arial" w:eastAsia="Arial" w:hAnsi="Arial"/>
          <w:sz w:val="12"/>
          <w:szCs w:val="12"/>
          <w:color w:val="003D4C"/>
        </w:rPr>
        <w:t>PALO ALTO</w:t>
      </w:r>
    </w:p>
    <w:p>
      <w:pPr>
        <w:spacing w:after="0" w:line="40" w:lineRule="exact"/>
        <w:rPr>
          <w:sz w:val="20"/>
          <w:szCs w:val="20"/>
          <w:color w:val="auto"/>
        </w:rPr>
      </w:pPr>
    </w:p>
    <w:p>
      <w:pPr>
        <w:jc w:val="center"/>
        <w:ind w:right="-19"/>
        <w:spacing w:after="0"/>
        <w:tabs>
          <w:tab w:leader="none" w:pos="220" w:val="left"/>
          <w:tab w:leader="none" w:pos="220" w:val="left"/>
          <w:tab w:leader="none" w:pos="240" w:val="left"/>
          <w:tab w:leader="none" w:pos="220" w:val="left"/>
          <w:tab w:leader="none" w:pos="240" w:val="left"/>
        </w:tabs>
        <w:rPr>
          <w:sz w:val="20"/>
          <w:szCs w:val="20"/>
          <w:color w:val="auto"/>
        </w:rPr>
      </w:pPr>
      <w:r>
        <w:rPr>
          <w:rFonts w:ascii="Arial" w:cs="Arial" w:eastAsia="Arial" w:hAnsi="Arial"/>
          <w:sz w:val="13"/>
          <w:szCs w:val="13"/>
          <w:color w:val="003D4C"/>
        </w:rPr>
        <w:t>SAN DIEGO</w:t>
      </w:r>
      <w:r>
        <w:rPr>
          <w:sz w:val="20"/>
          <w:szCs w:val="20"/>
          <w:color w:val="auto"/>
        </w:rPr>
        <w:tab/>
      </w:r>
      <w:r>
        <w:rPr>
          <w:rFonts w:ascii="Arial" w:cs="Arial" w:eastAsia="Arial" w:hAnsi="Arial"/>
          <w:sz w:val="13"/>
          <w:szCs w:val="13"/>
          <w:color w:val="003D4C"/>
        </w:rPr>
        <w:t>SAN FRANCISCO</w:t>
      </w:r>
      <w:r>
        <w:rPr>
          <w:sz w:val="20"/>
          <w:szCs w:val="20"/>
          <w:color w:val="auto"/>
        </w:rPr>
        <w:tab/>
      </w:r>
      <w:r>
        <w:rPr>
          <w:rFonts w:ascii="Arial" w:cs="Arial" w:eastAsia="Arial" w:hAnsi="Arial"/>
          <w:sz w:val="13"/>
          <w:szCs w:val="13"/>
          <w:color w:val="003D4C"/>
        </w:rPr>
        <w:t>SEATTLE</w:t>
      </w:r>
      <w:r>
        <w:rPr>
          <w:sz w:val="20"/>
          <w:szCs w:val="20"/>
          <w:color w:val="auto"/>
        </w:rPr>
        <w:tab/>
      </w:r>
      <w:r>
        <w:rPr>
          <w:rFonts w:ascii="Arial" w:cs="Arial" w:eastAsia="Arial" w:hAnsi="Arial"/>
          <w:sz w:val="13"/>
          <w:szCs w:val="13"/>
          <w:color w:val="003D4C"/>
        </w:rPr>
        <w:t>SHANGHAI</w:t>
      </w:r>
      <w:r>
        <w:rPr>
          <w:sz w:val="20"/>
          <w:szCs w:val="20"/>
          <w:color w:val="auto"/>
        </w:rPr>
        <w:tab/>
      </w:r>
      <w:r>
        <w:rPr>
          <w:rFonts w:ascii="Arial" w:cs="Arial" w:eastAsia="Arial" w:hAnsi="Arial"/>
          <w:sz w:val="13"/>
          <w:szCs w:val="13"/>
          <w:color w:val="003D4C"/>
        </w:rPr>
        <w:t>WASHINGTON, DC</w:t>
      </w:r>
      <w:r>
        <w:rPr>
          <w:sz w:val="20"/>
          <w:szCs w:val="20"/>
          <w:color w:val="auto"/>
        </w:rPr>
        <w:tab/>
      </w:r>
      <w:r>
        <w:rPr>
          <w:rFonts w:ascii="Arial" w:cs="Arial" w:eastAsia="Arial" w:hAnsi="Arial"/>
          <w:sz w:val="12"/>
          <w:szCs w:val="12"/>
          <w:color w:val="003D4C"/>
        </w:rPr>
        <w:t>WILMINGTON, DE</w:t>
      </w:r>
    </w:p>
    <w:p>
      <w:pPr>
        <w:sectPr>
          <w:pgSz w:w="11900" w:h="16838" w:orient="portrait"/>
          <w:cols w:equalWidth="0" w:num="1">
            <w:col w:w="11240"/>
          </w:cols>
          <w:pgMar w:left="320" w:top="121" w:right="3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1160145</wp:posOffset>
            </wp:positionV>
            <wp:extent cx="53975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3975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and any amendments thereto. In giving such consent, we do not believe we are “experts” within the meaning of such term as used in the Securities Act or the rules and regulations issued thereunder nor do we admit that we are in the category of persons whose consent is required under Section 7 of the Securities Act or the rules and regulations thereunder.</w:t>
      </w:r>
    </w:p>
    <w:p>
      <w:pPr>
        <w:spacing w:after="0" w:line="159"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Very truly yours,</w:t>
      </w:r>
    </w:p>
    <w:p>
      <w:pPr>
        <w:spacing w:after="0" w:line="256"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WILSON SONSINI GOODRICH &amp; ROSATI</w:t>
      </w:r>
    </w:p>
    <w:p>
      <w:pPr>
        <w:spacing w:after="0" w:line="40"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Professional Corporation</w:t>
      </w:r>
    </w:p>
    <w:p>
      <w:pPr>
        <w:spacing w:after="0" w:line="256"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/s/ Wilson Sonsini Goodrich &amp; Rosati,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700"/>
        <w:spacing w:after="0"/>
        <w:tabs>
          <w:tab w:leader="none" w:pos="2420" w:val="left"/>
          <w:tab w:leader="none" w:pos="3160" w:val="left"/>
          <w:tab w:leader="none" w:pos="3920" w:val="left"/>
          <w:tab w:leader="none" w:pos="4840" w:val="left"/>
          <w:tab w:leader="none" w:pos="5900" w:val="left"/>
          <w:tab w:leader="none" w:pos="6720" w:val="left"/>
          <w:tab w:leader="none" w:pos="7880" w:val="left"/>
          <w:tab w:leader="none" w:pos="8860" w:val="left"/>
        </w:tabs>
        <w:rPr>
          <w:sz w:val="20"/>
          <w:szCs w:val="20"/>
          <w:color w:val="auto"/>
        </w:rPr>
      </w:pPr>
      <w:r>
        <w:rPr>
          <w:rFonts w:ascii="Arial" w:cs="Arial" w:eastAsia="Arial" w:hAnsi="Arial"/>
          <w:sz w:val="13"/>
          <w:szCs w:val="13"/>
          <w:color w:val="003D4C"/>
        </w:rPr>
        <w:t>AUSTIN</w:t>
      </w:r>
      <w:r>
        <w:rPr>
          <w:sz w:val="20"/>
          <w:szCs w:val="20"/>
          <w:color w:val="auto"/>
        </w:rPr>
        <w:tab/>
      </w:r>
      <w:r>
        <w:rPr>
          <w:rFonts w:ascii="Arial" w:cs="Arial" w:eastAsia="Arial" w:hAnsi="Arial"/>
          <w:sz w:val="13"/>
          <w:szCs w:val="13"/>
          <w:color w:val="003D4C"/>
        </w:rPr>
        <w:t>BEIJING</w:t>
      </w:r>
      <w:r>
        <w:rPr>
          <w:sz w:val="20"/>
          <w:szCs w:val="20"/>
          <w:color w:val="auto"/>
        </w:rPr>
        <w:tab/>
      </w:r>
      <w:r>
        <w:rPr>
          <w:rFonts w:ascii="Arial" w:cs="Arial" w:eastAsia="Arial" w:hAnsi="Arial"/>
          <w:sz w:val="13"/>
          <w:szCs w:val="13"/>
          <w:color w:val="003D4C"/>
        </w:rPr>
        <w:t>BOSTON</w:t>
      </w:r>
      <w:r>
        <w:rPr>
          <w:sz w:val="20"/>
          <w:szCs w:val="20"/>
          <w:color w:val="auto"/>
        </w:rPr>
        <w:tab/>
      </w:r>
      <w:r>
        <w:rPr>
          <w:rFonts w:ascii="Arial" w:cs="Arial" w:eastAsia="Arial" w:hAnsi="Arial"/>
          <w:sz w:val="13"/>
          <w:szCs w:val="13"/>
          <w:color w:val="003D4C"/>
        </w:rPr>
        <w:t>BRUSSELS</w:t>
      </w:r>
      <w:r>
        <w:rPr>
          <w:sz w:val="20"/>
          <w:szCs w:val="20"/>
          <w:color w:val="auto"/>
        </w:rPr>
        <w:tab/>
      </w:r>
      <w:r>
        <w:rPr>
          <w:rFonts w:ascii="Arial" w:cs="Arial" w:eastAsia="Arial" w:hAnsi="Arial"/>
          <w:sz w:val="13"/>
          <w:szCs w:val="13"/>
          <w:color w:val="003D4C"/>
        </w:rPr>
        <w:t>HONG KONG</w:t>
      </w:r>
      <w:r>
        <w:rPr>
          <w:sz w:val="20"/>
          <w:szCs w:val="20"/>
          <w:color w:val="auto"/>
        </w:rPr>
        <w:tab/>
      </w:r>
      <w:r>
        <w:rPr>
          <w:rFonts w:ascii="Arial" w:cs="Arial" w:eastAsia="Arial" w:hAnsi="Arial"/>
          <w:sz w:val="13"/>
          <w:szCs w:val="13"/>
          <w:color w:val="003D4C"/>
        </w:rPr>
        <w:t>LONDON</w:t>
      </w:r>
      <w:r>
        <w:rPr>
          <w:sz w:val="20"/>
          <w:szCs w:val="20"/>
          <w:color w:val="auto"/>
        </w:rPr>
        <w:tab/>
      </w:r>
      <w:r>
        <w:rPr>
          <w:rFonts w:ascii="Arial" w:cs="Arial" w:eastAsia="Arial" w:hAnsi="Arial"/>
          <w:sz w:val="13"/>
          <w:szCs w:val="13"/>
          <w:color w:val="003D4C"/>
        </w:rPr>
        <w:t>LOS ANGELES</w:t>
      </w:r>
      <w:r>
        <w:rPr>
          <w:sz w:val="20"/>
          <w:szCs w:val="20"/>
          <w:color w:val="auto"/>
        </w:rPr>
        <w:tab/>
      </w:r>
      <w:r>
        <w:rPr>
          <w:rFonts w:ascii="Arial" w:cs="Arial" w:eastAsia="Arial" w:hAnsi="Arial"/>
          <w:sz w:val="13"/>
          <w:szCs w:val="13"/>
          <w:color w:val="003D4C"/>
        </w:rPr>
        <w:t>NEW YORK</w:t>
      </w:r>
      <w:r>
        <w:rPr>
          <w:sz w:val="20"/>
          <w:szCs w:val="20"/>
          <w:color w:val="auto"/>
        </w:rPr>
        <w:tab/>
      </w:r>
      <w:r>
        <w:rPr>
          <w:rFonts w:ascii="Arial" w:cs="Arial" w:eastAsia="Arial" w:hAnsi="Arial"/>
          <w:sz w:val="12"/>
          <w:szCs w:val="12"/>
          <w:color w:val="003D4C"/>
        </w:rPr>
        <w:t>PALO ALTO</w:t>
      </w:r>
    </w:p>
    <w:p>
      <w:pPr>
        <w:spacing w:after="0" w:line="40" w:lineRule="exact"/>
        <w:rPr>
          <w:sz w:val="20"/>
          <w:szCs w:val="20"/>
          <w:color w:val="auto"/>
        </w:rPr>
      </w:pPr>
    </w:p>
    <w:p>
      <w:pPr>
        <w:jc w:val="center"/>
        <w:ind w:right="-19"/>
        <w:spacing w:after="0"/>
        <w:tabs>
          <w:tab w:leader="none" w:pos="220" w:val="left"/>
          <w:tab w:leader="none" w:pos="220" w:val="left"/>
          <w:tab w:leader="none" w:pos="240" w:val="left"/>
          <w:tab w:leader="none" w:pos="220" w:val="left"/>
          <w:tab w:leader="none" w:pos="240" w:val="left"/>
        </w:tabs>
        <w:rPr>
          <w:sz w:val="20"/>
          <w:szCs w:val="20"/>
          <w:color w:val="auto"/>
        </w:rPr>
      </w:pPr>
      <w:r>
        <w:rPr>
          <w:rFonts w:ascii="Arial" w:cs="Arial" w:eastAsia="Arial" w:hAnsi="Arial"/>
          <w:sz w:val="13"/>
          <w:szCs w:val="13"/>
          <w:color w:val="003D4C"/>
        </w:rPr>
        <w:t>SAN DIEGO</w:t>
      </w:r>
      <w:r>
        <w:rPr>
          <w:sz w:val="20"/>
          <w:szCs w:val="20"/>
          <w:color w:val="auto"/>
        </w:rPr>
        <w:tab/>
      </w:r>
      <w:r>
        <w:rPr>
          <w:rFonts w:ascii="Arial" w:cs="Arial" w:eastAsia="Arial" w:hAnsi="Arial"/>
          <w:sz w:val="13"/>
          <w:szCs w:val="13"/>
          <w:color w:val="003D4C"/>
        </w:rPr>
        <w:t>SAN FRANCISCO</w:t>
      </w:r>
      <w:r>
        <w:rPr>
          <w:sz w:val="20"/>
          <w:szCs w:val="20"/>
          <w:color w:val="auto"/>
        </w:rPr>
        <w:tab/>
      </w:r>
      <w:r>
        <w:rPr>
          <w:rFonts w:ascii="Arial" w:cs="Arial" w:eastAsia="Arial" w:hAnsi="Arial"/>
          <w:sz w:val="13"/>
          <w:szCs w:val="13"/>
          <w:color w:val="003D4C"/>
        </w:rPr>
        <w:t>SEATTLE</w:t>
      </w:r>
      <w:r>
        <w:rPr>
          <w:sz w:val="20"/>
          <w:szCs w:val="20"/>
          <w:color w:val="auto"/>
        </w:rPr>
        <w:tab/>
      </w:r>
      <w:r>
        <w:rPr>
          <w:rFonts w:ascii="Arial" w:cs="Arial" w:eastAsia="Arial" w:hAnsi="Arial"/>
          <w:sz w:val="13"/>
          <w:szCs w:val="13"/>
          <w:color w:val="003D4C"/>
        </w:rPr>
        <w:t>SHANGHAI</w:t>
      </w:r>
      <w:r>
        <w:rPr>
          <w:sz w:val="20"/>
          <w:szCs w:val="20"/>
          <w:color w:val="auto"/>
        </w:rPr>
        <w:tab/>
      </w:r>
      <w:r>
        <w:rPr>
          <w:rFonts w:ascii="Arial" w:cs="Arial" w:eastAsia="Arial" w:hAnsi="Arial"/>
          <w:sz w:val="13"/>
          <w:szCs w:val="13"/>
          <w:color w:val="003D4C"/>
        </w:rPr>
        <w:t>WASHINGTON, DC</w:t>
      </w:r>
      <w:r>
        <w:rPr>
          <w:sz w:val="20"/>
          <w:szCs w:val="20"/>
          <w:color w:val="auto"/>
        </w:rPr>
        <w:tab/>
      </w:r>
      <w:r>
        <w:rPr>
          <w:rFonts w:ascii="Arial" w:cs="Arial" w:eastAsia="Arial" w:hAnsi="Arial"/>
          <w:sz w:val="12"/>
          <w:szCs w:val="12"/>
          <w:color w:val="003D4C"/>
        </w:rPr>
        <w:t>WILMINGTON, DE</w:t>
      </w:r>
    </w:p>
    <w:p>
      <w:pPr>
        <w:sectPr>
          <w:pgSz w:w="11900" w:h="16838" w:orient="portrait"/>
          <w:cols w:equalWidth="0" w:num="1">
            <w:col w:w="11240"/>
          </w:cols>
          <w:pgMar w:left="320" w:top="1440"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24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We hereby consent to the incorporation by reference in this Registration Statement on Form S-8 of Nautilus Biotechnology, Inc. of our report dated March 26, 2021 relating to the financial statements of Nautilus Biotechnology, Inc., which appears in Nautilus Biotechnology, Inc.’s final prospectus filed pursuant to Rule 424(b) on August 6, 2021, in connection with the Registration Statement on Form S-1 (File No. 333-258100), as amended. We also consent to the reference to us under the heading “Experts” in this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Seattle, Washington</w:t>
      </w:r>
    </w:p>
    <w:p>
      <w:pPr>
        <w:spacing w:after="0"/>
        <w:rPr>
          <w:sz w:val="20"/>
          <w:szCs w:val="20"/>
          <w:color w:val="auto"/>
        </w:rPr>
      </w:pPr>
      <w:r>
        <w:rPr>
          <w:rFonts w:ascii="Arial" w:cs="Arial" w:eastAsia="Arial" w:hAnsi="Arial"/>
          <w:sz w:val="20"/>
          <w:szCs w:val="20"/>
          <w:color w:val="auto"/>
        </w:rPr>
        <w:t>August 10, 2021</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hereby consent to the incorporation by reference in the reoffer prospectus constituting a part of this Registration Statement on Form S-8 of our report dated March 26, 2021, relating to the financial statements of Nautilus Biotechnology Inc. (f/k/a ARYA Sciences Acquisition Corp III.) which is incorporated by reference in this reoffer prospectus, and to the reference to our Firm under the caption “Experts” in the reoffer prospectus.</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WithumSmith+Brown, PC</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10,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3"/>
    </w:lvl>
  </w:abstractNum>
  <w:abstractNum w:abstractNumId="6">
    <w:nsid w:val="140E0F76"/>
    <w:multiLevelType w:val="hybridMultilevel"/>
    <w:lvl w:ilvl="0">
      <w:lvlJc w:val="left"/>
      <w:lvlText w:val="(%1)"/>
      <w:numFmt w:val="decimal"/>
      <w:start w:val="13"/>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4"/>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lowerRoman"/>
      <w:start w:val="2"/>
    </w:lvl>
  </w:abstractNum>
  <w:abstractNum w:abstractNumId="17">
    <w:nsid w:val="431BD7B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30" Type="http://schemas.openxmlformats.org/officeDocument/2006/relationships/image" Target="media/image5.png"/><Relationship Id="rId31" Type="http://schemas.openxmlformats.org/officeDocument/2006/relationships/image" Target="media/image6.png"/><Relationship Id="rId32" Type="http://schemas.openxmlformats.org/officeDocument/2006/relationships/image" Target="media/image7.jpeg"/><Relationship Id="rId33" Type="http://schemas.openxmlformats.org/officeDocument/2006/relationships/image" Target="media/image8.jpeg"/><Relationship Id="rId12" Type="http://schemas.openxmlformats.org/officeDocument/2006/relationships/hyperlink" Target="https://www.sec.gov/Archives/edgar/data/1808805/000114036121010864/brhc10021542_10k.htm" TargetMode="External"/><Relationship Id="rId13" Type="http://schemas.openxmlformats.org/officeDocument/2006/relationships/hyperlink" Target="https://www.sec.gov/Archives/edgar/data/1808805/000114036121017275/brhc10024206_10q.htm" TargetMode="External"/><Relationship Id="rId14" Type="http://schemas.openxmlformats.org/officeDocument/2006/relationships/hyperlink" Target="https://www.sec.gov/Archives/edgar/data/1808805/000180880521000007/naut-20210630.htm" TargetMode="External"/><Relationship Id="rId15" Type="http://schemas.openxmlformats.org/officeDocument/2006/relationships/hyperlink" Target="https://www.sec.gov/Archives/edgar/data/1808805/000162828021016099/nautilus424b3.htm" TargetMode="External"/><Relationship Id="rId16" Type="http://schemas.openxmlformats.org/officeDocument/2006/relationships/hyperlink" Target="https://www.sec.gov/Archives/edgar/data/1808805/000114036121003650/brhc10019858_8k.htm" TargetMode="External"/><Relationship Id="rId17" Type="http://schemas.openxmlformats.org/officeDocument/2006/relationships/hyperlink" Target="https://www.sec.gov/Archives/edgar/data/1808805/000114036121019460/brhc10025344_8k.htm" TargetMode="External"/><Relationship Id="rId18" Type="http://schemas.openxmlformats.org/officeDocument/2006/relationships/hyperlink" Target="https://www.sec.gov/Archives/edgar/data/1808805/000162828021011835/aryaiii-8xk6821.htm" TargetMode="External"/><Relationship Id="rId19" Type="http://schemas.openxmlformats.org/officeDocument/2006/relationships/hyperlink" Target="https://www.sec.gov/Archives/edgar/data/1808805/000162828021011892/nautilus-form8xkclosing.htm" TargetMode="External"/><Relationship Id="rId20" Type="http://schemas.openxmlformats.org/officeDocument/2006/relationships/hyperlink" Target="https://www.sec.gov/Archives/edgar/data/1808805/000114036120017640/nt10013610x6_8a12b.htm" TargetMode="External"/><Relationship Id="rId21" Type="http://schemas.openxmlformats.org/officeDocument/2006/relationships/hyperlink" Target="https://www.sec.gov/Archives/edgar/data/1808805/000162828021011892/exhibit31-form8xkclosing.htm" TargetMode="External"/><Relationship Id="rId22" Type="http://schemas.openxmlformats.org/officeDocument/2006/relationships/hyperlink" Target="https://www.sec.gov/Archives/edgar/data/1808805/000162828021011892/exhibit32-form8xkclosing.htm" TargetMode="External"/><Relationship Id="rId23" Type="http://schemas.openxmlformats.org/officeDocument/2006/relationships/hyperlink" Target="https://www.sec.gov/Archives/edgar/data/1808805/000162828021011892/exhibit41-super8xkclosing.htm" TargetMode="External"/><Relationship Id="rId24" Type="http://schemas.openxmlformats.org/officeDocument/2006/relationships/hyperlink" Target="https://www.sec.gov/Archives/edgar/data/1808805/000162828021011892/exhibit104-form8xkclosing.htm" TargetMode="External"/><Relationship Id="rId25" Type="http://schemas.openxmlformats.org/officeDocument/2006/relationships/hyperlink" Target="https://www.sec.gov/Archives/edgar/data/1808805/000162828021005786/exhibit107-sx4.htm" TargetMode="External"/><Relationship Id="rId26" Type="http://schemas.openxmlformats.org/officeDocument/2006/relationships/hyperlink" Target="https://www.sec.gov/Archives/edgar/data/1808805/000162828021005786/exhibit108-sx4.htm" TargetMode="External"/><Relationship Id="rId27" Type="http://schemas.openxmlformats.org/officeDocument/2006/relationships/hyperlink" Target="https://www.sec.gov/Archives/edgar/data/1808805/000162828021005786/exhibit109-sx4.htm" TargetMode="External"/><Relationship Id="rId28" Type="http://schemas.openxmlformats.org/officeDocument/2006/relationships/hyperlink" Target="https://www.sec.gov/Archives/edgar/data/1808805/000162828021011892/exhibit105-form8xkclosing.htm" TargetMode="External"/><Relationship Id="rId29" Type="http://schemas.openxmlformats.org/officeDocument/2006/relationships/hyperlink" Target="https://www.sec.gov/Archives/edgar/data/1808805/000162828021005786/exhibit1011-sx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2021-08-10T16:24:00Z</dcterms:created>
  <dcterms:modified xsi:type="dcterms:W3CDTF">2021-08-10T16:24:00Z</dcterms:modified>
</cp:coreProperties>
</file>