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rPr/>
      </w:pPr>
      <w:r>
        <w:rPr/>
      </w:r>
    </w:p>
    <w:p>
      <w:pPr>
        <w:pStyle w:val="TextBody"/>
        <w:spacing w:lineRule="auto" w:line="288" w:before="0" w:after="0"/>
        <w:jc w:val="center"/>
        <w:rPr>
          <w:color w:val="000000"/>
        </w:rPr>
      </w:pPr>
      <w:r>
        <w:rPr>
          <w:color w:val="000000"/>
        </w:rPr>
        <w:t xml:space="preserv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left"/>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spacing w:lineRule="auto" w:line="288" w:before="20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spacing w:lineRule="auto" w:line="288" w:before="10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_________ to _________ </w:t>
      </w:r>
    </w:p>
    <w:p>
      <w:pPr>
        <w:pStyle w:val="TextBody"/>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001-39434</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p>
      <w:pPr>
        <w:pStyle w:val="TextBody"/>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p>
      <w:pPr>
        <w:pStyle w:val="TextBody"/>
        <w:spacing w:before="0" w:after="0"/>
        <w:jc w:val="center"/>
        <w:rPr/>
      </w:pPr>
      <w:r>
        <w:rPr/>
      </w:r>
    </w:p>
    <w:tbl>
      <w:tblPr>
        <w:tblW w:w="8834" w:type="dxa"/>
        <w:jc w:val="center"/>
        <w:tblInd w:w="0" w:type="dxa"/>
        <w:tblCellMar>
          <w:top w:w="28" w:type="dxa"/>
          <w:left w:w="28" w:type="dxa"/>
          <w:bottom w:w="28" w:type="dxa"/>
          <w:right w:w="28" w:type="dxa"/>
        </w:tblCellMar>
      </w:tblPr>
      <w:tblGrid>
        <w:gridCol w:w="1314"/>
        <w:gridCol w:w="1155"/>
        <w:gridCol w:w="1161"/>
        <w:gridCol w:w="1252"/>
        <w:gridCol w:w="1252"/>
        <w:gridCol w:w="1261"/>
        <w:gridCol w:w="419"/>
        <w:gridCol w:w="419"/>
        <w:gridCol w:w="601"/>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98-1541723</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2701 Eastlake Avenue East Seattle, Washington </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180"/>
              <w:jc w:val="center"/>
              <w:rPr/>
            </w:pPr>
            <w:r>
              <w:rPr/>
            </w:r>
          </w:p>
          <w:p>
            <w:pPr>
              <w:pStyle w:val="TableContents"/>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98102</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(206) 333-2001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58" w:type="dxa"/>
        <w:jc w:val="center"/>
        <w:tblInd w:w="0" w:type="dxa"/>
        <w:tblCellMar>
          <w:top w:w="28" w:type="dxa"/>
          <w:left w:w="28" w:type="dxa"/>
          <w:bottom w:w="28" w:type="dxa"/>
          <w:right w:w="28" w:type="dxa"/>
        </w:tblCellMar>
      </w:tblPr>
      <w:tblGrid>
        <w:gridCol w:w="1171"/>
        <w:gridCol w:w="1028"/>
        <w:gridCol w:w="1040"/>
        <w:gridCol w:w="564"/>
        <w:gridCol w:w="564"/>
        <w:gridCol w:w="566"/>
        <w:gridCol w:w="1118"/>
        <w:gridCol w:w="1118"/>
        <w:gridCol w:w="1589"/>
      </w:tblGrid>
      <w:tr>
        <w:trPr/>
        <w:tc>
          <w:tcPr>
            <w:tcW w:w="117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NAUT</w:t>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before="0" w:after="0"/>
        <w:jc w:val="center"/>
        <w:rPr/>
      </w:pPr>
      <w:r>
        <w:rPr/>
      </w:r>
    </w:p>
    <w:p>
      <w:pPr>
        <w:pStyle w:val="TextBody"/>
        <w:spacing w:lineRule="auto" w:line="256"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91" w:type="dxa"/>
        <w:jc w:val="left"/>
        <w:tblInd w:w="0" w:type="dxa"/>
        <w:tblCellMar>
          <w:top w:w="28" w:type="dxa"/>
          <w:left w:w="28" w:type="dxa"/>
          <w:bottom w:w="28" w:type="dxa"/>
          <w:right w:w="28" w:type="dxa"/>
        </w:tblCellMar>
      </w:tblPr>
      <w:tblGrid>
        <w:gridCol w:w="604"/>
        <w:gridCol w:w="530"/>
        <w:gridCol w:w="532"/>
        <w:gridCol w:w="109"/>
        <w:gridCol w:w="109"/>
        <w:gridCol w:w="109"/>
        <w:gridCol w:w="673"/>
        <w:gridCol w:w="673"/>
        <w:gridCol w:w="680"/>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0" w:after="180"/>
        <w:ind w:left="0" w:right="0" w:firstLine="36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0" w:after="180"/>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spacing w:lineRule="auto" w:line="256" w:before="0" w:after="0"/>
        <w:rPr/>
      </w:pPr>
      <w:r>
        <w:rPr>
          <w:rFonts w:ascii="Times New Roman;sans-serif" w:hAnsi="Times New Roman;sans-serif"/>
          <w:b w:val="false"/>
          <w:color w:val="000000"/>
          <w:sz w:val="20"/>
        </w:rPr>
        <w:t xml:space="preserve">As of April 27, 2023, the registrant had </w:t>
      </w:r>
      <w:r>
        <w:rPr>
          <w:rFonts w:ascii="Times New Roman;sans-serif" w:hAnsi="Times New Roman;sans-serif"/>
          <w:b w:val="false"/>
          <w:color w:val="000000"/>
          <w:sz w:val="20"/>
          <w:highlight w:val="white"/>
        </w:rPr>
        <w:t>124,866,392</w:t>
      </w:r>
      <w:r>
        <w:rPr>
          <w:color w:val="000000"/>
        </w:rPr>
        <w:t xml:space="preserve"> </w:t>
      </w:r>
      <w:r>
        <w:rPr>
          <w:rFonts w:ascii="Times New Roman;sans-serif" w:hAnsi="Times New Roman;sans-serif"/>
          <w:b w:val="false"/>
          <w:color w:val="000000"/>
          <w:sz w:val="20"/>
        </w:rPr>
        <w:t>shares of common stock, $0.0001 par value per share,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512"/>
        <w:gridCol w:w="450"/>
        <w:gridCol w:w="450"/>
        <w:gridCol w:w="2819"/>
        <w:gridCol w:w="2716"/>
        <w:gridCol w:w="2713"/>
        <w:gridCol w:w="158"/>
        <w:gridCol w:w="158"/>
        <w:gridCol w:w="229"/>
      </w:tblGrid>
      <w:tr>
        <w:trPr/>
        <w:tc>
          <w:tcPr>
            <w:tcW w:w="51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819"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6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3">
              <w:r>
                <w:rPr>
                  <w:rStyle w:val="InternetLink"/>
                  <w:rFonts w:ascii="Times New Roman;sans-serif" w:hAnsi="Times New Roman;sans-serif"/>
                  <w:b w:val="false"/>
                  <w:color w:val="0000FF"/>
                  <w:sz w:val="20"/>
                  <w:u w:val="single"/>
                </w:rPr>
                <w:t>PART I. FINANCIAL INFORMATION</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3">
              <w:r>
                <w:rPr>
                  <w:rStyle w:val="InternetLink"/>
                  <w:rFonts w:ascii="Times New Roman;sans-serif" w:hAnsi="Times New Roman;sans-serif"/>
                  <w:b w:val="false"/>
                  <w:color w:val="0000FF"/>
                  <w:sz w:val="20"/>
                  <w:u w:val="single"/>
                </w:rPr>
                <w:t>iii</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6">
              <w:r>
                <w:rPr>
                  <w:rStyle w:val="InternetLink"/>
                  <w:rFonts w:ascii="Times New Roman;sans-serif" w:hAnsi="Times New Roman;sans-serif"/>
                  <w:b w:val="false"/>
                  <w:color w:val="0000FF"/>
                  <w:sz w:val="20"/>
                  <w:u w:val="single"/>
                </w:rPr>
                <w:t>Financial Statements</w:t>
              </w:r>
            </w:hyperlink>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6">
              <w:r>
                <w:rPr>
                  <w:rStyle w:val="InternetLink"/>
                  <w:rFonts w:ascii="Times New Roman;sans-serif" w:hAnsi="Times New Roman;sans-serif"/>
                  <w:b w:val="false"/>
                  <w:color w:val="0000FF"/>
                  <w:sz w:val="20"/>
                  <w:u w:val="single"/>
                </w:rPr>
                <w:t>Condensed Consolidated Financial Statements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6">
              <w:r>
                <w:rPr>
                  <w:rStyle w:val="InternetLink"/>
                  <w:rFonts w:ascii="Times New Roman;sans-serif" w:hAnsi="Times New Roman;sans-serif"/>
                  <w:b w:val="false"/>
                  <w:color w:val="0000FF"/>
                  <w:sz w:val="20"/>
                  <w:u w:val="single"/>
                </w:rPr>
                <w:t>iii</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22">
              <w:r>
                <w:rPr>
                  <w:rStyle w:val="InternetLink"/>
                </w:rPr>
                <w:t xml:space="preserve">Condensed Consolidated Balance Sheets as of </w:t>
              </w:r>
            </w:hyperlink>
            <w:hyperlink w:anchor="i55518e7d76ac430a8c90f608339a4737_22">
              <w:r>
                <w:rPr>
                  <w:rStyle w:val="InternetLink"/>
                </w:rPr>
                <w:t>March 31, 202</w:t>
              </w:r>
            </w:hyperlink>
            <w:hyperlink w:anchor="i55518e7d76ac430a8c90f608339a4737_22">
              <w:r>
                <w:rPr>
                  <w:rStyle w:val="InternetLink"/>
                </w:rPr>
                <w:t>3</w:t>
              </w:r>
            </w:hyperlink>
            <w:hyperlink w:anchor="i55518e7d76ac430a8c90f608339a4737_22">
              <w:r>
                <w:rPr>
                  <w:rStyle w:val="InternetLink"/>
                </w:rPr>
                <w:t xml:space="preserve"> and December 31, 202</w:t>
              </w:r>
            </w:hyperlink>
            <w:hyperlink w:anchor="i55518e7d76ac430a8c90f608339a4737_22">
              <w:r>
                <w:rPr>
                  <w:rStyle w:val="InternetLink"/>
                </w:rPr>
                <w:t>2</w:t>
              </w:r>
            </w:hyperlink>
            <w:hyperlink w:anchor="i55518e7d76ac430a8c90f608339a4737_22">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22">
              <w:r>
                <w:rPr>
                  <w:rStyle w:val="InternetLink"/>
                  <w:rFonts w:ascii="Times New Roman;sans-serif" w:hAnsi="Times New Roman;sans-serif"/>
                  <w:b w:val="false"/>
                  <w:color w:val="0000FF"/>
                  <w:sz w:val="20"/>
                  <w:u w:val="single"/>
                </w:rPr>
                <w:t>1</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28">
              <w:r>
                <w:rPr>
                  <w:rStyle w:val="InternetLink"/>
                </w:rPr>
                <w:t xml:space="preserve">Condensed Consolidated Statements of Operations for the Three </w:t>
              </w:r>
            </w:hyperlink>
            <w:hyperlink w:anchor="i55518e7d76ac430a8c90f608339a4737_28">
              <w:r>
                <w:rPr>
                  <w:rStyle w:val="InternetLink"/>
                </w:rPr>
                <w:t xml:space="preserve">Months Ended </w:t>
              </w:r>
            </w:hyperlink>
            <w:hyperlink w:anchor="i55518e7d76ac430a8c90f608339a4737_28">
              <w:r>
                <w:rPr>
                  <w:rStyle w:val="InternetLink"/>
                </w:rPr>
                <w:t>March</w:t>
              </w:r>
            </w:hyperlink>
            <w:hyperlink w:anchor="i55518e7d76ac430a8c90f608339a4737_28">
              <w:r>
                <w:rPr>
                  <w:rStyle w:val="InternetLink"/>
                </w:rPr>
                <w:t xml:space="preserve"> 3</w:t>
              </w:r>
            </w:hyperlink>
            <w:hyperlink w:anchor="i55518e7d76ac430a8c90f608339a4737_28">
              <w:r>
                <w:rPr>
                  <w:rStyle w:val="InternetLink"/>
                </w:rPr>
                <w:t>1</w:t>
              </w:r>
            </w:hyperlink>
            <w:hyperlink w:anchor="i55518e7d76ac430a8c90f608339a4737_28">
              <w:r>
                <w:rPr>
                  <w:rStyle w:val="InternetLink"/>
                </w:rPr>
                <w:t>, 202</w:t>
              </w:r>
            </w:hyperlink>
            <w:hyperlink w:anchor="i55518e7d76ac430a8c90f608339a4737_28">
              <w:r>
                <w:rPr>
                  <w:rStyle w:val="InternetLink"/>
                </w:rPr>
                <w:t>3</w:t>
              </w:r>
            </w:hyperlink>
            <w:hyperlink w:anchor="i55518e7d76ac430a8c90f608339a4737_28">
              <w:r>
                <w:rPr>
                  <w:rStyle w:val="InternetLink"/>
                </w:rPr>
                <w:t xml:space="preserve"> and 202</w:t>
              </w:r>
            </w:hyperlink>
            <w:hyperlink w:anchor="i55518e7d76ac430a8c90f608339a4737_28">
              <w:r>
                <w:rPr>
                  <w:rStyle w:val="InternetLink"/>
                </w:rPr>
                <w:t>2</w:t>
              </w:r>
            </w:hyperlink>
            <w:hyperlink w:anchor="i55518e7d76ac430a8c90f608339a4737_28">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28">
              <w:r>
                <w:rPr>
                  <w:rStyle w:val="InternetLink"/>
                  <w:rFonts w:ascii="Times New Roman;sans-serif" w:hAnsi="Times New Roman;sans-serif"/>
                  <w:b w:val="false"/>
                  <w:color w:val="0000FF"/>
                  <w:sz w:val="20"/>
                  <w:u w:val="single"/>
                </w:rPr>
                <w:t>2</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31">
              <w:r>
                <w:rPr>
                  <w:rStyle w:val="InternetLink"/>
                </w:rPr>
                <w:t>Condensed Consolidated Statements of Comprehensive Loss for the Three</w:t>
              </w:r>
            </w:hyperlink>
            <w:hyperlink w:anchor="i55518e7d76ac430a8c90f608339a4737_31">
              <w:r>
                <w:rPr>
                  <w:rStyle w:val="InternetLink"/>
                </w:rPr>
                <w:t xml:space="preserve"> Months Ended </w:t>
              </w:r>
            </w:hyperlink>
            <w:hyperlink w:anchor="i55518e7d76ac430a8c90f608339a4737_31">
              <w:r>
                <w:rPr>
                  <w:rStyle w:val="InternetLink"/>
                </w:rPr>
                <w:t>March</w:t>
              </w:r>
            </w:hyperlink>
            <w:hyperlink w:anchor="i55518e7d76ac430a8c90f608339a4737_31">
              <w:r>
                <w:rPr>
                  <w:rStyle w:val="InternetLink"/>
                </w:rPr>
                <w:t xml:space="preserve"> 3</w:t>
              </w:r>
            </w:hyperlink>
            <w:hyperlink w:anchor="i55518e7d76ac430a8c90f608339a4737_31">
              <w:r>
                <w:rPr>
                  <w:rStyle w:val="InternetLink"/>
                </w:rPr>
                <w:t>1</w:t>
              </w:r>
            </w:hyperlink>
            <w:hyperlink w:anchor="i55518e7d76ac430a8c90f608339a4737_31">
              <w:r>
                <w:rPr>
                  <w:rStyle w:val="InternetLink"/>
                </w:rPr>
                <w:t>, 202</w:t>
              </w:r>
            </w:hyperlink>
            <w:hyperlink w:anchor="i55518e7d76ac430a8c90f608339a4737_31">
              <w:r>
                <w:rPr>
                  <w:rStyle w:val="InternetLink"/>
                </w:rPr>
                <w:t>3</w:t>
              </w:r>
            </w:hyperlink>
            <w:hyperlink w:anchor="i55518e7d76ac430a8c90f608339a4737_31">
              <w:r>
                <w:rPr>
                  <w:rStyle w:val="InternetLink"/>
                </w:rPr>
                <w:t xml:space="preserve"> and 202</w:t>
              </w:r>
            </w:hyperlink>
            <w:hyperlink w:anchor="i55518e7d76ac430a8c90f608339a4737_31">
              <w:r>
                <w:rPr>
                  <w:rStyle w:val="InternetLink"/>
                </w:rPr>
                <w:t>2</w:t>
              </w:r>
            </w:hyperlink>
            <w:hyperlink w:anchor="i55518e7d76ac430a8c90f608339a4737_31">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31">
              <w:r>
                <w:rPr>
                  <w:rStyle w:val="InternetLink"/>
                  <w:rFonts w:ascii="Times New Roman;sans-serif" w:hAnsi="Times New Roman;sans-serif"/>
                  <w:b w:val="false"/>
                  <w:color w:val="0000FF"/>
                  <w:sz w:val="20"/>
                  <w:u w:val="single"/>
                </w:rPr>
                <w:t>3</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34">
              <w:r>
                <w:rPr>
                  <w:rStyle w:val="InternetLink"/>
                </w:rPr>
                <w:t xml:space="preserve">Condensed Consolidated Statements of </w:t>
              </w:r>
            </w:hyperlink>
            <w:hyperlink w:anchor="i55518e7d76ac430a8c90f608339a4737_34">
              <w:r>
                <w:rPr>
                  <w:rStyle w:val="InternetLink"/>
                </w:rPr>
                <w:t xml:space="preserve">Stockholders’ Equity for the Three </w:t>
              </w:r>
            </w:hyperlink>
            <w:hyperlink w:anchor="i55518e7d76ac430a8c90f608339a4737_34">
              <w:r>
                <w:rPr>
                  <w:rStyle w:val="InternetLink"/>
                </w:rPr>
                <w:t xml:space="preserve">Months Ended </w:t>
              </w:r>
            </w:hyperlink>
            <w:hyperlink w:anchor="i55518e7d76ac430a8c90f608339a4737_34">
              <w:r>
                <w:rPr>
                  <w:rStyle w:val="InternetLink"/>
                </w:rPr>
                <w:t>March</w:t>
              </w:r>
            </w:hyperlink>
            <w:hyperlink w:anchor="i55518e7d76ac430a8c90f608339a4737_34">
              <w:r>
                <w:rPr>
                  <w:rStyle w:val="InternetLink"/>
                </w:rPr>
                <w:t xml:space="preserve"> 3</w:t>
              </w:r>
            </w:hyperlink>
            <w:hyperlink w:anchor="i55518e7d76ac430a8c90f608339a4737_34">
              <w:r>
                <w:rPr>
                  <w:rStyle w:val="InternetLink"/>
                </w:rPr>
                <w:t>1</w:t>
              </w:r>
            </w:hyperlink>
            <w:hyperlink w:anchor="i55518e7d76ac430a8c90f608339a4737_34">
              <w:r>
                <w:rPr>
                  <w:rStyle w:val="InternetLink"/>
                </w:rPr>
                <w:t>, 202</w:t>
              </w:r>
            </w:hyperlink>
            <w:hyperlink w:anchor="i55518e7d76ac430a8c90f608339a4737_34">
              <w:r>
                <w:rPr>
                  <w:rStyle w:val="InternetLink"/>
                </w:rPr>
                <w:t>3</w:t>
              </w:r>
            </w:hyperlink>
            <w:hyperlink w:anchor="i55518e7d76ac430a8c90f608339a4737_34">
              <w:r>
                <w:rPr>
                  <w:rStyle w:val="InternetLink"/>
                </w:rPr>
                <w:t xml:space="preserve"> and 202</w:t>
              </w:r>
            </w:hyperlink>
            <w:hyperlink w:anchor="i55518e7d76ac430a8c90f608339a4737_34">
              <w:r>
                <w:rPr>
                  <w:rStyle w:val="InternetLink"/>
                </w:rPr>
                <w:t>2</w:t>
              </w:r>
            </w:hyperlink>
            <w:hyperlink w:anchor="i55518e7d76ac430a8c90f608339a4737_34">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34">
              <w:r>
                <w:rPr>
                  <w:rStyle w:val="InternetLink"/>
                  <w:rFonts w:ascii="Times New Roman;sans-serif" w:hAnsi="Times New Roman;sans-serif"/>
                  <w:b w:val="false"/>
                  <w:color w:val="0000FF"/>
                  <w:sz w:val="20"/>
                  <w:u w:val="single"/>
                </w:rPr>
                <w:t>4</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37">
              <w:r>
                <w:rPr>
                  <w:rStyle w:val="InternetLink"/>
                </w:rPr>
                <w:t xml:space="preserve">Condensed Consolidated Statements of Cash Flows for the </w:t>
              </w:r>
            </w:hyperlink>
            <w:hyperlink w:anchor="i55518e7d76ac430a8c90f608339a4737_37">
              <w:r>
                <w:rPr>
                  <w:rStyle w:val="InternetLink"/>
                </w:rPr>
                <w:t>Three</w:t>
              </w:r>
            </w:hyperlink>
            <w:hyperlink w:anchor="i55518e7d76ac430a8c90f608339a4737_37">
              <w:r>
                <w:rPr>
                  <w:rStyle w:val="InternetLink"/>
                </w:rPr>
                <w:t xml:space="preserve"> Months Ended </w:t>
              </w:r>
            </w:hyperlink>
            <w:hyperlink w:anchor="i55518e7d76ac430a8c90f608339a4737_37">
              <w:r>
                <w:rPr>
                  <w:rStyle w:val="InternetLink"/>
                </w:rPr>
                <w:t>March</w:t>
              </w:r>
            </w:hyperlink>
            <w:hyperlink w:anchor="i55518e7d76ac430a8c90f608339a4737_37">
              <w:r>
                <w:rPr>
                  <w:rStyle w:val="InternetLink"/>
                </w:rPr>
                <w:t xml:space="preserve"> 3</w:t>
              </w:r>
            </w:hyperlink>
            <w:hyperlink w:anchor="i55518e7d76ac430a8c90f608339a4737_37">
              <w:r>
                <w:rPr>
                  <w:rStyle w:val="InternetLink"/>
                </w:rPr>
                <w:t>1</w:t>
              </w:r>
            </w:hyperlink>
            <w:hyperlink w:anchor="i55518e7d76ac430a8c90f608339a4737_37">
              <w:r>
                <w:rPr>
                  <w:rStyle w:val="InternetLink"/>
                </w:rPr>
                <w:t>, 202</w:t>
              </w:r>
            </w:hyperlink>
            <w:hyperlink w:anchor="i55518e7d76ac430a8c90f608339a4737_37">
              <w:r>
                <w:rPr>
                  <w:rStyle w:val="InternetLink"/>
                </w:rPr>
                <w:t>3</w:t>
              </w:r>
            </w:hyperlink>
            <w:hyperlink w:anchor="i55518e7d76ac430a8c90f608339a4737_37">
              <w:r>
                <w:rPr>
                  <w:rStyle w:val="InternetLink"/>
                </w:rPr>
                <w:t xml:space="preserve"> and 202</w:t>
              </w:r>
            </w:hyperlink>
            <w:hyperlink w:anchor="i55518e7d76ac430a8c90f608339a4737_37">
              <w:r>
                <w:rPr>
                  <w:rStyle w:val="InternetLink"/>
                </w:rPr>
                <w:t>2</w:t>
              </w:r>
            </w:hyperlink>
            <w:hyperlink w:anchor="i55518e7d76ac430a8c90f608339a4737_37">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37">
              <w:r>
                <w:rPr>
                  <w:rStyle w:val="InternetLink"/>
                  <w:rFonts w:ascii="Times New Roman;sans-serif" w:hAnsi="Times New Roman;sans-serif"/>
                  <w:b w:val="false"/>
                  <w:color w:val="0000FF"/>
                  <w:sz w:val="20"/>
                  <w:u w:val="single"/>
                </w:rPr>
                <w:t>5</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40">
              <w:r>
                <w:rPr>
                  <w:rStyle w:val="InternetLink"/>
                  <w:rFonts w:ascii="Times New Roman;sans-serif" w:hAnsi="Times New Roman;sans-serif"/>
                  <w:b w:val="false"/>
                  <w:color w:val="0000FF"/>
                  <w:sz w:val="20"/>
                  <w:u w:val="single"/>
                </w:rPr>
                <w:t>Notes to Condensed Consolidated Financial Statements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40">
              <w:r>
                <w:rPr>
                  <w:rStyle w:val="InternetLink"/>
                  <w:rFonts w:ascii="Times New Roman;sans-serif" w:hAnsi="Times New Roman;sans-serif"/>
                  <w:b w:val="false"/>
                  <w:color w:val="0000FF"/>
                  <w:sz w:val="20"/>
                  <w:u w:val="single"/>
                </w:rPr>
                <w:t>6</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79">
              <w:r>
                <w:rPr>
                  <w:rStyle w:val="InternetLink"/>
                  <w:rFonts w:ascii="Times New Roman;sans-serif" w:hAnsi="Times New Roman;sans-serif"/>
                  <w:b w:val="false"/>
                  <w:color w:val="0000FF"/>
                  <w:sz w:val="20"/>
                  <w:u w:val="single"/>
                </w:rPr>
                <w:t>19</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09">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09">
              <w:r>
                <w:rPr>
                  <w:rStyle w:val="InternetLink"/>
                  <w:rFonts w:ascii="Times New Roman;sans-serif" w:hAnsi="Times New Roman;sans-serif"/>
                  <w:b w:val="false"/>
                  <w:color w:val="0000FF"/>
                  <w:sz w:val="20"/>
                  <w:u w:val="single"/>
                </w:rPr>
                <w:t>28</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12">
              <w:r>
                <w:rPr>
                  <w:rStyle w:val="InternetLink"/>
                  <w:rFonts w:ascii="Times New Roman;sans-serif" w:hAnsi="Times New Roman;sans-serif"/>
                  <w:b w:val="false"/>
                  <w:color w:val="0000FF"/>
                  <w:sz w:val="20"/>
                  <w:u w:val="single"/>
                </w:rPr>
                <w:t>Controls and Procedures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12">
              <w:r>
                <w:rPr>
                  <w:rStyle w:val="InternetLink"/>
                  <w:rFonts w:ascii="Times New Roman;sans-serif" w:hAnsi="Times New Roman;sans-serif"/>
                  <w:b w:val="false"/>
                  <w:color w:val="0000FF"/>
                  <w:sz w:val="20"/>
                  <w:u w:val="single"/>
                </w:rPr>
                <w:t>29</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15">
              <w:r>
                <w:rPr>
                  <w:rStyle w:val="InternetLink"/>
                  <w:rFonts w:ascii="Times New Roman;sans-serif" w:hAnsi="Times New Roman;sans-serif"/>
                  <w:b w:val="false"/>
                  <w:color w:val="0000FF"/>
                  <w:sz w:val="20"/>
                  <w:u w:val="single"/>
                </w:rPr>
                <w:t>PART II - OTHER INFORMATION</w:t>
              </w:r>
            </w:hyperlink>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18">
              <w:r>
                <w:rPr>
                  <w:rStyle w:val="InternetLink"/>
                  <w:rFonts w:ascii="Times New Roman;sans-serif" w:hAnsi="Times New Roman;sans-serif"/>
                  <w:b w:val="false"/>
                  <w:color w:val="0000FF"/>
                  <w:sz w:val="20"/>
                  <w:u w:val="single"/>
                </w:rPr>
                <w:t>Legal Proceedings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18">
              <w:r>
                <w:rPr>
                  <w:rStyle w:val="InternetLink"/>
                  <w:rFonts w:ascii="Times New Roman;sans-serif" w:hAnsi="Times New Roman;sans-serif"/>
                  <w:b w:val="false"/>
                  <w:color w:val="0000FF"/>
                  <w:sz w:val="20"/>
                  <w:u w:val="single"/>
                </w:rPr>
                <w:t>30</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21">
              <w:r>
                <w:rPr>
                  <w:rStyle w:val="InternetLink"/>
                  <w:rFonts w:ascii="Times New Roman;sans-serif" w:hAnsi="Times New Roman;sans-serif"/>
                  <w:b w:val="false"/>
                  <w:color w:val="0000FF"/>
                  <w:sz w:val="20"/>
                  <w:u w:val="single"/>
                </w:rPr>
                <w:t>Risk Factors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21">
              <w:r>
                <w:rPr>
                  <w:rStyle w:val="InternetLink"/>
                  <w:rFonts w:ascii="Times New Roman;sans-serif" w:hAnsi="Times New Roman;sans-serif"/>
                  <w:b w:val="false"/>
                  <w:color w:val="0000FF"/>
                  <w:sz w:val="20"/>
                  <w:u w:val="single"/>
                </w:rPr>
                <w:t>30</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24">
              <w:r>
                <w:rPr>
                  <w:rStyle w:val="InternetLink"/>
                  <w:rFonts w:ascii="Times New Roman;sans-serif" w:hAnsi="Times New Roman;sans-serif"/>
                  <w:b w:val="false"/>
                  <w:color w:val="0000FF"/>
                  <w:sz w:val="20"/>
                  <w:u w:val="single"/>
                </w:rPr>
                <w:t>Unregistered Sales of Equity Securities and Use of Proceeds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24">
              <w:r>
                <w:rPr>
                  <w:rStyle w:val="InternetLink"/>
                  <w:rFonts w:ascii="Times New Roman;sans-serif" w:hAnsi="Times New Roman;sans-serif"/>
                  <w:b w:val="false"/>
                  <w:color w:val="0000FF"/>
                  <w:sz w:val="20"/>
                  <w:u w:val="single"/>
                </w:rPr>
                <w:t>72</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27">
              <w:r>
                <w:rPr>
                  <w:rStyle w:val="InternetLink"/>
                  <w:rFonts w:ascii="Times New Roman;sans-serif" w:hAnsi="Times New Roman;sans-serif"/>
                  <w:b w:val="false"/>
                  <w:color w:val="0000FF"/>
                  <w:sz w:val="20"/>
                  <w:u w:val="single"/>
                </w:rPr>
                <w:t>Defaults Upon Senior Securities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27">
              <w:r>
                <w:rPr>
                  <w:rStyle w:val="InternetLink"/>
                  <w:rFonts w:ascii="Times New Roman;sans-serif" w:hAnsi="Times New Roman;sans-serif"/>
                  <w:b w:val="false"/>
                  <w:color w:val="0000FF"/>
                  <w:sz w:val="20"/>
                  <w:u w:val="single"/>
                </w:rPr>
                <w:t>72</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30">
              <w:r>
                <w:rPr>
                  <w:rStyle w:val="InternetLink"/>
                  <w:rFonts w:ascii="Times New Roman;sans-serif" w:hAnsi="Times New Roman;sans-serif"/>
                  <w:b w:val="false"/>
                  <w:color w:val="0000FF"/>
                  <w:sz w:val="20"/>
                  <w:u w:val="single"/>
                </w:rPr>
                <w:t>Mine Safety Disclosures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30">
              <w:r>
                <w:rPr>
                  <w:rStyle w:val="InternetLink"/>
                  <w:rFonts w:ascii="Times New Roman;sans-serif" w:hAnsi="Times New Roman;sans-serif"/>
                  <w:b w:val="false"/>
                  <w:color w:val="0000FF"/>
                  <w:sz w:val="20"/>
                  <w:u w:val="single"/>
                </w:rPr>
                <w:t>72</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33">
              <w:r>
                <w:rPr>
                  <w:rStyle w:val="InternetLink"/>
                  <w:rFonts w:ascii="Times New Roman;sans-serif" w:hAnsi="Times New Roman;sans-serif"/>
                  <w:b w:val="false"/>
                  <w:color w:val="0000FF"/>
                  <w:sz w:val="20"/>
                  <w:u w:val="single"/>
                </w:rPr>
                <w:t>Other Information</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33">
              <w:r>
                <w:rPr>
                  <w:rStyle w:val="InternetLink"/>
                  <w:rFonts w:ascii="Times New Roman;sans-serif" w:hAnsi="Times New Roman;sans-serif"/>
                  <w:b w:val="false"/>
                  <w:color w:val="0000FF"/>
                  <w:sz w:val="20"/>
                  <w:u w:val="single"/>
                </w:rPr>
                <w:t>72</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36">
              <w:r>
                <w:rPr>
                  <w:rStyle w:val="InternetLink"/>
                  <w:rFonts w:ascii="Times New Roman;sans-serif" w:hAnsi="Times New Roman;sans-serif"/>
                  <w:b w:val="false"/>
                  <w:color w:val="0000FF"/>
                  <w:sz w:val="20"/>
                  <w:u w:val="single"/>
                </w:rPr>
                <w:t>Exhibits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36">
              <w:r>
                <w:rPr>
                  <w:rStyle w:val="InternetLink"/>
                  <w:rFonts w:ascii="Times New Roman;sans-serif" w:hAnsi="Times New Roman;sans-serif"/>
                  <w:b w:val="false"/>
                  <w:color w:val="0000FF"/>
                  <w:sz w:val="20"/>
                  <w:u w:val="single"/>
                </w:rPr>
                <w:t>73</w:t>
              </w:r>
            </w:hyperlink>
          </w:p>
        </w:tc>
      </w:tr>
      <w:tr>
        <w:trPr/>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5518e7d76ac430a8c90f608339a4737_139">
              <w:r>
                <w:rPr>
                  <w:rStyle w:val="InternetLink"/>
                  <w:rFonts w:ascii="Times New Roman;sans-serif" w:hAnsi="Times New Roman;sans-serif"/>
                  <w:b w:val="false"/>
                  <w:color w:val="0000FF"/>
                  <w:sz w:val="20"/>
                  <w:u w:val="single"/>
                </w:rPr>
                <w:t>SIGNATURES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5518e7d76ac430a8c90f608339a4737_139">
              <w:r>
                <w:rPr>
                  <w:rStyle w:val="InternetLink"/>
                  <w:rFonts w:ascii="Times New Roman;sans-serif" w:hAnsi="Times New Roman;sans-serif"/>
                  <w:b w:val="false"/>
                  <w:color w:val="0000FF"/>
                  <w:sz w:val="20"/>
                  <w:u w:val="single"/>
                </w:rPr>
                <w:t>74</w:t>
              </w:r>
            </w:hyperlink>
          </w:p>
        </w:tc>
      </w:tr>
    </w:tbl>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180"/>
        <w:rPr/>
      </w:pPr>
      <w:r>
        <w:rPr/>
      </w:r>
    </w:p>
    <w:p>
      <w:pPr>
        <w:pStyle w:val="TextBody"/>
        <w:spacing w:lineRule="auto" w:line="288" w:before="180" w:after="1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SPECIAL NOTE REGARDING FORWARD-LOOKING STATEMENTS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rPr>
        <w:t>our dependence on the success of our proteomics platform (the “Nautilus platform”), which remains in the development stage and subject to scientific and technical validation;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expectations regarding the timing and progress of the development of the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expectations regarding the functionality of the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estimates of our addressable market, market growth, future revenue, key performance indicators, expenses, capital requirements and needs for additional financing;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expectations regarding the rate and degree of market acceptance of the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manage and grow our business and commercialize our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successfully implement our three phase commercial launch plan;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the implementation of our business model and strategic plans for the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expectations regarding the use of proceeds from the Business Combination;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the performance of third-party partners, manufacturers and suppliers;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changes in applicable laws or regulations;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raise financing in the future;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success in retaining or recruiting, or changes required in, our officers, key employees or directors or other key personnel;</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the volatility of the trading price of our common stock;</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develop and commercialize new products;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expectations about market trends;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the impact of local, regional, national and international economic conditions and events, including the COVID-19 pandemic, the conflict in Eastern Europe, increasing interest rates, instability in the global financial markets, and general economic downturns, on the foregoing; and</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18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tbl>
      <w:tblPr>
        <w:tblW w:w="6074" w:type="dxa"/>
        <w:jc w:val="left"/>
        <w:tblInd w:w="0" w:type="dxa"/>
        <w:tblCellMar>
          <w:top w:w="28" w:type="dxa"/>
          <w:left w:w="28" w:type="dxa"/>
          <w:bottom w:w="28" w:type="dxa"/>
          <w:right w:w="28" w:type="dxa"/>
        </w:tblCellMar>
      </w:tblPr>
      <w:tblGrid>
        <w:gridCol w:w="1943"/>
        <w:gridCol w:w="1710"/>
        <w:gridCol w:w="2421"/>
      </w:tblGrid>
      <w:tr>
        <w:trPr/>
        <w:tc>
          <w:tcPr>
            <w:tcW w:w="1943"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421"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Balance Sheets</w:t>
              <w:br/>
              <w:t>As of March 31, 2023 and December 31, 2022 (Unaudited)</w:t>
            </w:r>
          </w:p>
        </w:tc>
      </w:tr>
    </w:tbl>
    <w:tbl>
      <w:tblPr>
        <w:tblW w:w="10205" w:type="dxa"/>
        <w:jc w:val="left"/>
        <w:tblInd w:w="0" w:type="dxa"/>
        <w:tblCellMar>
          <w:top w:w="28" w:type="dxa"/>
          <w:left w:w="28" w:type="dxa"/>
          <w:bottom w:w="28" w:type="dxa"/>
          <w:right w:w="28" w:type="dxa"/>
        </w:tblCellMar>
      </w:tblPr>
      <w:tblGrid>
        <w:gridCol w:w="2872"/>
        <w:gridCol w:w="2247"/>
        <w:gridCol w:w="2263"/>
        <w:gridCol w:w="218"/>
        <w:gridCol w:w="853"/>
        <w:gridCol w:w="112"/>
        <w:gridCol w:w="109"/>
        <w:gridCol w:w="109"/>
        <w:gridCol w:w="109"/>
        <w:gridCol w:w="231"/>
        <w:gridCol w:w="909"/>
        <w:gridCol w:w="173"/>
      </w:tblGrid>
      <w:tr>
        <w:trPr/>
        <w:tc>
          <w:tcPr>
            <w:tcW w:w="2872"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7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345,884 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200,000,000 authorized as of March 31, 2023 and December 31, 2022; 0 shares issued and outstanding as of March 31, 2023 and December 31, 2022</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as of March 31, 2023 and December 31, 2022; 124,866,392 and 124,865,485 shares issued and outstanding as of March 31, 2023 and December 31, 2022, respectively</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455,330 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(138,564)</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tbl>
      <w:tblPr>
        <w:tblW w:w="6285" w:type="dxa"/>
        <w:jc w:val="left"/>
        <w:tblInd w:w="0" w:type="dxa"/>
        <w:tblCellMar>
          <w:top w:w="28" w:type="dxa"/>
          <w:left w:w="28" w:type="dxa"/>
          <w:bottom w:w="28" w:type="dxa"/>
          <w:right w:w="28" w:type="dxa"/>
        </w:tblCellMar>
      </w:tblPr>
      <w:tblGrid>
        <w:gridCol w:w="2011"/>
        <w:gridCol w:w="1769"/>
        <w:gridCol w:w="2505"/>
      </w:tblGrid>
      <w:tr>
        <w:trPr/>
        <w:tc>
          <w:tcPr>
            <w:tcW w:w="2011"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r>
      <w:tr>
        <w:trPr/>
        <w:tc>
          <w:tcPr>
            <w:tcW w:w="62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Operations</w:t>
              <w:br/>
              <w:t>Three Months Ended March 31, 2023 and 2022 (Unaudited)</w:t>
            </w:r>
          </w:p>
        </w:tc>
      </w:tr>
    </w:tbl>
    <w:tbl>
      <w:tblPr>
        <w:tblW w:w="10205" w:type="dxa"/>
        <w:jc w:val="left"/>
        <w:tblInd w:w="0" w:type="dxa"/>
        <w:tblCellMar>
          <w:top w:w="28" w:type="dxa"/>
          <w:left w:w="28" w:type="dxa"/>
          <w:bottom w:w="28" w:type="dxa"/>
          <w:right w:w="28" w:type="dxa"/>
        </w:tblCellMar>
      </w:tblPr>
      <w:tblGrid>
        <w:gridCol w:w="2627"/>
        <w:gridCol w:w="2081"/>
        <w:gridCol w:w="2097"/>
        <w:gridCol w:w="264"/>
        <w:gridCol w:w="922"/>
        <w:gridCol w:w="109"/>
        <w:gridCol w:w="109"/>
        <w:gridCol w:w="109"/>
        <w:gridCol w:w="109"/>
        <w:gridCol w:w="264"/>
        <w:gridCol w:w="922"/>
        <w:gridCol w:w="109"/>
        <w:gridCol w:w="109"/>
        <w:gridCol w:w="109"/>
        <w:gridCol w:w="109"/>
        <w:gridCol w:w="156"/>
      </w:tblGrid>
      <w:tr>
        <w:trPr/>
        <w:tc>
          <w:tcPr>
            <w:tcW w:w="2627"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124,590,351 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124,418,580 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05"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tbl>
      <w:tblPr>
        <w:tblW w:w="6299" w:type="dxa"/>
        <w:jc w:val="left"/>
        <w:tblInd w:w="0" w:type="dxa"/>
        <w:tblCellMar>
          <w:top w:w="28" w:type="dxa"/>
          <w:left w:w="28" w:type="dxa"/>
          <w:bottom w:w="28" w:type="dxa"/>
          <w:right w:w="28" w:type="dxa"/>
        </w:tblCellMar>
      </w:tblPr>
      <w:tblGrid>
        <w:gridCol w:w="2016"/>
        <w:gridCol w:w="1772"/>
        <w:gridCol w:w="2511"/>
      </w:tblGrid>
      <w:tr>
        <w:trPr/>
        <w:tc>
          <w:tcPr>
            <w:tcW w:w="2016"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r>
      <w:tr>
        <w:trPr/>
        <w:tc>
          <w:tcPr>
            <w:tcW w:w="62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Comprehensive Loss</w:t>
              <w:br/>
              <w:t>Three Months Ended March 31, 2023 and 2022 (Unaudited)</w:t>
            </w:r>
          </w:p>
        </w:tc>
      </w:tr>
    </w:tbl>
    <w:tbl>
      <w:tblPr>
        <w:tblW w:w="7449" w:type="dxa"/>
        <w:jc w:val="left"/>
        <w:tblInd w:w="0" w:type="dxa"/>
        <w:tblCellMar>
          <w:top w:w="28" w:type="dxa"/>
          <w:left w:w="28" w:type="dxa"/>
          <w:bottom w:w="28" w:type="dxa"/>
          <w:right w:w="28" w:type="dxa"/>
        </w:tblCellMar>
      </w:tblPr>
      <w:tblGrid>
        <w:gridCol w:w="1596"/>
        <w:gridCol w:w="1404"/>
        <w:gridCol w:w="1409"/>
        <w:gridCol w:w="211"/>
        <w:gridCol w:w="796"/>
        <w:gridCol w:w="109"/>
        <w:gridCol w:w="109"/>
        <w:gridCol w:w="109"/>
        <w:gridCol w:w="109"/>
        <w:gridCol w:w="211"/>
        <w:gridCol w:w="796"/>
        <w:gridCol w:w="109"/>
        <w:gridCol w:w="109"/>
        <w:gridCol w:w="109"/>
        <w:gridCol w:w="109"/>
        <w:gridCol w:w="154"/>
      </w:tblGrid>
      <w:tr>
        <w:trPr/>
        <w:tc>
          <w:tcPr>
            <w:tcW w:w="1596"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securities available-for-sale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tbl>
      <w:tblPr>
        <w:tblW w:w="6330" w:type="dxa"/>
        <w:jc w:val="left"/>
        <w:tblInd w:w="0" w:type="dxa"/>
        <w:tblCellMar>
          <w:top w:w="28" w:type="dxa"/>
          <w:left w:w="28" w:type="dxa"/>
          <w:bottom w:w="28" w:type="dxa"/>
          <w:right w:w="28" w:type="dxa"/>
        </w:tblCellMar>
      </w:tblPr>
      <w:tblGrid>
        <w:gridCol w:w="2025"/>
        <w:gridCol w:w="1782"/>
        <w:gridCol w:w="2523"/>
      </w:tblGrid>
      <w:tr>
        <w:trPr/>
        <w:tc>
          <w:tcPr>
            <w:tcW w:w="2025"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Stockholders’ Equity</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 March 31, 2023 and 2022 (Unaudited)</w:t>
            </w:r>
          </w:p>
        </w:tc>
      </w:tr>
    </w:tbl>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877"/>
        <w:gridCol w:w="368"/>
        <w:gridCol w:w="372"/>
        <w:gridCol w:w="525"/>
        <w:gridCol w:w="526"/>
        <w:gridCol w:w="196"/>
        <w:gridCol w:w="109"/>
        <w:gridCol w:w="109"/>
        <w:gridCol w:w="109"/>
        <w:gridCol w:w="212"/>
        <w:gridCol w:w="359"/>
        <w:gridCol w:w="120"/>
        <w:gridCol w:w="109"/>
        <w:gridCol w:w="109"/>
        <w:gridCol w:w="109"/>
        <w:gridCol w:w="220"/>
        <w:gridCol w:w="826"/>
        <w:gridCol w:w="122"/>
        <w:gridCol w:w="109"/>
        <w:gridCol w:w="109"/>
        <w:gridCol w:w="109"/>
        <w:gridCol w:w="325"/>
        <w:gridCol w:w="947"/>
        <w:gridCol w:w="181"/>
        <w:gridCol w:w="109"/>
        <w:gridCol w:w="109"/>
        <w:gridCol w:w="109"/>
        <w:gridCol w:w="206"/>
        <w:gridCol w:w="802"/>
        <w:gridCol w:w="114"/>
        <w:gridCol w:w="109"/>
        <w:gridCol w:w="109"/>
        <w:gridCol w:w="109"/>
        <w:gridCol w:w="227"/>
        <w:gridCol w:w="857"/>
        <w:gridCol w:w="188"/>
      </w:tblGrid>
      <w:tr>
        <w:trPr/>
        <w:tc>
          <w:tcPr>
            <w:tcW w:w="87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March 31, 2023</w:t>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124,865,485 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455,330 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314,924 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vested stock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895 </w:t>
            </w:r>
          </w:p>
        </w:tc>
        <w:tc>
          <w:tcPr>
            <w:tcW w:w="18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(14,965)</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March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124,866,392 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458,191 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(153,529)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303,715 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78"/>
        <w:gridCol w:w="369"/>
        <w:gridCol w:w="373"/>
        <w:gridCol w:w="525"/>
        <w:gridCol w:w="526"/>
        <w:gridCol w:w="196"/>
        <w:gridCol w:w="109"/>
        <w:gridCol w:w="109"/>
        <w:gridCol w:w="109"/>
        <w:gridCol w:w="212"/>
        <w:gridCol w:w="359"/>
        <w:gridCol w:w="120"/>
        <w:gridCol w:w="109"/>
        <w:gridCol w:w="109"/>
        <w:gridCol w:w="109"/>
        <w:gridCol w:w="220"/>
        <w:gridCol w:w="827"/>
        <w:gridCol w:w="122"/>
        <w:gridCol w:w="109"/>
        <w:gridCol w:w="109"/>
        <w:gridCol w:w="109"/>
        <w:gridCol w:w="384"/>
        <w:gridCol w:w="855"/>
        <w:gridCol w:w="215"/>
        <w:gridCol w:w="109"/>
        <w:gridCol w:w="109"/>
        <w:gridCol w:w="109"/>
        <w:gridCol w:w="226"/>
        <w:gridCol w:w="766"/>
        <w:gridCol w:w="126"/>
        <w:gridCol w:w="109"/>
        <w:gridCol w:w="109"/>
        <w:gridCol w:w="109"/>
        <w:gridCol w:w="227"/>
        <w:gridCol w:w="858"/>
        <w:gridCol w:w="186"/>
      </w:tblGrid>
      <w:tr>
        <w:trPr/>
        <w:tc>
          <w:tcPr>
            <w:tcW w:w="8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March 31, 2022</w:t>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124,303,083 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444,388 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(80,640)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363,576 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vested stock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153,570 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Balances at March 31, 2022</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124,456,653 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446,654 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(96,403)</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349,709 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tbl>
      <w:tblPr>
        <w:tblW w:w="6285" w:type="dxa"/>
        <w:jc w:val="left"/>
        <w:tblInd w:w="0" w:type="dxa"/>
        <w:tblCellMar>
          <w:top w:w="28" w:type="dxa"/>
          <w:left w:w="28" w:type="dxa"/>
          <w:bottom w:w="28" w:type="dxa"/>
          <w:right w:w="28" w:type="dxa"/>
        </w:tblCellMar>
      </w:tblPr>
      <w:tblGrid>
        <w:gridCol w:w="2011"/>
        <w:gridCol w:w="1769"/>
        <w:gridCol w:w="2505"/>
      </w:tblGrid>
      <w:tr>
        <w:trPr/>
        <w:tc>
          <w:tcPr>
            <w:tcW w:w="2011"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r>
      <w:tr>
        <w:trPr/>
        <w:tc>
          <w:tcPr>
            <w:tcW w:w="62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 March 31, 2023 and 2022 (Unaudited)</w:t>
            </w:r>
          </w:p>
        </w:tc>
      </w:tr>
    </w:tbl>
    <w:tbl>
      <w:tblPr>
        <w:tblW w:w="8604" w:type="dxa"/>
        <w:jc w:val="left"/>
        <w:tblInd w:w="0" w:type="dxa"/>
        <w:tblCellMar>
          <w:top w:w="28" w:type="dxa"/>
          <w:left w:w="28" w:type="dxa"/>
          <w:bottom w:w="28" w:type="dxa"/>
          <w:right w:w="28" w:type="dxa"/>
        </w:tblCellMar>
      </w:tblPr>
      <w:tblGrid>
        <w:gridCol w:w="2162"/>
        <w:gridCol w:w="1901"/>
        <w:gridCol w:w="1907"/>
        <w:gridCol w:w="211"/>
        <w:gridCol w:w="796"/>
        <w:gridCol w:w="109"/>
        <w:gridCol w:w="109"/>
        <w:gridCol w:w="109"/>
        <w:gridCol w:w="109"/>
        <w:gridCol w:w="211"/>
        <w:gridCol w:w="826"/>
        <w:gridCol w:w="154"/>
      </w:tblGrid>
      <w:tr>
        <w:trPr/>
        <w:tc>
          <w:tcPr>
            <w:tcW w:w="2162"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(accretion) of premium (discount) on securities,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cash flow information on non-cash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operating lease liability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 included in 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tbl>
      <w:tblPr>
        <w:tblW w:w="5760" w:type="dxa"/>
        <w:jc w:val="left"/>
        <w:tblInd w:w="0" w:type="dxa"/>
        <w:tblCellMar>
          <w:top w:w="28" w:type="dxa"/>
          <w:left w:w="28" w:type="dxa"/>
          <w:bottom w:w="28" w:type="dxa"/>
          <w:right w:w="28" w:type="dxa"/>
        </w:tblCellMar>
      </w:tblPr>
      <w:tblGrid>
        <w:gridCol w:w="1843"/>
        <w:gridCol w:w="1621"/>
        <w:gridCol w:w="2296"/>
      </w:tblGrid>
      <w:tr>
        <w:trPr/>
        <w:tc>
          <w:tcPr>
            <w:tcW w:w="1843"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2023, the results of its operations for the three months ended March 31, 2023 and 2022 and its cash flows for the three months ended March 31, 2023 and 2022. The results of operations for the three months ended March 31, 2023 are not necessarily indicative of the results that may be expected for the year ending December 31, 2023. These financial statements and accompanying notes should be read in conjunction with the consolidated financial statements and notes thereto in the Company’s Annual Report on Form 10-K for the fiscal year ended December 31, 2022 on file with the SEC. The Company’s reporting currency is the U.S. dollar.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2023, the Company had an accumulated deficit of $153.5 million.</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$167.3 million as of March 31, 2023. As of the date on which these condensed consolidated financial statements were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Impact of the COVID-19 Coronavirus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already had an adverse effect on the global economy. Additionally, concerns over the economic impact of COVID-19 have caused extreme volatility in financial and other capital markets, which may adversely affect the Company’s ability to access capital markets in the future. The level and nature of the disruption caused by COVID-19 is unpredictable, may be cyclical and long-lasting, and may again in the future adversely affect the Company's operating results.</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Significant Accounting Policies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completely to perform as contracted.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spacing w:lineRule="auto" w:line="288" w:before="0" w:after="180"/>
        <w:ind w:left="0" w:right="0" w:firstLine="360"/>
        <w:rPr/>
      </w:pPr>
      <w:r>
        <w:rPr>
          <w:rFonts w:ascii="Times New Roman;sans-serif" w:hAnsi="Times New Roman;sans-serif"/>
          <w:b w:val="false"/>
          <w:color w:val="000000"/>
          <w:sz w:val="20"/>
        </w:rPr>
        <w:t>The Company is subject to risks similar to those of</w:t>
      </w:r>
      <w:r>
        <w:rPr>
          <w:color w:val="000000"/>
          <w:highlight w:val="white"/>
        </w:rPr>
        <w:t> </w:t>
      </w:r>
      <w:r>
        <w:rPr>
          <w:rFonts w:ascii="Times New Roman;sans-serif" w:hAnsi="Times New Roman;sans-serif"/>
          <w:b w:val="false"/>
          <w:color w:val="000000"/>
          <w:sz w:val="20"/>
          <w:highlight w:val="white"/>
        </w:rPr>
        <w:t>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0" w:after="180"/>
        <w:ind w:left="0" w:right="0" w:firstLine="360"/>
        <w:rPr/>
      </w:pPr>
      <w:r>
        <w:rPr>
          <w:rFonts w:ascii="Times New Roman;sans-serif" w:hAnsi="Times New Roman;sans-serif"/>
          <w:b w:val="false"/>
          <w:color w:val="000000"/>
          <w:sz w:val="20"/>
        </w:rPr>
        <w:t>Operating segments are defined as components of an entity where discrete financial information is evaluated regularly by the chief operating decision m</w:t>
      </w:r>
      <w:r>
        <w:rPr>
          <w:rFonts w:ascii="Times New Roman;sans-serif" w:hAnsi="Times New Roman;sans-serif"/>
          <w:b w:val="false"/>
          <w:color w:val="000000"/>
          <w:sz w:val="20"/>
          <w:highlight w:val="white"/>
        </w:rPr>
        <w:t>arket (“CODM”) in deciding how to allocate resources and in assessing performance. The Company’s Chief Executive Officer is its CODM. The Company’s CODM re</w:t>
      </w:r>
      <w:r>
        <w:rPr>
          <w:rFonts w:ascii="Times New Roman;sans-serif" w:hAnsi="Times New Roman;sans-serif"/>
          <w:b w:val="false"/>
          <w:color w:val="000000"/>
          <w:sz w:val="20"/>
        </w:rPr>
        <w:t xml:space="preserv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Level 1, defined as observable inputs such as quoted prices for identical instruments in active markets;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w:t>
      </w:r>
      <w:r>
        <w:rPr>
          <w:rFonts w:ascii="Times New Roman;sans-serif" w:hAnsi="Times New Roman;sans-serif"/>
          <w:b w:val="false"/>
          <w:color w:val="000000"/>
          <w:sz w:val="20"/>
          <w:highlight w:val="white"/>
        </w:rPr>
        <w:t>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equity that, under U.S. GAAP are excluded from net loss. For the three months ended March 31, 2023 and 2022, net unrealized gains and losses on marketable debt securities were included as a component of comprehensive income (loss).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w:t>
      </w:r>
      <w:r>
        <w:rPr>
          <w:rFonts w:ascii="Times New Roman;sans-serif" w:hAnsi="Times New Roman;sans-serif"/>
          <w:b w:val="false"/>
          <w:color w:val="000000"/>
          <w:sz w:val="20"/>
          <w:highlight w:val="white"/>
        </w:rPr>
        <w:t xml:space="preserve">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spacing w:lineRule="auto" w:line="288" w:before="0" w:after="180"/>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Recently Adopted Accounting Standards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June 2016, the FASB issued ASU No.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March 31, 2023 and December 31, 2022:</w:t>
      </w:r>
    </w:p>
    <w:tbl>
      <w:tblPr>
        <w:tblW w:w="10702" w:type="dxa"/>
        <w:jc w:val="left"/>
        <w:tblInd w:w="0" w:type="dxa"/>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66"/>
        <w:gridCol w:w="109"/>
        <w:gridCol w:w="109"/>
        <w:gridCol w:w="109"/>
        <w:gridCol w:w="109"/>
        <w:gridCol w:w="211"/>
        <w:gridCol w:w="63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5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tbl>
      <w:tblPr>
        <w:tblW w:w="10747" w:type="dxa"/>
        <w:jc w:val="left"/>
        <w:tblInd w:w="0" w:type="dxa"/>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06"/>
        <w:gridCol w:w="109"/>
        <w:gridCol w:w="109"/>
        <w:gridCol w:w="109"/>
        <w:gridCol w:w="109"/>
        <w:gridCol w:w="211"/>
        <w:gridCol w:w="63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maturities of short-term investments as of March 31, 2023 and December 31, 2022 are due in one year or less. Contractual maturities of long-term investments as of March 31, 2023 and December 31, 2022 are due after 1 year through 2 years.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unrealized losses and fair values of available-for-sale securities that have been in an unrealized loss position for a period of less than and greater than 12 months as of March 31, 2023 and December 31, 2022 are as follows:</w:t>
      </w:r>
    </w:p>
    <w:tbl>
      <w:tblPr>
        <w:tblW w:w="10205" w:type="dxa"/>
        <w:jc w:val="left"/>
        <w:tblInd w:w="0" w:type="dxa"/>
        <w:tblCellMar>
          <w:top w:w="28" w:type="dxa"/>
          <w:left w:w="28" w:type="dxa"/>
          <w:bottom w:w="28" w:type="dxa"/>
          <w:right w:w="28" w:type="dxa"/>
        </w:tblCellMar>
      </w:tblPr>
      <w:tblGrid>
        <w:gridCol w:w="602"/>
        <w:gridCol w:w="316"/>
        <w:gridCol w:w="317"/>
        <w:gridCol w:w="109"/>
        <w:gridCol w:w="109"/>
        <w:gridCol w:w="109"/>
        <w:gridCol w:w="241"/>
        <w:gridCol w:w="705"/>
        <w:gridCol w:w="124"/>
        <w:gridCol w:w="121"/>
        <w:gridCol w:w="121"/>
        <w:gridCol w:w="121"/>
        <w:gridCol w:w="235"/>
        <w:gridCol w:w="923"/>
        <w:gridCol w:w="121"/>
        <w:gridCol w:w="109"/>
        <w:gridCol w:w="109"/>
        <w:gridCol w:w="109"/>
        <w:gridCol w:w="338"/>
        <w:gridCol w:w="560"/>
        <w:gridCol w:w="130"/>
        <w:gridCol w:w="127"/>
        <w:gridCol w:w="127"/>
        <w:gridCol w:w="127"/>
        <w:gridCol w:w="246"/>
        <w:gridCol w:w="843"/>
        <w:gridCol w:w="127"/>
        <w:gridCol w:w="109"/>
        <w:gridCol w:w="109"/>
        <w:gridCol w:w="109"/>
        <w:gridCol w:w="241"/>
        <w:gridCol w:w="705"/>
        <w:gridCol w:w="124"/>
        <w:gridCol w:w="109"/>
        <w:gridCol w:w="109"/>
        <w:gridCol w:w="109"/>
        <w:gridCol w:w="219"/>
        <w:gridCol w:w="859"/>
        <w:gridCol w:w="177"/>
      </w:tblGrid>
      <w:tr>
        <w:trPr/>
        <w:tc>
          <w:tcPr>
            <w:tcW w:w="60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11"/>
        <w:gridCol w:w="324"/>
        <w:gridCol w:w="325"/>
        <w:gridCol w:w="109"/>
        <w:gridCol w:w="109"/>
        <w:gridCol w:w="109"/>
        <w:gridCol w:w="240"/>
        <w:gridCol w:w="703"/>
        <w:gridCol w:w="124"/>
        <w:gridCol w:w="121"/>
        <w:gridCol w:w="121"/>
        <w:gridCol w:w="121"/>
        <w:gridCol w:w="235"/>
        <w:gridCol w:w="920"/>
        <w:gridCol w:w="121"/>
        <w:gridCol w:w="109"/>
        <w:gridCol w:w="109"/>
        <w:gridCol w:w="109"/>
        <w:gridCol w:w="337"/>
        <w:gridCol w:w="557"/>
        <w:gridCol w:w="130"/>
        <w:gridCol w:w="126"/>
        <w:gridCol w:w="126"/>
        <w:gridCol w:w="126"/>
        <w:gridCol w:w="245"/>
        <w:gridCol w:w="839"/>
        <w:gridCol w:w="126"/>
        <w:gridCol w:w="109"/>
        <w:gridCol w:w="109"/>
        <w:gridCol w:w="109"/>
        <w:gridCol w:w="240"/>
        <w:gridCol w:w="703"/>
        <w:gridCol w:w="124"/>
        <w:gridCol w:w="109"/>
        <w:gridCol w:w="109"/>
        <w:gridCol w:w="109"/>
        <w:gridCol w:w="219"/>
        <w:gridCol w:w="858"/>
        <w:gridCol w:w="175"/>
      </w:tblGrid>
      <w:tr>
        <w:trPr/>
        <w:tc>
          <w:tcPr>
            <w:tcW w:w="61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273,969 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20"/>
        </w:rPr>
        <w:t>We review our investment portfolio based on the underlying risk profile of the securities and have a no loss expectation for these investments. We also regularly review the securities in an unrealized loss position and evaluate the current expected credit loss by considering factors such as historical experience, market data, issuer-specific factors, and current economic conditions. We recognized no credit losses on our investments during the three months ended March 31, 2023 and 2022, and had no allowance for credit losses as of March 31, 2023.</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4.     Composition of Certain Condensed Consolidated Financial Statement Line Items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5747" w:type="dxa"/>
        <w:jc w:val="left"/>
        <w:tblInd w:w="0" w:type="dxa"/>
        <w:tblCellMar>
          <w:top w:w="28" w:type="dxa"/>
          <w:left w:w="28" w:type="dxa"/>
          <w:bottom w:w="28" w:type="dxa"/>
          <w:right w:w="28" w:type="dxa"/>
        </w:tblCellMar>
      </w:tblPr>
      <w:tblGrid>
        <w:gridCol w:w="1211"/>
        <w:gridCol w:w="1064"/>
        <w:gridCol w:w="1069"/>
        <w:gridCol w:w="211"/>
        <w:gridCol w:w="616"/>
        <w:gridCol w:w="109"/>
        <w:gridCol w:w="109"/>
        <w:gridCol w:w="109"/>
        <w:gridCol w:w="109"/>
        <w:gridCol w:w="245"/>
        <w:gridCol w:w="716"/>
        <w:gridCol w:w="179"/>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 equipment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depreciation expense of $0.4 million and $0.3 million for the three months ended March 31, 2023 and 2022, respectively, which was primarily allocated to research and development expense.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Other Long-term Assets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long-term assets consisted of the following:</w:t>
      </w:r>
    </w:p>
    <w:tbl>
      <w:tblPr>
        <w:tblW w:w="3753" w:type="dxa"/>
        <w:jc w:val="left"/>
        <w:tblInd w:w="0" w:type="dxa"/>
        <w:tblCellMar>
          <w:top w:w="28" w:type="dxa"/>
          <w:left w:w="28" w:type="dxa"/>
          <w:bottom w:w="28" w:type="dxa"/>
          <w:right w:w="28" w:type="dxa"/>
        </w:tblCellMar>
      </w:tblPr>
      <w:tblGrid>
        <w:gridCol w:w="489"/>
        <w:gridCol w:w="430"/>
        <w:gridCol w:w="431"/>
        <w:gridCol w:w="211"/>
        <w:gridCol w:w="616"/>
        <w:gridCol w:w="109"/>
        <w:gridCol w:w="109"/>
        <w:gridCol w:w="109"/>
        <w:gridCol w:w="109"/>
        <w:gridCol w:w="245"/>
        <w:gridCol w:w="716"/>
        <w:gridCol w:w="179"/>
      </w:tblGrid>
      <w:tr>
        <w:trPr/>
        <w:tc>
          <w:tcPr>
            <w:tcW w:w="4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5852" w:type="dxa"/>
        <w:jc w:val="left"/>
        <w:tblInd w:w="0" w:type="dxa"/>
        <w:tblCellMar>
          <w:top w:w="28" w:type="dxa"/>
          <w:left w:w="28" w:type="dxa"/>
          <w:bottom w:w="28" w:type="dxa"/>
          <w:right w:w="28" w:type="dxa"/>
        </w:tblCellMar>
      </w:tblPr>
      <w:tblGrid>
        <w:gridCol w:w="1248"/>
        <w:gridCol w:w="1096"/>
        <w:gridCol w:w="1105"/>
        <w:gridCol w:w="211"/>
        <w:gridCol w:w="616"/>
        <w:gridCol w:w="109"/>
        <w:gridCol w:w="109"/>
        <w:gridCol w:w="109"/>
        <w:gridCol w:w="109"/>
        <w:gridCol w:w="245"/>
        <w:gridCol w:w="716"/>
        <w:gridCol w:w="179"/>
      </w:tblGrid>
      <w:tr>
        <w:trPr/>
        <w:tc>
          <w:tcPr>
            <w:tcW w:w="1248"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fees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w:t>
      </w:r>
    </w:p>
    <w:tbl>
      <w:tblPr>
        <w:tblW w:w="6683" w:type="dxa"/>
        <w:jc w:val="left"/>
        <w:tblInd w:w="0" w:type="dxa"/>
        <w:tblCellMar>
          <w:top w:w="28" w:type="dxa"/>
          <w:left w:w="28" w:type="dxa"/>
          <w:bottom w:w="28" w:type="dxa"/>
          <w:right w:w="28" w:type="dxa"/>
        </w:tblCellMar>
      </w:tblPr>
      <w:tblGrid>
        <w:gridCol w:w="1494"/>
        <w:gridCol w:w="1313"/>
        <w:gridCol w:w="1317"/>
        <w:gridCol w:w="211"/>
        <w:gridCol w:w="721"/>
        <w:gridCol w:w="109"/>
        <w:gridCol w:w="109"/>
        <w:gridCol w:w="109"/>
        <w:gridCol w:w="109"/>
        <w:gridCol w:w="211"/>
        <w:gridCol w:w="826"/>
        <w:gridCol w:w="154"/>
      </w:tblGrid>
      <w:tr>
        <w:trPr/>
        <w:tc>
          <w:tcPr>
            <w:tcW w:w="149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 term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5.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124,866,392 shares issued and outstanding as of March 31, 2023.</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8947" w:type="dxa"/>
        <w:jc w:val="left"/>
        <w:tblInd w:w="0" w:type="dxa"/>
        <w:tblCellMar>
          <w:top w:w="28" w:type="dxa"/>
          <w:left w:w="28" w:type="dxa"/>
          <w:bottom w:w="28" w:type="dxa"/>
          <w:right w:w="28" w:type="dxa"/>
        </w:tblCellMar>
      </w:tblPr>
      <w:tblGrid>
        <w:gridCol w:w="2065"/>
        <w:gridCol w:w="1814"/>
        <w:gridCol w:w="1821"/>
        <w:gridCol w:w="540"/>
        <w:gridCol w:w="541"/>
        <w:gridCol w:w="286"/>
        <w:gridCol w:w="109"/>
        <w:gridCol w:w="109"/>
        <w:gridCol w:w="109"/>
        <w:gridCol w:w="540"/>
        <w:gridCol w:w="541"/>
        <w:gridCol w:w="472"/>
      </w:tblGrid>
      <w:tr>
        <w:trPr/>
        <w:tc>
          <w:tcPr>
            <w:tcW w:w="2065"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21,422,568 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17,298,043 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13,603,285 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11,485,443 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3,637,389 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2,388,735 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38,663,242 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31,172,221 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2023 and 2022, no income tax expense or benefit was recognized, primarily due to a full valuation allowance recorded against its deferred tax assets.</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7.     Equity Incentive Plans and Stock-based Compensation</w:t>
      </w:r>
    </w:p>
    <w:p>
      <w:pPr>
        <w:pStyle w:val="TextBody"/>
        <w:spacing w:lineRule="auto" w:line="288" w:before="0" w:after="180"/>
        <w:ind w:left="0" w:right="0" w:firstLine="360"/>
        <w:rPr/>
      </w:pPr>
      <w:r>
        <w:rPr>
          <w:rFonts w:ascii="Times New Roman;sans-serif" w:hAnsi="Times New Roman;sans-serif"/>
          <w:b w:val="false"/>
          <w:color w:val="000000"/>
          <w:sz w:val="20"/>
        </w:rPr>
        <w:t>On June 8, 2021, the stockholders of the Company approved the 2021 Equity Incentive Plan (“2021 Plan”) and the 2021 Employee Stock Purchase Plan (</w:t>
      </w:r>
      <w:r>
        <w:rPr>
          <w:color w:val="000000"/>
          <w:highlight w:val="white"/>
        </w:rPr>
        <w:t>“</w:t>
      </w:r>
      <w:r>
        <w:rPr>
          <w:rFonts w:ascii="Times New Roman;sans-serif" w:hAnsi="Times New Roman;sans-serif"/>
          <w:b w:val="false"/>
          <w:color w:val="000000"/>
          <w:sz w:val="20"/>
          <w:highlight w:val="white"/>
        </w:rPr>
        <w:t xml:space="preserve">2021 ESPP”). As of </w:t>
      </w:r>
      <w:r>
        <w:rPr>
          <w:rFonts w:ascii="Times New Roman;sans-serif" w:hAnsi="Times New Roman;sans-serif"/>
          <w:b w:val="false"/>
          <w:color w:val="000000"/>
          <w:sz w:val="20"/>
        </w:rPr>
        <w:t xml:space="preserve">March 31, 2023, 21,422,568 and 3,637,389 shares were available for grant under the 2021 Plan and 2021 ESPP, respectively.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Under the 2021 ESPP, the Company can grant stock options to employees to purchase shares of Common Stock at a purchase price which is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w:t>
      </w:r>
      <w:r>
        <w:rPr>
          <w:rFonts w:ascii="Times New Roman;sans-serif" w:hAnsi="Times New Roman;sans-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2023, the number of shares available under the 2021 ESPP increased by 1,248,654 shares pursuant to this feature.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was from October 1, 2021 through June 1, 2022. For subsequent offering periods, the Company will be offering a six month purchase period. As of March 31, 2023, 99,195 shares of common stock were purchased under the 2021 ESPP.</w:t>
      </w:r>
    </w:p>
    <w:p>
      <w:pPr>
        <w:pStyle w:val="TextBody"/>
        <w:spacing w:before="0" w:after="180"/>
        <w:ind w:left="0" w:right="0" w:firstLine="360"/>
        <w:rPr/>
      </w:pPr>
      <w:r>
        <w:rPr/>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Under the 2021 Plan, the Company can grant incentive stock options, nonstatutory stock options, stock appreciation rig</w:t>
      </w:r>
      <w:r>
        <w:rPr>
          <w:rFonts w:ascii="Times New Roman;sans-serif" w:hAnsi="Times New Roman;sans-serif"/>
          <w:b w:val="false"/>
          <w:color w:val="000000"/>
          <w:sz w:val="20"/>
          <w:highlight w:val="white"/>
        </w:rPr>
        <w:t xml:space="preserve">hts, restricted stock, restricted stock units and performance awards to employees, directors and consultants. </w:t>
      </w:r>
      <w:r>
        <w:rPr>
          <w:rFonts w:ascii="Times New Roman;sans-serif" w:hAnsi="Times New Roman;sans-serif"/>
          <w:b w:val="false"/>
          <w:color w:val="000000"/>
          <w:sz w:val="20"/>
        </w:rPr>
        <w:t xml:space="preserve">Options generally expire ten years after the date of grant. </w:t>
      </w:r>
      <w:r>
        <w:rPr>
          <w:rFonts w:ascii="Times New Roman;sans-serif" w:hAnsi="Times New Roman;sans-serif"/>
          <w:b w:val="false"/>
          <w:color w:val="000000"/>
          <w:sz w:val="20"/>
          <w:highlight w:val="white"/>
        </w:rPr>
        <w:t>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r>
        <w:rPr>
          <w:rFonts w:ascii="Times New Roman;sans-serif" w:hAnsi="Times New Roman;sans-serif"/>
          <w:b w:val="false"/>
          <w:color w:val="000000"/>
          <w:sz w:val="20"/>
        </w:rPr>
        <w:t>. On January 1, 2023, the number of shares available under the 2021 Plan increased by 6,243,274 shares pursuant to this feature.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the time of adoption of the 2021 Plan and the 2021 ESPP, no further awards will be granted under the 2017 Equity Incentive Plan (“2017 Plan”) and 7,106,767 shares of common stock were initially reserved for outstanding awards issued under the 2017 Plan.</w:t>
      </w:r>
    </w:p>
    <w:p>
      <w:pPr>
        <w:pStyle w:val="TextBody"/>
        <w:spacing w:lineRule="auto" w:line="288" w:before="0" w:after="180"/>
        <w:ind w:left="0" w:right="0" w:firstLine="360"/>
        <w:rPr/>
      </w:pPr>
      <w:r>
        <w:rPr>
          <w:rFonts w:ascii="Times New Roman;sans-serif" w:hAnsi="Times New Roman;sans-serif"/>
          <w:b w:val="false"/>
          <w:color w:val="000000"/>
          <w:sz w:val="20"/>
        </w:rPr>
        <w:t>In determining the compensation cost of the option awards, the fair value for each option award has been estimated using the</w:t>
      </w:r>
      <w:r>
        <w:rPr>
          <w:color w:val="000000"/>
          <w:highlight w:val="white"/>
        </w:rPr>
        <w:t xml:space="preserve"> </w:t>
      </w:r>
      <w:r>
        <w:rPr>
          <w:rFonts w:ascii="Times New Roman;sans-serif" w:hAnsi="Times New Roman;sans-serif"/>
          <w:b w:val="false"/>
          <w:color w:val="000000"/>
          <w:sz w:val="20"/>
          <w:highlight w:val="white"/>
        </w:rPr>
        <w:t>Black Scholes model</w:t>
      </w:r>
      <w:r>
        <w:rPr>
          <w:rFonts w:ascii="Times New Roman;sans-serif" w:hAnsi="Times New Roman;sans-serif"/>
          <w:b w:val="false"/>
          <w:color w:val="000000"/>
          <w:sz w:val="20"/>
        </w:rPr>
        <w:t>. The significant assumptions used in these calculations are summarized as follows:</w:t>
      </w:r>
    </w:p>
    <w:tbl>
      <w:tblPr>
        <w:tblW w:w="6193" w:type="dxa"/>
        <w:jc w:val="left"/>
        <w:tblInd w:w="0" w:type="dxa"/>
        <w:tblCellMar>
          <w:top w:w="28" w:type="dxa"/>
          <w:left w:w="28" w:type="dxa"/>
          <w:bottom w:w="28" w:type="dxa"/>
          <w:right w:w="28" w:type="dxa"/>
        </w:tblCellMar>
      </w:tblPr>
      <w:tblGrid>
        <w:gridCol w:w="755"/>
        <w:gridCol w:w="663"/>
        <w:gridCol w:w="666"/>
        <w:gridCol w:w="337"/>
        <w:gridCol w:w="337"/>
        <w:gridCol w:w="840"/>
        <w:gridCol w:w="200"/>
        <w:gridCol w:w="200"/>
        <w:gridCol w:w="200"/>
        <w:gridCol w:w="337"/>
        <w:gridCol w:w="337"/>
        <w:gridCol w:w="840"/>
        <w:gridCol w:w="109"/>
        <w:gridCol w:w="109"/>
        <w:gridCol w:w="109"/>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6.0 - 6.4</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5.8 - 6.1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102.7% - 107.5%</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109.0% - 110.0%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- 4.08%</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1.73% - 2.42%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$1.82 - $2.30</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$3.78 - $4.24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volatility: Historically, the Company has been a private company and lacked company</w:t>
        <w:noBreakHyphen/>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has no history or expectation of declaring dividends on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The fair value of the Company’s common stock is determined based on its closing market price.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during the three months ended March 31, 2023:</w:t>
      </w:r>
    </w:p>
    <w:tbl>
      <w:tblPr>
        <w:tblW w:w="10205" w:type="dxa"/>
        <w:jc w:val="left"/>
        <w:tblInd w:w="0" w:type="dxa"/>
        <w:tblCellMar>
          <w:top w:w="28" w:type="dxa"/>
          <w:left w:w="28" w:type="dxa"/>
          <w:bottom w:w="28" w:type="dxa"/>
          <w:right w:w="28" w:type="dxa"/>
        </w:tblCellMar>
      </w:tblPr>
      <w:tblGrid>
        <w:gridCol w:w="875"/>
        <w:gridCol w:w="769"/>
        <w:gridCol w:w="771"/>
        <w:gridCol w:w="829"/>
        <w:gridCol w:w="443"/>
        <w:gridCol w:w="430"/>
        <w:gridCol w:w="109"/>
        <w:gridCol w:w="109"/>
        <w:gridCol w:w="109"/>
        <w:gridCol w:w="353"/>
        <w:gridCol w:w="856"/>
        <w:gridCol w:w="182"/>
        <w:gridCol w:w="109"/>
        <w:gridCol w:w="109"/>
        <w:gridCol w:w="109"/>
        <w:gridCol w:w="676"/>
        <w:gridCol w:w="676"/>
        <w:gridCol w:w="678"/>
        <w:gridCol w:w="109"/>
        <w:gridCol w:w="109"/>
        <w:gridCol w:w="109"/>
        <w:gridCol w:w="361"/>
        <w:gridCol w:w="1055"/>
        <w:gridCol w:w="270"/>
      </w:tblGrid>
      <w:tr>
        <w:trPr/>
        <w:tc>
          <w:tcPr>
            <w:tcW w:w="87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11,485,443 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2,282,100 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(163,351)</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13,603,285 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March 31, 2023</w:t>
            </w:r>
          </w:p>
        </w:tc>
        <w:tc>
          <w:tcPr>
            <w:tcW w:w="127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13,603,285 </w:t>
            </w:r>
          </w:p>
        </w:tc>
        <w:tc>
          <w:tcPr>
            <w:tcW w:w="4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2023</w:t>
            </w:r>
          </w:p>
        </w:tc>
        <w:tc>
          <w:tcPr>
            <w:tcW w:w="12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5,211,452 </w:t>
            </w:r>
          </w:p>
        </w:tc>
        <w:tc>
          <w:tcPr>
            <w:tcW w:w="4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$25.4 million of total unrecognized compensation expense expected to be recognized over a weighted average-period of 2.5 years. Aggregate intrinsic value represents the difference between the fair market value of the common stock and the exercise price of outstanding, in-the-money options.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included in the Company’s condensed consolidated statement of operations:</w:t>
      </w:r>
    </w:p>
    <w:tbl>
      <w:tblPr>
        <w:tblW w:w="6329" w:type="dxa"/>
        <w:jc w:val="left"/>
        <w:tblInd w:w="0" w:type="dxa"/>
        <w:tblCellMar>
          <w:top w:w="28" w:type="dxa"/>
          <w:left w:w="28" w:type="dxa"/>
          <w:bottom w:w="28" w:type="dxa"/>
          <w:right w:w="28" w:type="dxa"/>
        </w:tblCellMar>
      </w:tblPr>
      <w:tblGrid>
        <w:gridCol w:w="1247"/>
        <w:gridCol w:w="1097"/>
        <w:gridCol w:w="1105"/>
        <w:gridCol w:w="230"/>
        <w:gridCol w:w="672"/>
        <w:gridCol w:w="119"/>
        <w:gridCol w:w="119"/>
        <w:gridCol w:w="119"/>
        <w:gridCol w:w="119"/>
        <w:gridCol w:w="230"/>
        <w:gridCol w:w="672"/>
        <w:gridCol w:w="119"/>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2023 as the Company had not yet received the related goods or services. As of March 31, 2023, the Company had open purchase commitments for goods and services of $1.4 million, which are expected to be received through the next 12 months.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under certain non-cancellable operating leases for office space and laboratory space. This space includes operating leases in Seattle, Washington, and San Carlos, California.</w:t>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Seattle Lease</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 xml:space="preserve">In July 2021, the </w:t>
      </w:r>
      <w:r>
        <w:rPr>
          <w:rFonts w:ascii="Times New Roman;sans-serif" w:hAnsi="Times New Roman;sans-serif"/>
          <w:b w:val="false"/>
          <w:color w:val="000000"/>
          <w:sz w:val="20"/>
        </w:rPr>
        <w:t xml:space="preserve">Company entered into a 7-year non-cancellable operating lease, which commenced in August 2021, for an additional office space in Seattle, Washington. Total non-cancellable payments under this lease aggregate $4.5 million through June 2028.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San Carlos 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entered into a new lease in San Carlos, California for ten years which commenced in October 2021 and expiring in October 2031 with total minimum lease payments of $40.7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San Diego Lease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entered into a lease in San Diego, California for 39 months commencing in December 2022. Total non-cancellable payments under this lease aggregate $2.1 million through March 2026.</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which were included in operating expenses in condensed consolidated statements of operations, were as follows:</w:t>
      </w:r>
    </w:p>
    <w:tbl>
      <w:tblPr>
        <w:tblW w:w="5415" w:type="dxa"/>
        <w:jc w:val="left"/>
        <w:tblInd w:w="0" w:type="dxa"/>
        <w:tblCellMar>
          <w:top w:w="28" w:type="dxa"/>
          <w:left w:w="28" w:type="dxa"/>
          <w:bottom w:w="28" w:type="dxa"/>
          <w:right w:w="28" w:type="dxa"/>
        </w:tblCellMar>
      </w:tblPr>
      <w:tblGrid>
        <w:gridCol w:w="917"/>
        <w:gridCol w:w="808"/>
        <w:gridCol w:w="810"/>
        <w:gridCol w:w="230"/>
        <w:gridCol w:w="672"/>
        <w:gridCol w:w="119"/>
        <w:gridCol w:w="119"/>
        <w:gridCol w:w="119"/>
        <w:gridCol w:w="119"/>
        <w:gridCol w:w="230"/>
        <w:gridCol w:w="672"/>
        <w:gridCol w:w="119"/>
        <w:gridCol w:w="109"/>
        <w:gridCol w:w="109"/>
        <w:gridCol w:w="109"/>
        <w:gridCol w:w="154"/>
      </w:tblGrid>
      <w:tr>
        <w:trPr/>
        <w:tc>
          <w:tcPr>
            <w:tcW w:w="91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operating lease costs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operating lease costs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cash paid for amounts included in the measurement of operating lease liabilities included in cash flows used in operating activities was $1.2 million and $0.6 million, respectively.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weighted-average remaining lease term and weighted-average discount rate for operating leases was 7.3 years and 9.1% respectively.</w:t>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future principal contractual obligations for operating lease commitments as of March 31, 2023:</w:t>
      </w:r>
    </w:p>
    <w:tbl>
      <w:tblPr>
        <w:tblW w:w="4829" w:type="dxa"/>
        <w:jc w:val="left"/>
        <w:tblInd w:w="0" w:type="dxa"/>
        <w:tblCellMar>
          <w:top w:w="28" w:type="dxa"/>
          <w:left w:w="28" w:type="dxa"/>
          <w:bottom w:w="28" w:type="dxa"/>
          <w:right w:w="28" w:type="dxa"/>
        </w:tblCellMar>
      </w:tblPr>
      <w:tblGrid>
        <w:gridCol w:w="1227"/>
        <w:gridCol w:w="1080"/>
        <w:gridCol w:w="1083"/>
        <w:gridCol w:w="279"/>
        <w:gridCol w:w="956"/>
        <w:gridCol w:w="204"/>
      </w:tblGrid>
      <w:tr>
        <w:trPr/>
        <w:tc>
          <w:tcPr>
            <w:tcW w:w="1227"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ending December 31, 2023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Letter of Credit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conjunction with the San Carlos lease agreement entered in December 2020, the Company issued a cash-collateralized letter of credit in lieu of security deposit of $0.6 million. In conjunction with the San Carlos lease agreement entered in December 2021, the Company issued a cash-collateralized letter of credit in lieu of security deposit of $0.2 million. In conjunction with the San Diego lease agreement entered in November 2022, the Company issued a cash-collateralized letter of credit in lieu of a security deposit of $0.1 million. The cash amount is recorded as restricted cash under Other long-term assets on the Company’s 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tbl>
      <w:tblPr>
        <w:tblW w:w="7229" w:type="dxa"/>
        <w:jc w:val="left"/>
        <w:tblInd w:w="0" w:type="dxa"/>
        <w:tblCellMar>
          <w:top w:w="28" w:type="dxa"/>
          <w:left w:w="28" w:type="dxa"/>
          <w:bottom w:w="28" w:type="dxa"/>
          <w:right w:w="28" w:type="dxa"/>
        </w:tblCellMar>
      </w:tblPr>
      <w:tblGrid>
        <w:gridCol w:w="2313"/>
        <w:gridCol w:w="2035"/>
        <w:gridCol w:w="2881"/>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9.     Basic and Diluted Net Loss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three months ended March 31, 2023 and 2022:</w:t>
      </w:r>
    </w:p>
    <w:tbl>
      <w:tblPr>
        <w:tblW w:w="10205" w:type="dxa"/>
        <w:jc w:val="left"/>
        <w:tblInd w:w="0" w:type="dxa"/>
        <w:tblCellMar>
          <w:top w:w="28" w:type="dxa"/>
          <w:left w:w="28" w:type="dxa"/>
          <w:bottom w:w="28" w:type="dxa"/>
          <w:right w:w="28" w:type="dxa"/>
        </w:tblCellMar>
      </w:tblPr>
      <w:tblGrid>
        <w:gridCol w:w="2541"/>
        <w:gridCol w:w="2124"/>
        <w:gridCol w:w="2141"/>
        <w:gridCol w:w="264"/>
        <w:gridCol w:w="922"/>
        <w:gridCol w:w="109"/>
        <w:gridCol w:w="109"/>
        <w:gridCol w:w="109"/>
        <w:gridCol w:w="109"/>
        <w:gridCol w:w="264"/>
        <w:gridCol w:w="922"/>
        <w:gridCol w:w="109"/>
        <w:gridCol w:w="109"/>
        <w:gridCol w:w="109"/>
        <w:gridCol w:w="109"/>
        <w:gridCol w:w="155"/>
      </w:tblGrid>
      <w:tr>
        <w:trPr/>
        <w:tc>
          <w:tcPr>
            <w:tcW w:w="2541"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124,418,580 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7339" w:type="dxa"/>
        <w:jc w:val="left"/>
        <w:tblInd w:w="0" w:type="dxa"/>
        <w:tblCellMar>
          <w:top w:w="28" w:type="dxa"/>
          <w:left w:w="28" w:type="dxa"/>
          <w:bottom w:w="28" w:type="dxa"/>
          <w:right w:w="28" w:type="dxa"/>
        </w:tblCellMar>
      </w:tblPr>
      <w:tblGrid>
        <w:gridCol w:w="1588"/>
        <w:gridCol w:w="1400"/>
        <w:gridCol w:w="1406"/>
        <w:gridCol w:w="551"/>
        <w:gridCol w:w="259"/>
        <w:gridCol w:w="259"/>
        <w:gridCol w:w="259"/>
        <w:gridCol w:w="259"/>
        <w:gridCol w:w="259"/>
        <w:gridCol w:w="473"/>
        <w:gridCol w:w="259"/>
        <w:gridCol w:w="367"/>
      </w:tblGrid>
      <w:tr>
        <w:trPr/>
        <w:tc>
          <w:tcPr>
            <w:tcW w:w="1588"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13,603,285</w:t>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9,971,247</w:t>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60,694</w:t>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56,470</w:t>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10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13,663,979</w:t>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10,027,717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2022 and the related notes included in the Company’s Annual Report on Form 10-K filed with the SEC on February 23, 2023.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pStyle w:val="TextBody"/>
        <w:spacing w:lineRule="auto" w:line="288" w:before="0" w:after="180"/>
        <w:ind w:left="0" w:right="0" w:firstLine="360"/>
        <w:rPr/>
      </w:pPr>
      <w:r>
        <w:rPr>
          <w:rFonts w:ascii="Times New Roman;sans-serif" w:hAnsi="Times New Roman;sans-serif"/>
          <w:b w:val="false"/>
          <w:color w:val="000000"/>
          <w:sz w:val="20"/>
        </w:rPr>
        <w:t xml:space="preserve">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March 31, 2023, we had cash, cash equivalents and short-term investments of $167.3 million.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Based on this, we believe that our existing cash, cash equivalents, and short-term investments will enable us to fund our planned operating expenses and capital expenditures through at least the next 12 months.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 was $15.0 million during three months ended March 31, 2023, and we expect to continue to incur significant losses for the foreseeable future as we continue our research and development activities and planned commercialization of our proteomics platform. As of March 31, 2023, we had an accumulated deficit of $153.5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 xml:space="preserve">19 pandemic, </w:t>
      </w:r>
      <w:r>
        <w:rPr>
          <w:rFonts w:ascii="Times New Roman;sans-serif" w:hAnsi="Times New Roman;sans-serif"/>
          <w:b w:val="false"/>
          <w:color w:val="000000"/>
          <w:sz w:val="20"/>
          <w:highlight w:val="white"/>
        </w:rPr>
        <w:t>recent and any potential future financial institution failures,</w:t>
      </w:r>
      <w:r>
        <w:rPr>
          <w:color w:val="000000"/>
        </w:rPr>
        <w:t xml:space="preserve"> </w:t>
      </w:r>
      <w:r>
        <w:rPr>
          <w:rFonts w:ascii="Times New Roman;sans-serif" w:hAnsi="Times New Roman;sans-serif"/>
          <w:b w:val="false"/>
          <w:color w:val="000000"/>
          <w:sz w:val="20"/>
        </w:rPr>
        <w:t>the conflicts in Eastern Europe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Impact of Negative Global or National Events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COVID-19 pandemic, extreme weather conditions, increased economic uncertainty, inflation, rising interest rates, </w:t>
      </w:r>
      <w:r>
        <w:rPr>
          <w:rFonts w:ascii="Times New Roman;sans-serif" w:hAnsi="Times New Roman;sans-serif"/>
          <w:b w:val="false"/>
          <w:color w:val="000000"/>
          <w:sz w:val="20"/>
          <w:highlight w:val="white"/>
        </w:rPr>
        <w:t>recent and any potential future financial institution failures,</w:t>
      </w:r>
      <w:r>
        <w:rPr>
          <w:color w:val="000000"/>
        </w:rPr>
        <w:t xml:space="preserve"> </w:t>
      </w:r>
      <w:r>
        <w:rPr>
          <w:rFonts w:ascii="Times New Roman;sans-serif" w:hAnsi="Times New Roman;sans-serif"/>
          <w:b w:val="false"/>
          <w:color w:val="000000"/>
          <w:sz w:val="20"/>
        </w:rPr>
        <w:t xml:space="preserve">and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these global and national events and circumstances, either individually or in aggregate, is highly uncertain and subject to change. 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For example, 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2023 to the Three Months Ended March 31, 2022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condensed consolidated statements of operations for the periods indicated:</w:t>
      </w:r>
    </w:p>
    <w:tbl>
      <w:tblPr>
        <w:tblW w:w="7473" w:type="dxa"/>
        <w:jc w:val="left"/>
        <w:tblInd w:w="0" w:type="dxa"/>
        <w:tblCellMar>
          <w:top w:w="28" w:type="dxa"/>
          <w:left w:w="28" w:type="dxa"/>
          <w:bottom w:w="28" w:type="dxa"/>
          <w:right w:w="28" w:type="dxa"/>
        </w:tblCellMar>
      </w:tblPr>
      <w:tblGrid>
        <w:gridCol w:w="836"/>
        <w:gridCol w:w="735"/>
        <w:gridCol w:w="738"/>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284"/>
        <w:gridCol w:w="287"/>
        <w:gridCol w:w="444"/>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$10.9 million for the three months ended March 31, 2023, compared to $9.7 million for the three months ended March 31, 2022, an increase of $1.2 million, or 13%. The increase was primarily due to a $1.2 million increase in salaries, related benefits, and stock-based compensation, a $0.4 million increase in facilities costs, and a $0.4 million increase in professional services. These increases were partially offset by decreases of $0.5 million in costs for development services and $0.4 million for laboratory supplies and equipment expense.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i/>
          <w:color w:val="000000"/>
          <w:sz w:val="20"/>
        </w:rPr>
        <w:t>General and Administrative Expense</w:t>
      </w:r>
      <w:r>
        <w:rPr>
          <w:rFonts w:ascii="Times New Roman;sans-serif" w:hAnsi="Times New Roman;sans-serif"/>
          <w:b w:val="false"/>
          <w:i/>
          <w:color w:val="000000"/>
          <w:sz w:val="20"/>
          <w:highlight w:val="white"/>
        </w:rPr>
        <w: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$7.2 million for the three months ended March 31, 2023, compared to $6.4 million for the three months ended March 31, 2022, an increase of $0.8 million, or 13%. The increase was primarily due to a $1.4 million increase in salaries, related benefits, and stock-based compensation, and a $0.1 million increase in marketing costs. These increases were partially offset by a $0.5 million decrease in professional services costs, and a $0.4 million decrease in insurance costs.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for the three months ended March 31, 2023 as compared to the three months ended March 31, 2022 increased primarily due to higher interest income from marketable debt securities driven by higher interest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Our net loss was $15.0 million for the three months ended March 31, 2023. As of March 31, 2023, we had an accumulated deficit of $153.5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March 31, 2023, we had cash, cash equivalents and investments of $302.0 million.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pStyle w:val="TextBody"/>
        <w:spacing w:lineRule="auto" w:line="288" w:before="0" w:after="180"/>
        <w:ind w:left="0" w:right="0" w:firstLine="360"/>
        <w:rPr/>
      </w:pPr>
      <w:r>
        <w:rPr>
          <w:rFonts w:ascii="Times New Roman;sans-serif" w:hAnsi="Times New Roman;sans-serif"/>
          <w:b w:val="false"/>
          <w:color w:val="000000"/>
          <w:sz w:val="20"/>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 xml:space="preserve">19 pandemic, </w:t>
      </w:r>
      <w:r>
        <w:rPr>
          <w:rFonts w:ascii="Times New Roman;sans-serif" w:hAnsi="Times New Roman;sans-serif"/>
          <w:b w:val="false"/>
          <w:color w:val="000000"/>
          <w:sz w:val="20"/>
          <w:highlight w:val="white"/>
        </w:rPr>
        <w:t xml:space="preserve">recent and any potential future financial institution failures, </w:t>
      </w:r>
      <w:r>
        <w:rPr>
          <w:rFonts w:ascii="Times New Roman;sans-serif" w:hAnsi="Times New Roman;sans-serif"/>
          <w:b w:val="false"/>
          <w:color w:val="000000"/>
          <w:sz w:val="20"/>
        </w:rPr>
        <w:t>the conflicts in Eastern Europe and in other countries, and otherwise. Our failure to raise additional capital, if needed, would have a negative impact on our financial condition and our ability to execute our business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For the Three Months Ended March 31, 2023 and 2022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months ended March 31, 2023 and 2022:</w:t>
      </w:r>
    </w:p>
    <w:tbl>
      <w:tblPr>
        <w:tblW w:w="7314" w:type="dxa"/>
        <w:jc w:val="left"/>
        <w:tblInd w:w="0" w:type="dxa"/>
        <w:tblCellMar>
          <w:top w:w="28" w:type="dxa"/>
          <w:left w:w="28" w:type="dxa"/>
          <w:bottom w:w="28" w:type="dxa"/>
          <w:right w:w="28" w:type="dxa"/>
        </w:tblCellMar>
      </w:tblPr>
      <w:tblGrid>
        <w:gridCol w:w="1704"/>
        <w:gridCol w:w="1501"/>
        <w:gridCol w:w="1505"/>
        <w:gridCol w:w="211"/>
        <w:gridCol w:w="796"/>
        <w:gridCol w:w="109"/>
        <w:gridCol w:w="109"/>
        <w:gridCol w:w="109"/>
        <w:gridCol w:w="109"/>
        <w:gridCol w:w="211"/>
        <w:gridCol w:w="796"/>
        <w:gridCol w:w="154"/>
      </w:tblGrid>
      <w:tr>
        <w:trPr/>
        <w:tc>
          <w:tcPr>
            <w:tcW w:w="1704"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operating activities was $12.5 million, primarily resulting from our net loss of $15.0 million and decrease in net changes in assets and liabilities aggregating $0.9 million. Net cash used in operating activities was partially offset by non-cash charges aggregating $3.4 million, which primarily included $2.9 million of stock-based compensation, $0.8 million of amortization of operating lease right-of-use assets, and $0.4 million of depreciation. These non-cash charges were partially offset by $0.7 million of net accretion of discounts on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net cash used in operating activities was $12.3 million, primarily resulting from our operating loss of $15.8 million, offset by non-cash charges aggregating $2.9 million, which primarily included $2.1 million of stock-based compensation and $0.5 million amortization of operating lease right-of-use assets. Net cash used in operating activities was increased by net changes in assets and liabilities aggregating $0.5 million, primarily driven by $0.6 million decrease in prepaid expenses and other assets.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investing activities was $13.5 million, primarily resulting from $27.1 million in purchases of securities, and $0.7 million in purchases of property and equipment, partially offset by $14.2 million in proceeds from the maturity of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net cash provided by investing activities was $15.2 million, primarily resulting from $38.6 million in proceeds from maturities of securities, partially offset by $22.9 million in purchases of securities and $0.5 million in purchases of property and equipment.</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cash provided by financing activities comprised of proceeds from exercise of 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net cash provided by financing activities was $0.2 million of proceeds from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contractual obligations and commitments, refer to Part I, Item 1, Note 8, “Commitments and Contingencies,” in our notes to condensed consolidated financial statements in this Quarterly Report on Form 10-Q.</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Qualitative and Quantitative Disclosures About Market Risk</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market risk exposure is primarily a result of fluctuations in interest rates and inflation. We do not hold or issue financial instruments for trading purposes.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investments of $302.0 million as of March 31, 2023.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March 31, 2023, the effect of a hypothetical 1.00% (100 basis point) change in interest rates would have changed the fair value of our marketable debt securities by $2.3 million. Such change would only be realized if we sold the marketable debt securities prior to maturity.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 </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4. CONTROLS AND PROCEDURES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noBreakHyphen/>
        <w:t>15(e) and 15d</w:t>
        <w:noBreakHyphen/>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2023.</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no change in our internal control over financial reporting during the quarter ended March 31, 2023 that has materially affected, or is reasonably likely to materially affect, our internal control over financial reporting.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Inherent Limitations on the Effectiveness of Controls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1A. RISK FACTORS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We are a development stage company that has incurred net losses in every period to date, has not yet commercialized any products, and expects to continue to incur significant losses as we develop our business.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Our business is entirely dependent on the successful development and commercialization of our proteomics platform (the “Nautilus platform”), which remains in the development stage and could be subject to delays, technical challenges and market acceptance challenges.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may not compete successfully with our initial or future products in the highly competitive life sciences technology market.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are dependent upon third parties for certain aspects of the development and commercialization of the Nautilus platform.</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We may not be able to launch our Nautilus platform successfully and even if it is successful, we may experience material delays in our commercialization program relative to current expectations.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operating results may fluctuate significantly in the future, which makes our future operating results difficult to predict and could cause our operating results to fall below expectations or our guidance.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may need to raise additional capital to fund our development and commercialization plans.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We may not be able to protect our intellectual property and proprietary rights throughout the world.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may become involved in litigation to enforce or defend our intellectual property rights, or to defend ourselves from claims that we infringe the intellectual property rights of others.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may face liability and/or negative publicity for any unknown defects or errors in our products.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rPr>
        <w:t>Our products may, in the future, be subject to regulation by the FDA or other regulatory authorities.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Environmental and health safety laws, including any failure to comply with such laws, may result in liabilities, expenses and restrictions on our operations.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We may experience a significant disruption in our information technology systems or breaches of data security.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are highly dependent on our key personnel, and if we are unable to recruit and retain key executives and scientists, we may not be able to achieve our goals.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operations and financial results could be adversely impacted by global and national events, such as the COVID-19 pandemic, conflicts in Eastern Europe, and general economic downturns.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rPr>
        <w:t>Global supply chain interruptions may negatively impact the development and commercialization of our products.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price of and market for our Common Stock may be volatile, which could result in substantial losses for investors and/or an inability to readily trade in our Common Stock.</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We will continue to incur significant increased costs and management resources as a result of operating as a public company.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Reports published by analysts, including projections in those reports that differ from our actual results, could adversely affect the price and trading volume of our common shares.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w:t>
      </w:r>
      <w:r>
        <w:rPr>
          <w:rFonts w:ascii="Times New Roman;sans-serif" w:hAnsi="Times New Roman;sans-serif"/>
          <w:b w:val="false"/>
          <w:color w:val="000000"/>
          <w:sz w:val="20"/>
          <w:highlight w:val="white"/>
        </w:rPr>
        <w:t xml:space="preserve">Nautilus </w:t>
      </w:r>
      <w:r>
        <w:rPr>
          <w:rFonts w:ascii="Times New Roman;sans-serif" w:hAnsi="Times New Roman;sans-serif"/>
          <w:b w:val="false"/>
          <w:color w:val="000000"/>
          <w:sz w:val="20"/>
        </w:rPr>
        <w:t xml:space="preserve">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$15.0 million and $15.8 million during the three months ended March 31, 2023 and 2022, respectively. As of March 31, 2023, we had an accumulated deficit of $153.5 million. These losses and accumulated deficit were primarily due to the substantial investments we made in the scientific and technological development of our </w:t>
      </w:r>
      <w:r>
        <w:rPr>
          <w:rFonts w:ascii="Times New Roman;sans-serif" w:hAnsi="Times New Roman;sans-serif"/>
          <w:b w:val="false"/>
          <w:color w:val="000000"/>
          <w:sz w:val="20"/>
          <w:highlight w:val="white"/>
        </w:rPr>
        <w:t xml:space="preserve">Nautilus </w:t>
      </w:r>
      <w:r>
        <w:rPr>
          <w:rFonts w:ascii="Times New Roman;sans-serif" w:hAnsi="Times New Roman;sans-serif"/>
          <w:b w:val="false"/>
          <w:color w:val="000000"/>
          <w:sz w:val="20"/>
        </w:rPr>
        <w:t>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pStyle w:val="TextBody"/>
        <w:spacing w:lineRule="auto" w:line="288" w:before="0" w:after="180"/>
        <w:ind w:left="0" w:right="0" w:firstLine="360"/>
        <w:rPr/>
      </w:pPr>
      <w:r>
        <w:rPr>
          <w:rFonts w:ascii="Times New Roman;sans-serif" w:hAnsi="Times New Roman;sans-serif"/>
          <w:b w:val="false"/>
          <w:color w:val="000000"/>
          <w:sz w:val="20"/>
        </w:rPr>
        <w:t xml:space="preserve">Our future success is entirely dependent on our ability to successfully develop and commercialize our </w:t>
      </w:r>
      <w:r>
        <w:rPr>
          <w:rFonts w:ascii="Times New Roman;sans-serif" w:hAnsi="Times New Roman;sans-serif"/>
          <w:b w:val="false"/>
          <w:color w:val="000000"/>
          <w:sz w:val="20"/>
          <w:highlight w:val="white"/>
        </w:rPr>
        <w:t xml:space="preserve">Nautilus </w:t>
      </w:r>
      <w:r>
        <w:rPr>
          <w:rFonts w:ascii="Times New Roman;sans-serif" w:hAnsi="Times New Roman;sans-serif"/>
          <w:b w:val="false"/>
          <w:color w:val="000000"/>
          <w:sz w:val="20"/>
        </w:rPr>
        <w:t xml:space="preserve">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have not yet commercially launched our Nautilus platform. We may not be able to launch our Nautilus platform successfully and even if it is successful, we may experience material delays in our commercialization program relative to current expectations.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anticipate commercializing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spacing w:lineRule="auto" w:line="288" w:before="0" w:after="180"/>
        <w:ind w:left="0" w:right="0" w:firstLine="360"/>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entering into collaborations, the success of such collaborations will depend heavily on the efforts and activities of our collaborators.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Scientific collaborations of the nature we propose to pursue are subject to numerous risks, including that: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collaborators may have significant discretion in determining the efforts and resources that they will apply to a specific project;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collaborators may not pursue development and commercialization of products or may elect not to continue or renew development or commercialization programs based on trial or test results, changes in their strategic focus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due to the acquisition of competitive products, availability of funding, or other external factors such as a business combination that diverts resources or creates competing priorities;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collaborators may own intellectual property covering products that result from our collaboration with them, and in such cases, we would not have the right to develop or commercialize such intellectual property;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collaborators could independently develop, or develop with third parties, products that compete directly or indirectly with product candidates that are being developed under the collaboration with us;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 collaborator with marketing, manufacturing, and distribution rights to one or more products may not commit sufficient resources to or otherwise not perform satisfactorily in carrying out these activities;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could grant exclusive rights to our collaborators that would prevent us from collaborating with others;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collaborations may be terminated, and, if terminated, in addition to reducing our revenue, may reduce exposure to research and clinical trials that facilitate the collection and incorporation of new information into our platform;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 collaborator’s sales and marketing activities or other operations may not be in compliance with applicable laws resulting in civil or criminal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Even if we are able to complete development of our Nautilus platform, we may not achieve or maintain significant commercial market acceptance.</w:t>
      </w:r>
    </w:p>
    <w:p>
      <w:pPr>
        <w:pStyle w:val="TextBody"/>
        <w:spacing w:lineRule="auto" w:line="288" w:before="0" w:after="180"/>
        <w:ind w:left="0" w:right="0" w:firstLine="360"/>
        <w:rPr/>
      </w:pPr>
      <w:r>
        <w:rPr>
          <w:rFonts w:ascii="Times New Roman;sans-serif" w:hAnsi="Times New Roman;sans-serif"/>
          <w:b w:val="false"/>
          <w:color w:val="000000"/>
          <w:sz w:val="20"/>
        </w:rPr>
        <w:t xml:space="preserve">Even if we are able to complete development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w:t>
      </w:r>
      <w:r>
        <w:rPr>
          <w:color w:val="000000"/>
          <w:highlight w:val="white"/>
        </w:rPr>
        <w:t xml:space="preserve">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relative to existing technologies and to validate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 takes longer than anticipated or does not occur, our business will be materially and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our ability to achieve market acceptance include the following: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ability of our marketing and engagement initiatives to increase awareness of the capabilities of our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ability of our Nautilus platform to demonstrate reliable performance in intended use applications, in particular, when the platform is used by customers in their own research;</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demonstrate that the functionality and performance of our Nautilus platform relative to alternative products and technologies justifies the substantial anticipated cost of the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willingness of prospective customers to adopt new products and workflows;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ease of use of our Nautilus platform and whether it reliably provides significant advantages over alternative products and technologies;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rate of adoption of our Nautilus platform by biopharmaceutical companies, laboratories, academic institutions and others;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the prices at which we will be able to sell our Nautilus platform instruments and consumables;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develop new products, workflows, and solutions that meet customer requirements;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introduction or development and commercialization by competitors of new products or enhancements to existing products with functionality and/or performance similar to our Nautilus platform;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impact of our investments in product innovation and commercial growth.</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cannot assure you that we will be successful in addressing any of these criteria or any additional criteria that might affect the market acceptance of our products. If we are unsuccessful in achieving and maintaining market acceptance of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latform, our business, financial condition and results of operations would be adversely affected.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order for us to commercialize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 xml:space="preserve">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 xml:space="preserve">latform, including our proteome analysis system and related consumables. Among other factors, we will need to develop reliable supply chains for the various components in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platform instruments and consumables to support large-scale commercial production. In connection with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 xml:space="preserve">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 xml:space="preserve">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are unable to establish an effective commercial organization, including effective distribution channels and sales and marketing functions, we may not be successful in commercializing our Nautilus platform.</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are only beginning to establish an internal organization focused specifically on the commercialization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 Accordingly, these initiatives will adversely affect our operating expenses prior to us having material off-setting revenue, if 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we will face a number of additional risks,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time and cost of establishing a specialized sales, marketing and customer service and support force.</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w:t>
      </w:r>
      <w:r>
        <w:rPr>
          <w:rFonts w:ascii="Times New Roman;sans-serif" w:hAnsi="Times New Roman;sans-serif"/>
          <w:b w:val="false"/>
          <w:color w:val="000000"/>
          <w:sz w:val="20"/>
          <w:highlight w:val="white"/>
        </w:rPr>
        <w:t>Nautilus p</w:t>
      </w:r>
      <w:r>
        <w:rPr>
          <w:rFonts w:ascii="Times New Roman;sans-serif" w:hAnsi="Times New Roman;sans-serif"/>
          <w:b w:val="false"/>
          <w:color w:val="000000"/>
          <w:sz w:val="20"/>
        </w:rPr>
        <w:t>latform may not gain market acceptance, which could materially impact our business and 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size of the markets for our Nautilus platform may be smaller than estimated, and new market opportunities may not develop as quickly as we expect, or at all, limiting our ability to successfully sell our products.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market for proteomics technologies and products is evolving, making it difficult to predict with any accuracy the size of the markets for our current and future products, including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xml:space="preserve">.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spacing w:lineRule="auto" w:line="288" w:before="0" w:after="180"/>
        <w:ind w:left="0" w:right="0" w:firstLine="360"/>
        <w:rPr/>
      </w:pPr>
      <w:r>
        <w:rPr>
          <w:rFonts w:ascii="Times New Roman;sans-serif" w:hAnsi="Times New Roman;sans-serif"/>
          <w:b/>
          <w:i/>
          <w:color w:val="000000"/>
          <w:sz w:val="20"/>
        </w:rPr>
        <w:t>We are dependent on single source suppliers for some of the components and materials used in our</w:t>
      </w:r>
      <w:r>
        <w:rPr>
          <w:color w:val="000000"/>
          <w:highlight w:val="white"/>
        </w:rPr>
        <w:t xml:space="preserve"> </w:t>
      </w:r>
      <w:r>
        <w:rPr>
          <w:rFonts w:ascii="Times New Roman;sans-serif" w:hAnsi="Times New Roman;sans-serif"/>
          <w:b/>
          <w:i/>
          <w:color w:val="000000"/>
          <w:sz w:val="20"/>
        </w:rPr>
        <w:t>Nautilus platform, and the loss of any of these suppliers could harm our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rely on single source suppliers for certain components and materials used in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xml:space="preserve">, including our click-reagent </w:t>
      </w:r>
      <w:r>
        <w:rPr>
          <w:rFonts w:ascii="Times New Roman;sans-serif" w:hAnsi="Times New Roman;sans-serif"/>
          <w:b w:val="false"/>
          <w:color w:val="000000"/>
          <w:sz w:val="20"/>
          <w:highlight w:val="white"/>
        </w:rPr>
        <w:t>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w:t>
      </w:r>
      <w:r>
        <w:rPr>
          <w:rFonts w:ascii="Times New Roman;sans-serif" w:hAnsi="Times New Roman;sans-serif"/>
          <w:b w:val="false"/>
          <w:color w:val="000000"/>
          <w:sz w:val="20"/>
        </w:rPr>
        <w:t xml:space="preserve">urrently have contracts for third parties to provide manufacturing capabilities for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also rely, and expect to continue to rely, on third-party manufacturers and, in many cases, single third-party manufacturers for the production of certain reagents and antibodies needed to generate the deep proteomic information at the speed and scale which we expect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we fail to compete effectively, our business and results of operation will suffer.</w:t>
      </w:r>
    </w:p>
    <w:p>
      <w:pPr>
        <w:pStyle w:val="TextBody"/>
        <w:spacing w:lineRule="auto" w:line="288" w:before="0" w:after="180"/>
        <w:ind w:left="0" w:right="0" w:firstLine="360"/>
        <w:rPr/>
      </w:pPr>
      <w:r>
        <w:rPr>
          <w:rFonts w:ascii="Times New Roman;sans-serif" w:hAnsi="Times New Roman;sans-serif"/>
          <w:b w:val="false"/>
          <w:color w:val="000000"/>
          <w:sz w:val="20"/>
        </w:rPr>
        <w:t>We face significant competition in the life sciences technology market. We currently compete with technology and diagnostic companies tha</w:t>
      </w:r>
      <w:r>
        <w:rPr>
          <w:rFonts w:ascii="Times New Roman;sans-serif" w:hAnsi="Times New Roman;sans-serif"/>
          <w:b w:val="false"/>
          <w:color w:val="000000"/>
          <w:sz w:val="20"/>
          <w:highlight w:val="white"/>
        </w:rPr>
        <w:t>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w:t>
      </w:r>
      <w:r>
        <w:rPr>
          <w:rFonts w:ascii="Times New Roman;sans-serif" w:hAnsi="Times New Roman;sans-serif"/>
          <w:b w:val="false"/>
          <w:color w:val="000000"/>
          <w:sz w:val="20"/>
        </w:rPr>
        <w: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Some of our current competitors are large publicly-traded companies, or are divisions of large publicly-traded companies, and enjoy a number of competitive advantages over us,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greater name and brand recognition;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greater financial and human resources;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broader product lines;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larger sales forces and more established distributor networks;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substantial intellectual property portfolios;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larger and more established customer bases and relationships;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better established, larger scale and lower cost manufacturing capabilities.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Even if our Nautilus platform is commercialized and achieves broad scientific and market acceptance, if we fail to improve it or introduce compelling new products, our revenue and our prospects could be harmed.</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life sciences industry is characterized by rapid and significant technological changes, frequent new product introductions and enhancements and evolving industry standards. Even if we are able to commercialize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and achieve broad scientific and market acceptance, our ability to attract new customers and increase revenue from existing customers will depend in large part on our ability to enhance and improve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and to introduce compelling new products. The success of any enhancement to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that we develop may not be introduced in a timely or cost-effective manner, may contain defects, errors, vulnerabilities or bugs, or may not achieve the market acceptance necessary to generate significant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requirements, compete with alternative products, or otherwise gain and maintain market acceptance, our business, results of operations and financial condition could be harmed.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expect that our revenue in the foreseeable future will be derived primarily from sales of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These reductions and delays may result from factors that are not within our control, such as: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decreases in government funding of research and development;</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 xml:space="preserve">changes in economic conditions, including recessionary effects, inflationary pressures </w:t>
      </w:r>
      <w:r>
        <w:rPr>
          <w:rFonts w:ascii="Times New Roman;sans-serif" w:hAnsi="Times New Roman;sans-serif"/>
          <w:b w:val="false"/>
          <w:color w:val="000000"/>
          <w:sz w:val="20"/>
        </w:rPr>
        <w:t xml:space="preserve">and instability in the global financial markets, including with respect to </w:t>
      </w:r>
      <w:r>
        <w:rPr>
          <w:rFonts w:ascii="Times New Roman;sans-serif" w:hAnsi="Times New Roman;sans-serif"/>
          <w:b w:val="false"/>
          <w:color w:val="000000"/>
          <w:sz w:val="20"/>
          <w:highlight w:val="white"/>
        </w:rPr>
        <w:t>any</w:t>
      </w:r>
      <w:r>
        <w:rPr>
          <w:color w:val="000000"/>
        </w:rPr>
        <w:t xml:space="preserve"> </w:t>
      </w:r>
      <w:r>
        <w:rPr>
          <w:rFonts w:ascii="Times New Roman;sans-serif" w:hAnsi="Times New Roman;sans-serif"/>
          <w:b w:val="false"/>
          <w:color w:val="000000"/>
          <w:sz w:val="20"/>
        </w:rPr>
        <w:t>future financial institution failures</w:t>
      </w:r>
      <w:r>
        <w:rPr>
          <w:rFonts w:ascii="Times New Roman;sans-serif" w:hAnsi="Times New Roman;sans-serif"/>
          <w:b w:val="false"/>
          <w:color w:val="000000"/>
          <w:sz w:val="20"/>
          <w:highlight w:val="white"/>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in the regulatory environment affecting life science and Ag-Bio companies engaged in research and commercial activities;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differences in budget cycles across various geographies and industries;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market-driven pressures on companies to consolidate operations and reduce costs;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mergers and acquisitions in the life science and Ag-Bio industries;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other factors affecting research and development spending.</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spacing w:lineRule="auto" w:line="288" w:before="0" w:after="180"/>
        <w:ind w:left="0" w:right="0" w:firstLine="36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 specific factors that may result in fluctuations include, without limitation: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timing and cost of, and level of investment in, research and development and commercialization activities relating to our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successfully establish and successfully maintain appropriate collaborations and derive revenue from those collaborations;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successfully develop and commercialize our Nautilus platform on our anticipated timeline.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level of demand for any products we are able to commercialize, particularly our Nautilus platform, which may vary significantly from period to period;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ability to drive adoption of our Nautilus platform in our target markets and our ability to expand into any future target markets;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rPr>
        <w:t>the impact that economic inflation may have on our costs for manufacturing our products;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prices at which we will be able to sell our Nautilus platform;</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volume and mix of our sales between consumables, instruments and software, or changes in the manufacturing or sales costs related to our products;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timing and amount of expenditures that we may incur to develop, commercialize or acquire additional products and technologies or for other purposes, such as the expansion of our facilities;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in governmental funding of life sciences research and development or changes that impact budgets and budget cycles;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seasonal spending patterns of our customers;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timing of when we recognize any revenue;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future accounting pronouncements or changes in our accounting policies;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outcome of any future litigation or governmental investigations involving us, our industry or both;</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higher than anticipated service, replacement and warranty costs;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the impact of the COVID-19 pandemic, the conflicts in Eastern Europe, recent and any potential future financial institution failures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and other national and global events on the economy, investment in life sciences and research industries, our business operations, and resources and operations of our customers, suppliers, and distributors; and</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general industry, economic and market conditions and other factors, including factors unrelated to our operating performance or the operating performance of our competitors.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are a life sciences technology company with a limited operating history. We have not completed development of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 xml:space="preserve">platform or any other products and have not generated any revenue to date. Our operations to date have been limited to developing our </w:t>
      </w:r>
      <w:r>
        <w:rPr>
          <w:rFonts w:ascii="Times New Roman;sans-serif" w:hAnsi="Times New Roman;sans-serif"/>
          <w:b w:val="false"/>
          <w:color w:val="000000"/>
          <w:sz w:val="20"/>
          <w:highlight w:val="white"/>
        </w:rPr>
        <w:t>Nautilus</w:t>
      </w:r>
      <w:r>
        <w:rPr>
          <w:color w:val="000000"/>
        </w:rPr>
        <w:t xml:space="preserve"> </w:t>
      </w:r>
      <w:r>
        <w:rPr>
          <w:rFonts w:ascii="Times New Roman;sans-serif" w:hAnsi="Times New Roman;sans-serif"/>
          <w:b w:val="false"/>
          <w:color w:val="000000"/>
          <w:sz w:val="20"/>
        </w:rPr>
        <w:t>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development and commercialization plans.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consider raising additional capital in the future to expand our business, to pursue strategic investments, to take advantage of financing or acquisition opportunities or for other reasons,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funding development and marketing efforts of our Nautilus platform or any other future products;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increasing our sales and marketing and other commercialization efforts to drive market adoption of our Nautilus platform, once commercialized;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expanding our technologies into additional markets;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preparing, filing, prosecuting, defending and enforcing any patent claims and other intellectual property rights;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acquiring, licensing or defending against third party intellectual property rights;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acquiring or investing in complementary technologies, businesses or assets;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financing capital expenditures and 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delays in execution of our development plans;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scope and timing of our investment in our sales, marketing, and distribution capabilities;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we may make to our business that affect ongoing operating expenses;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costs of filing, prosecuting, defending and enforcing any patent claims and other intellectual property rights;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we may make in our business or commercialization strategy;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we may make in our research and development spending plans;</w:t>
      </w:r>
    </w:p>
    <w:p>
      <w:pPr>
        <w:pStyle w:val="TextBody"/>
        <w:spacing w:lineRule="auto" w:line="288" w:before="0" w:after="180"/>
        <w:ind w:left="0" w:right="0" w:firstLine="360"/>
        <w:rPr/>
      </w:pPr>
      <w:r>
        <w:rPr>
          <w:color w:val="000000"/>
          <w:highlight w:val="white"/>
        </w:rPr>
        <w:t>•</w:t>
      </w:r>
      <w:r>
        <w:rPr>
          <w:rFonts w:ascii="Times New Roman;sans-serif" w:hAnsi="Times New Roman;sans-serif"/>
          <w:b w:val="false"/>
          <w:color w:val="000000"/>
          <w:sz w:val="20"/>
          <w:highlight w:val="white"/>
        </w:rPr>
        <w:t>the effect of competing technological and market developments;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need to implement additional infrastructure and internal systems;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impact of the COVID-19 pandemic;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other items affecting our forecasted level of expenditures and use of cash resources including potential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expect to incur higher banking related costs.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w:t>
      </w:r>
      <w:r>
        <w:rPr>
          <w:rFonts w:ascii="Times New Roman;sans-serif" w:hAnsi="Times New Roman;sans-serif"/>
          <w:b w:val="false"/>
          <w:color w:val="000000"/>
          <w:sz w:val="20"/>
          <w:highlight w:val="white"/>
        </w:rPr>
        <w:t xml:space="preserve">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The U.S. law relating to the patentability of certain inventions in the life sciences technology industry is uncertain and rapidly changing, which may adversely impact our existing patents or our ability to obtain patents in the future.</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ans-serif" w:hAnsi="Times New Roman;sans-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spacing w:lineRule="auto" w:line="288" w:before="0" w:after="180"/>
        <w:ind w:left="0" w:right="0" w:firstLine="360"/>
        <w:rPr/>
      </w:pPr>
      <w:r>
        <w:rPr>
          <w:rFonts w:ascii="Times New Roman;sans-serif" w:hAnsi="Times New Roman;sans-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ans-serif" w:hAnsi="Times New Roman;sans-serif"/>
          <w:b w:val="false"/>
          <w:color w:val="000000"/>
          <w:sz w:val="20"/>
          <w:highlight w:val="white"/>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spacing w:before="0" w:after="180"/>
        <w:ind w:left="0" w:right="0" w:firstLine="360"/>
        <w:rPr/>
      </w:pPr>
      <w:r>
        <w:rPr/>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may not be able to protect our intellectual property rights throughout the world.</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Many companies have enc</w:t>
      </w:r>
      <w:r>
        <w:rPr>
          <w:rFonts w:ascii="Times New Roman;sans-serif" w:hAnsi="Times New Roman;sans-serif"/>
          <w:b w:val="false"/>
          <w:color w:val="000000"/>
          <w:sz w:val="20"/>
        </w:rPr>
        <w:t>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spacing w:lineRule="auto" w:line="288" w:before="0" w:after="180"/>
        <w:ind w:left="0" w:right="0" w:firstLine="360"/>
        <w:rPr/>
      </w:pPr>
      <w:r>
        <w:rPr>
          <w:rFonts w:ascii="Times New Roman;sans-serif" w:hAnsi="Times New Roman;sans-serif"/>
          <w:b w:val="false"/>
          <w:color w:val="000000"/>
          <w:sz w:val="20"/>
        </w:rPr>
        <w:t>Our owned and any future licensed patents and</w:t>
      </w:r>
      <w:r>
        <w:rPr>
          <w:color w:val="000000"/>
          <w:highlight w:val="white"/>
        </w:rPr>
        <w:t xml:space="preserve"> </w:t>
      </w:r>
      <w:r>
        <w:rPr>
          <w:rFonts w:ascii="Times New Roman;sans-serif" w:hAnsi="Times New Roman;sans-serif"/>
          <w:b w:val="false"/>
          <w:color w:val="000000"/>
          <w:sz w:val="20"/>
          <w:highlight w:val="white"/>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ans-serif" w:hAnsi="Times New Roman;sans-serif"/>
          <w:b w:val="false"/>
          <w:i/>
          <w:color w:val="000000"/>
          <w:sz w:val="20"/>
        </w:rPr>
        <w:t>inter partes</w:t>
      </w:r>
      <w:r>
        <w:rPr>
          <w:color w:val="000000"/>
          <w:highlight w:val="white"/>
        </w:rPr>
        <w:t xml:space="preserve"> </w:t>
      </w:r>
      <w:r>
        <w:rPr>
          <w:rFonts w:ascii="Times New Roman;sans-serif" w:hAnsi="Times New Roman;sans-serif"/>
          <w:b w:val="false"/>
          <w:color w:val="000000"/>
          <w:sz w:val="20"/>
          <w:highlight w:val="white"/>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ans-serif" w:hAnsi="Times New Roman;sans-serif"/>
          <w:b w:val="false"/>
          <w:color w:val="000000"/>
          <w:sz w:val="20"/>
        </w:rPr>
        <w:t>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ans-serif" w:hAnsi="Times New Roman;sans-serif"/>
          <w:b w:val="false"/>
          <w:color w:val="000000"/>
          <w:sz w:val="20"/>
          <w:highlight w:val="white"/>
        </w:rPr>
        <w:t xml:space="preserve">isleading statement, during prosecution. Third parties may also raise similar claims before administrative bodies in the United States or abroad, even outside the context of litigation. Such mechanisms include ex parte re-examination, </w:t>
      </w:r>
      <w:r>
        <w:rPr>
          <w:rFonts w:ascii="Times New Roman;sans-serif" w:hAnsi="Times New Roman;sans-serif"/>
          <w:b w:val="false"/>
          <w:i/>
          <w:color w:val="000000"/>
          <w:sz w:val="20"/>
        </w:rPr>
        <w:t>inter partes</w:t>
      </w:r>
      <w:r>
        <w:rPr>
          <w:color w:val="000000"/>
          <w:highlight w:val="white"/>
        </w:rPr>
        <w:t xml:space="preserve"> </w:t>
      </w:r>
      <w:r>
        <w:rPr>
          <w:rFonts w:ascii="Times New Roman;sans-serif" w:hAnsi="Times New Roman;sans-serif"/>
          <w:b w:val="false"/>
          <w:color w:val="000000"/>
          <w:sz w:val="20"/>
          <w:highlight w:val="white"/>
        </w:rPr>
        <w:t xml:space="preserve">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by our patents and patent applications is threatened, regardless of the outcome, it could dissuade companies from collaborating with us to license intellectual property or develop or commercialize current or future products.</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We may not be aware of all third-party intel</w:t>
      </w:r>
      <w:r>
        <w:rPr>
          <w:rFonts w:ascii="Times New Roman;sans-serif" w:hAnsi="Times New Roman;sans-serif"/>
          <w:b w:val="false"/>
          <w:color w:val="000000"/>
          <w:sz w:val="20"/>
        </w:rPr>
        <w:t>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rely heavily on trade secrets and confidentiality agreements to protect our unpatented know-how, technology and other proprietary information, including parts of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products and attempt to replicate some or all of the competitive advantages we derive from our development efforts, design around our protected technology</w:t>
      </w:r>
      <w:r>
        <w:rPr>
          <w:rFonts w:ascii="Times New Roman;sans-serif" w:hAnsi="Times New Roman;sans-serif"/>
          <w:b w:val="false"/>
          <w:color w:val="000000"/>
          <w:sz w:val="20"/>
          <w:highlight w:val="white"/>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may be subject to claims challenging the inventorship of our patents and other intellectual property.</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ans-serif" w:hAnsi="Times New Roman;sans-serif"/>
          <w:b w:val="false"/>
          <w:color w:val="000000"/>
          <w:sz w:val="20"/>
        </w:rPr>
        <w:t xml:space="preserve">portant to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Nautilus platform for an adequate amount of time.</w:t>
      </w:r>
    </w:p>
    <w:p>
      <w:pPr>
        <w:pStyle w:val="TextBody"/>
        <w:spacing w:lineRule="auto" w:line="288" w:before="0" w:after="180"/>
        <w:ind w:left="0" w:right="0" w:firstLine="36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ans-serif" w:hAnsi="Times New Roman;sans-serif"/>
          <w:b w:val="false"/>
          <w:color w:val="000000"/>
          <w:sz w:val="20"/>
          <w:highlight w:val="white"/>
        </w:rPr>
        <w:t>ensates a patentee for administrative delays by the USPTO in examining and granting a patent, or may be shortened</w:t>
      </w:r>
      <w:r>
        <w:rPr>
          <w:color w:val="000000"/>
        </w:rPr>
        <w:t xml:space="preserve"> </w:t>
      </w:r>
      <w:r>
        <w:rPr>
          <w:rFonts w:ascii="Times New Roman;sans-serif" w:hAnsi="Times New Roman;sans-serif"/>
          <w:b w:val="false"/>
          <w:color w:val="000000"/>
          <w:sz w:val="20"/>
        </w:rPr>
        <w:t xml:space="preserve">if a patent is terminally disclaimed over a commonly owned patent or a patent naming a common inventor and having an earlier expiration date. Even if patents covering our products are obtained, once the patent life has expired, we may be open to competition from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Furthermore, we or any future licensor may in the futur</w:t>
      </w:r>
      <w:r>
        <w:rPr>
          <w:rFonts w:ascii="Times New Roman;sans-serif" w:hAnsi="Times New Roman;sans-serif"/>
          <w:b w:val="false"/>
          <w:color w:val="000000"/>
          <w:sz w:val="20"/>
          <w:highlight w:val="white"/>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ans-serif" w:hAnsi="Times New Roman;sans-serif"/>
          <w:b w:val="false"/>
          <w:color w:val="000000"/>
          <w:sz w:val="20"/>
        </w:rPr>
        <w:t>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spacing w:lineRule="auto" w:line="288" w:before="0" w:after="180"/>
        <w:ind w:left="0" w:right="0" w:firstLine="360"/>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or any future licensor(s), might not have been the first to make the inventions covered by the issued patent or pending patent application that we license or may own in the future;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or any future licensor(s), might not have been the first to file patent applications covering certain of our or their inventions;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others may independently develop similar or alternative technologies or duplicate any of our technologies without infringing, misappropriating or otherwise violating our owned or future licensed intellectual property rights;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it is possible that our pending patent applications or those that we may license or own in the future will not lead to issued patents;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issued patents that we hold rights to may be held invalid or unenforceable, including as a result of legal challenges by our competitors;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may not develop additional proprietary technologies that are patentable;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patents of others may harm our business;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we may choose not to file a patent for certain trade secrets or know-how, and a third party may independently derive, use, commercialize, publish or patent such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litigation to enforce or defend our intellectual property rights, or defend ourselves from claims that we infringe the intellectual property rights of others, which litigation could consume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significant resources and management time, and in which an adverse result could result in loss of our intellectual property rights, a requirement that we pay significant damages, and could prevent us from selling our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products could have unknown defects or errors, which may give rise to claims against us and adversely affect market adoption of our Nautilus platform.</w:t>
      </w:r>
    </w:p>
    <w:p>
      <w:pPr>
        <w:pStyle w:val="TextBody"/>
        <w:spacing w:lineRule="auto" w:line="288" w:before="0" w:after="180"/>
        <w:ind w:left="0" w:right="0" w:firstLine="360"/>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xml:space="preserve">, these risks may increase. We expect to provide warranties that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will meet performance expectations or be free from defects. The costs incurred in correcting any defects or errors may be substantial and could adversely affect our operating margins.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manufacturing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our products contain defects, we may experience: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 failure to achieve market acceptance or expansion of our product sales;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loss of customer orders and delay in order fulfillment;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damage to our brand reputation;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increased cost of our warranty program due to product repair or replacement;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product recalls or replacements;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inability to attract new customers;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diversion of resources from our manufacturing and research and development departments into our service department;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legal claims against us, including product liability claims, which could be costly and time consuming to defend and result in substantial damages.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our business, financial condition and 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are sued for product liability, we could face substantial liabilities that exceed our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spacing w:lineRule="auto" w:line="288" w:before="0" w:after="180"/>
        <w:ind w:left="0" w:right="0" w:firstLine="360"/>
        <w:rPr/>
      </w:pPr>
      <w:r>
        <w:rPr>
          <w:rFonts w:ascii="Times New Roman;sans-serif" w:hAnsi="Times New Roman;sans-serif"/>
          <w:b w:val="false"/>
          <w:color w:val="000000"/>
          <w:sz w:val="20"/>
        </w:rPr>
        <w:t>Our products are currently labeled and promoted, and are, and in the n</w:t>
      </w:r>
      <w:r>
        <w:rPr>
          <w:rFonts w:ascii="Times New Roman;sans-serif" w:hAnsi="Times New Roman;sans-serif"/>
          <w:b w:val="false"/>
          <w:color w:val="000000"/>
          <w:sz w:val="20"/>
          <w:highlight w:val="white"/>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ans-serif" w:hAnsi="Times New Roman;sans-serif"/>
          <w:b w:val="false"/>
          <w:color w:val="000000"/>
          <w:sz w:val="20"/>
        </w:rPr>
        <w:t xml:space="preserve">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spacing w:lineRule="auto" w:line="288" w:before="0" w:after="180"/>
        <w:ind w:left="0" w:right="0" w:firstLine="360"/>
        <w:rPr/>
      </w:pPr>
      <w:r>
        <w:rPr>
          <w:rFonts w:ascii="Times New Roman;sans-serif" w:hAnsi="Times New Roman;sans-serif"/>
          <w:b w:val="false"/>
          <w:color w:val="000000"/>
          <w:sz w:val="20"/>
        </w:rPr>
        <w:t>If w</w:t>
      </w:r>
      <w:r>
        <w:rPr>
          <w:rFonts w:ascii="Times New Roman;sans-serif" w:hAnsi="Times New Roman;sans-serif"/>
          <w:b w:val="false"/>
          <w:color w:val="000000"/>
          <w:sz w:val="20"/>
          <w:highlight w:val="white"/>
        </w:rPr>
        <w:t>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ans-serif" w:hAnsi="Times New Roman;sans-serif"/>
          <w:b w:val="false"/>
          <w:color w:val="000000"/>
          <w:sz w:val="20"/>
        </w:rPr>
        <w:t>nts or obtain and maintain required approvals, clearances or certifications could impair our ability to commercialize our products for diagnostic use outside of the United States.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spacing w:lineRule="auto" w:line="288" w:before="0" w:after="180"/>
        <w:ind w:left="0" w:right="0" w:firstLine="360"/>
        <w:rPr/>
      </w:pPr>
      <w:r>
        <w:rPr>
          <w:rFonts w:ascii="Times New Roman;sans-serif" w:hAnsi="Times New Roman;sans-serif"/>
          <w:b w:val="false"/>
          <w:color w:val="000000"/>
          <w:sz w:val="20"/>
        </w:rPr>
        <w:t>We do not currentl</w:t>
      </w:r>
      <w:r>
        <w:rPr>
          <w:rFonts w:ascii="Times New Roman;sans-serif" w:hAnsi="Times New Roman;sans-serif"/>
          <w:b w:val="false"/>
          <w:color w:val="000000"/>
          <w:sz w:val="20"/>
          <w:highlight w:val="white"/>
        </w:rPr>
        <w:t xml:space="preserve">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of our RUO products are subject to regulatory clearance or approval, our business, financial condition, or results of operations could be adversely affected.</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 xml:space="preserve">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w:t>
      </w:r>
      <w:r>
        <w:rPr>
          <w:rFonts w:ascii="Times New Roman;sans-serif" w:hAnsi="Times New Roman;sans-serif"/>
          <w:b w:val="false"/>
          <w:color w:val="000000"/>
          <w:sz w:val="20"/>
        </w:rPr>
        <w:t xml:space="preserve">In November 2021, HHS under the Biden administration issued a statement that withdrew the August 2020 policy announcement stating that HHS does not have a policy on LDTs that is separate from FDA’s longstanding approach. </w:t>
      </w:r>
      <w:r>
        <w:rPr>
          <w:rFonts w:ascii="Times New Roman;sans-serif" w:hAnsi="Times New Roman;sans-serif"/>
          <w:b w:val="false"/>
          <w:color w:val="000000"/>
          <w:sz w:val="20"/>
          <w:highlight w:val="white"/>
        </w:rPr>
        <w:t>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the substantive FDA policy riders, including the VALID Act, but Congress may revisit the policy riders and enact other FDA programmatic reforms in the future.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spacing w:lineRule="auto" w:line="288" w:before="0" w:after="180"/>
        <w:ind w:left="0" w:right="0" w:firstLine="360"/>
        <w:rPr/>
      </w:pPr>
      <w:r>
        <w:rPr>
          <w:rFonts w:ascii="Times New Roman;sans-serif" w:hAnsi="Times New Roman;sans-serif"/>
          <w:b w:val="false"/>
          <w:color w:val="000000"/>
          <w:sz w:val="20"/>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w:t>
      </w:r>
      <w:r>
        <w:rPr>
          <w:rFonts w:ascii="Times New Roman;sans-serif" w:hAnsi="Times New Roman;sans-serif"/>
          <w:b w:val="false"/>
          <w:color w:val="000000"/>
          <w:sz w:val="20"/>
          <w:highlight w:val="white"/>
        </w:rPr>
        <w:t>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ans-serif" w:hAnsi="Times New Roman;sans-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spacing w:lineRule="auto" w:line="288" w:before="0" w:after="180"/>
        <w:ind w:left="0" w:right="0" w:firstLine="360"/>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w:t>
      </w:r>
      <w:r>
        <w:rPr>
          <w:rFonts w:ascii="Times New Roman;sans-serif" w:hAnsi="Times New Roman;sans-serif"/>
          <w:b w:val="false"/>
          <w:color w:val="000000"/>
          <w:sz w:val="20"/>
          <w:highlight w:val="white"/>
        </w:rPr>
        <w:t>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Most substantive provisions in CPRA are effective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Utah, Connecticut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w:t>
      </w:r>
      <w:r>
        <w:rPr>
          <w:rFonts w:ascii="Times New Roman;sans-serif" w:hAnsi="Times New Roman;sans-serif"/>
          <w:b w:val="false"/>
          <w:color w:val="000000"/>
          <w:sz w:val="20"/>
        </w:rPr>
        <w:t>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commercialize our Nautilus platform outside of the United States, our international business could expose us to business, tax, regulatory, political, operational, financial, and economic risks associated with doing business outside of the United States.</w:t>
      </w:r>
    </w:p>
    <w:p>
      <w:pPr>
        <w:pStyle w:val="TextBody"/>
        <w:spacing w:lineRule="auto" w:line="288" w:before="0" w:after="180"/>
        <w:ind w:left="0" w:right="0" w:firstLine="360"/>
        <w:rPr/>
      </w:pPr>
      <w:r>
        <w:rPr>
          <w:rFonts w:ascii="Times New Roman;sans-serif" w:hAnsi="Times New Roman;sans-serif"/>
          <w:b w:val="false"/>
          <w:color w:val="000000"/>
          <w:sz w:val="20"/>
        </w:rPr>
        <w:t>If we commercialize our</w:t>
      </w:r>
      <w:r>
        <w:rPr>
          <w:color w:val="000000"/>
          <w:highlight w:val="white"/>
        </w:rPr>
        <w:t xml:space="preserve">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outside of the United States, our international business may be adversely affected by changing economic, political and regulatory conditions in foreign countries. Engaging in international business inherently involves a number of difficulties and risks,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required compliance with existing and changing foreign regulatory requirements and laws;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required compliance with U.S. laws such as the Foreign Corrupt Practices Act, and other U.S. federal laws and regulations established by the office of Foreign Asset Control;</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export or import restrictions;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laws and business practices favoring local companies;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foreign currency exchange, longer payment cycles and difficulties in enforcing agreements and collecting receivables through certain foreign legal systems;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political and economic instability;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potentially adverse tax consequences, tariffs, customs charges, bureaucratic requirements and other trade barriers;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difficulties and costs of staffing and managing foreign operations, including compliance with diverse and complex local employment laws and practices;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difficulties protecting, maintaining, enforcing or procuring intellectual property rights.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addition, if we commercialize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outside of the United States, we may rely on distributors for sales of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spacing w:lineRule="auto" w:line="288" w:before="0" w:after="180"/>
        <w:ind w:left="0" w:right="0" w:firstLine="360"/>
        <w:rPr/>
      </w:pPr>
      <w:r>
        <w:rPr>
          <w:rFonts w:ascii="Times New Roman;sans-serif" w:hAnsi="Times New Roman;sans-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ans-serif" w:hAnsi="Times New Roman;sans-serif"/>
          <w:b/>
          <w:i/>
          <w:color w:val="000000"/>
          <w:sz w:val="20"/>
          <w:highlight w:val="white"/>
        </w:rPr>
        <w:t>we may be subject to civil or criminal penalties and other adverse consequences which could have a material adverse effect on our business, financial condition, results of operations and growth prospects.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ans-serif" w:hAnsi="Times New Roman;sans-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Demand for our technology could be reduced by legal, social and ethical concerns surrounding the use of genetic information and biological materials.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experience a significant disruption in our information technology systems or breaches of data security, our business could be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ransomware or other malicious software,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loss, unavailability, exposure, unauthorized modification, alteration or other processing of personal information, including sensitive personal information, of our employees,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customers and others, any of which could have a material adverse effect on our business, reputation, financial condition and 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be unable to manage our anticipated growth effectively.</w:t>
      </w:r>
    </w:p>
    <w:p>
      <w:pPr>
        <w:pStyle w:val="TextBody"/>
        <w:spacing w:lineRule="auto" w:line="288" w:before="0" w:after="180"/>
        <w:ind w:left="0" w:right="0" w:firstLine="360"/>
        <w:rPr/>
      </w:pPr>
      <w:r>
        <w:rPr>
          <w:rFonts w:ascii="Times New Roman;sans-serif" w:hAnsi="Times New Roman;sans-serif"/>
          <w:b w:val="false"/>
          <w:color w:val="000000"/>
          <w:sz w:val="20"/>
        </w:rPr>
        <w:t xml:space="preserve">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2023, we had 153 employees. To execute our anticipated growth successfully, we must continue to attract and retain qualified personnel and manage and train them effectively. Developing and commercializing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are unable to recruit and retain key executives and scientists, we may be unable to achieve our goals.</w:t>
      </w:r>
    </w:p>
    <w:p>
      <w:pPr>
        <w:pStyle w:val="TextBody"/>
        <w:spacing w:lineRule="auto" w:line="288" w:before="0" w:after="180"/>
        <w:ind w:left="0" w:right="0" w:firstLine="360"/>
        <w:rPr/>
      </w:pPr>
      <w:r>
        <w:rPr>
          <w:rFonts w:ascii="Times New Roman;sans-serif" w:hAnsi="Times New Roman;sans-serif"/>
          <w:b w:val="false"/>
          <w:color w:val="000000"/>
          <w:sz w:val="20"/>
        </w:rPr>
        <w:t>Our performance is substan</w:t>
      </w:r>
      <w:r>
        <w:rPr>
          <w:rFonts w:ascii="Times New Roman;sans-serif" w:hAnsi="Times New Roman;sans-serif"/>
          <w:b w:val="false"/>
          <w:color w:val="000000"/>
          <w:sz w:val="20"/>
          <w:highlight w:val="white"/>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have a material adverse effect on our business. We do not maintain fixed term employment contracts with any of our employees and do not maintain key man life insurance on any of our employees.</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 xml:space="preserve">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t>
      </w:r>
      <w:r>
        <w:rPr>
          <w:rFonts w:ascii="Times New Roman;sans-serif" w:hAnsi="Times New Roman;sans-serif"/>
          <w:b w:val="false"/>
          <w:color w:val="000000"/>
          <w:sz w:val="20"/>
        </w:rPr>
        <w:t>This competition has become exacerbated by the increase in employee resignations in 2022 reported by employers nationwide and continued high rates of employee turnover in 2023.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may acquire other companies or technologies, which could divert our management’s attention, result in additional dilution to our stockholders and otherwise disrupt our operations and harm our operating results.</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multiple global events, including the COVID-19 pandemic, the conflict in Eastern Europe, increasing interest rates, instability in the global financial markets, and general economic downturns, could adversely affect our ability to raise capital and our business, results of operations and financial condition.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potential economic impact brought by multiple adverse global circumstances, such as the COVID-19 pandemic, conflicts in Eastern Europe,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financial markets. A severe or prolonged economic downturn could result in a variety of risks to our business, including weakened demand for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 xml:space="preserve">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2023, we had cash, cash equivalents and investments of $302.0 million, consisting of U.S. treasury securities, mutual funds, commercial paper, corporate debt securities, and agency securities. Any default by the U.S. government or credit downgrade of the securities we hold could impact the liquidity or valuation of our investments.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spacing w:lineRule="auto" w:line="288" w:before="0" w:after="180"/>
        <w:ind w:left="0" w:right="0" w:firstLine="360"/>
        <w:rPr/>
      </w:pPr>
      <w:r>
        <w:rPr>
          <w:rFonts w:ascii="Times New Roman;sans-serif" w:hAnsi="Times New Roman;sans-serif"/>
          <w:b/>
          <w:i/>
          <w:color w:val="000000"/>
          <w:sz w:val="20"/>
        </w:rPr>
        <w:t>Global supply chain interruptions could adversely affect our ability to develop and commercialize our products</w:t>
      </w:r>
      <w:r>
        <w:rPr>
          <w:rFonts w:ascii="Times New Roman;sans-serif" w:hAnsi="Times New Roman;sans-serif"/>
          <w:b/>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We may be subject to supply chain interruptions. Current or future supply chain interruptions that could be exacerbated by global political tensions, such as the situation in Eastern Europe and uncertainty related to Taiwan and its relationship with China, could negatively impact our ability to further develop our products or to manufacture and deliver our products or services, which could negatively impact our timelines and business results. For example, as discussed in the risk factor above entitled “</w:t>
      </w:r>
      <w:r>
        <w:rPr>
          <w:rFonts w:ascii="Times New Roman;sans-serif" w:hAnsi="Times New Roman;sans-serif"/>
          <w:b w:val="false"/>
          <w:i/>
          <w:color w:val="000000"/>
          <w:sz w:val="20"/>
          <w:highlight w:val="white"/>
        </w:rPr>
        <w:t>The COVID-19 pandemic and efforts to reduce its spread have adversely impacted and are expected to continue to materially and adversely impact, our business and operations</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 in Eastern Europe.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Seattle, Washington, facility houses our corporate executive team and our software development operations, while our San Carlos, California facility houses our research and development team.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facilities in Seattle and San Carlos are vulnerable to natural disasters, public health crises, including the impact of the COVID-19 pandemic, and other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 xml:space="preserve">If our research and development program or planned commercialization program were disrupted by a disaster or catastrophe, the launch of new products, including our </w:t>
      </w:r>
      <w:r>
        <w:rPr>
          <w:rFonts w:ascii="Times New Roman;sans-serif" w:hAnsi="Times New Roman;sans-serif"/>
          <w:b w:val="false"/>
          <w:color w:val="000000"/>
          <w:sz w:val="20"/>
          <w:highlight w:val="white"/>
        </w:rPr>
        <w:t>Nautilus platform</w:t>
      </w:r>
      <w:r>
        <w:rPr>
          <w:rFonts w:ascii="Times New Roman;sans-serif" w:hAnsi="Times New Roman;sans-serif"/>
          <w:b w:val="false"/>
          <w:color w:val="000000"/>
          <w:sz w:val="20"/>
        </w:rPr>
        <w:t>,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use hazardous chemicals and biological materials in our business. Any claims relating to improper handling, storage or disposal of these materials could be time consuming and costly.</w:t>
      </w:r>
    </w:p>
    <w:p>
      <w:pPr>
        <w:pStyle w:val="TextBody"/>
        <w:spacing w:lineRule="auto" w:line="288" w:before="0" w:after="180"/>
        <w:ind w:left="0" w:right="0" w:firstLine="360"/>
        <w:rPr/>
      </w:pPr>
      <w:r>
        <w:rPr>
          <w:rFonts w:ascii="Times New Roman;sans-serif" w:hAnsi="Times New Roman;sans-serif"/>
          <w:b w:val="false"/>
          <w:color w:val="000000"/>
          <w:sz w:val="20"/>
        </w:rPr>
        <w:t xml:space="preserve">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w:t>
      </w:r>
      <w:r>
        <w:rPr>
          <w:rFonts w:ascii="Times New Roman;sans-serif" w:hAnsi="Times New Roman;sans-serif"/>
          <w:b w:val="false"/>
          <w:color w:val="000000"/>
          <w:sz w:val="20"/>
          <w:highlight w:val="white"/>
        </w:rPr>
        <w:t>Nautilus platform</w:t>
      </w:r>
      <w:r>
        <w:rPr>
          <w:color w:val="000000"/>
        </w:rPr>
        <w:t xml:space="preserve"> </w:t>
      </w:r>
      <w:r>
        <w:rPr>
          <w:rFonts w:ascii="Times New Roman;sans-serif" w:hAnsi="Times New Roman;sans-serif"/>
          <w:b w:val="false"/>
          <w:color w:val="000000"/>
          <w:sz w:val="20"/>
        </w:rPr>
        <w:t>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never develop or be sustained.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which could result in substantial losses for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due to a variety of factors, including: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timing of the launch and commercialization of our products and degree to which such launch and commercialization meets the expectations of securities analysts and investors;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actual or anticipated fluctuations in our operating results, including fluctuations in our quarterly and annual results;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operating expenses being more than anticipated;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failure or discontinuation of any of our product development and research programs;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changes in the structure or funding of research at academic and research laboratories and institutions, including changes that would affect their ability to purchase our instruments or consumables;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success of existing or new competitive businesses or technologies;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announcements about new research programs or products of our competitors;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developments or disputes concerning patent applications, issued patents or other proprietary rights;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recruitment or departure of key personnel;</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litigation and governmental investigations involving us, our industry or both;</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regulatory or legal developments in the United States and other countries;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volatility and variations in market conditions in the life sciences technology sector generally, or the proteomics or genomics sectors specifically;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investor perceptions of us or our industry;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level of expenses related to any of our research and development programs or products;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whether our financial results meet the expectations of securities analysts or investors;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announcement or expectation of additional financing efforts;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sales of our Common Stock by us or by our insiders or other stockholders;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general economic, industry and market conditions;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the COVID-19 pandemic, natural disasters or major catastrophic events.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a limited availability of market quotations for our securities;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reduced liquidity for our securities;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a limited amount of new and analyst coverage; and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 xml:space="preserve">a decreased ability to issue additional securities or obtain additional financing in the future.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Common Stock and will be able to exercise significant influence over matters subject to stockholder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directors, executive officers, holders of more than 5% of our outstanding shares of Common Stock and their respective affiliates beneficially owned, collectively, approximately 68.8%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do not expect to pay any dividends for the foreseeable future. Investors may never obtain a return on their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Act against any person in connection with any offering of the Company’s securities, including any auditor, underwriter, expert, control person or other defendant.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certain amendments to our certificate of incorporation require the approval of stockholders holding two-thirds of the voting power of our then outstanding capital stock;</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any stockholder-proposed amendment to certain provisions of our bylaws require the approval of stockholders holding two-thirds of the voting power of our then outstanding capital stock;</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stockholders are only able to take action at a meeting of stockholders and are not able to take action by written consent for any matter;</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vacancies on our board of directors are able to be filled only by our board of directors and not by stockholders;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only the chair of our board of directors, our chief executive officer, our president or a majority of our board of directors are authorized to call a special meeting of stockholders;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certain litigation against us can only be brought in Delaware;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our certificate of incorporation authorizes undesignated preferred stock, the terms of which may be established by our Board and shares of which may be issued, without the approval of the holders of our capital stock; and</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highlight w:val="white"/>
        </w:rPr>
        <w:t>advance notice procedures apply for stockholders to nominate candidates for election as directors or to bring matters before an annual meeting of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will continue to incur significant increased costs and management resources as a result of operating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have broad discretion in the use of the net proceeds from the Business Combination and the PIPE Financing and may not use them effectively.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w:t>
      </w:r>
    </w:p>
    <w:p>
      <w:pPr>
        <w:pStyle w:val="TextBody"/>
        <w:spacing w:lineRule="auto" w:line="288" w:before="0" w:after="180"/>
        <w:ind w:left="0" w:right="0" w:firstLine="360"/>
        <w:rPr/>
      </w:pPr>
      <w:r>
        <w:rPr>
          <w:rFonts w:ascii="Times New Roman;sans-serif" w:hAnsi="Times New Roman;sans-serif"/>
          <w:b w:val="false"/>
          <w:color w:val="000000"/>
          <w:sz w:val="20"/>
        </w:rPr>
        <w:t>As of December 31, 2022, we had U.S</w:t>
      </w:r>
      <w:r>
        <w:rPr>
          <w:rFonts w:ascii="Times New Roman;sans-serif" w:hAnsi="Times New Roman;sans-serif"/>
          <w:b w:val="false"/>
          <w:color w:val="000000"/>
          <w:sz w:val="20"/>
          <w:highlight w:val="white"/>
        </w:rPr>
        <w:t>. federal and state net operating loss carryforw</w:t>
      </w:r>
      <w:r>
        <w:rPr>
          <w:rFonts w:ascii="Times New Roman;sans-serif" w:hAnsi="Times New Roman;sans-serif"/>
          <w:b w:val="false"/>
          <w:color w:val="000000"/>
          <w:sz w:val="20"/>
        </w:rPr>
        <w:t xml:space="preserve">ards, or NOLs, of $0.5 million for federal purposes and $21.1 million for state purposes, which if not utilized will expire in 2037. Federal NOLs of $51.5 million that arose after the 2017 tax year will carry forward indefinitely and will be subject to the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80% of taxable income limitation. We ma</w:t>
      </w:r>
      <w:r>
        <w:rPr>
          <w:rFonts w:ascii="Times New Roman;sans-serif" w:hAnsi="Times New Roman;sans-serif"/>
          <w:b w:val="false"/>
          <w:color w:val="000000"/>
          <w:sz w:val="20"/>
          <w:highlight w:val="white"/>
        </w:rPr>
        <w:t>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w:t>
      </w:r>
      <w:r>
        <w:rPr>
          <w:rFonts w:ascii="Times New Roman;sans-serif" w:hAnsi="Times New Roman;sans-serif"/>
          <w:b w:val="false"/>
          <w:color w:val="000000"/>
          <w:sz w:val="20"/>
        </w:rPr>
        <w:t>d adversely impact our operating results.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Changes in tax laws could have a material adverse effect on our future business, cash flows, results of operations or financial condition.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excise tax on certain stock buybacks effective January 1, 2023. Further, on January 1, 2022, a provision of the Tax Cuts and Jobs Act of 2017 went into effect that eliminates the option to deduct domestic research and development costs in the year incurred and instead requires taxpayers to amortize such costs over five years. Such changes, among others, may adversely affect our future effective tax rate, business, cash flows, results of operations and financial condition.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spacing w:lineRule="auto" w:line="288" w:before="0" w:after="180"/>
        <w:ind w:left="0" w:right="0" w:firstLine="36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ans-serif" w:hAnsi="Times New Roman;sans-serif"/>
          <w:b w:val="false"/>
          <w:color w:val="000000"/>
          <w:sz w:val="20"/>
          <w:highlight w:val="white"/>
        </w:rPr>
        <w:t>ligations in a timely manner, or at all. In addition, any testing by us conducted in connection with Section 404(a) of the Sarbanes-Oxley Act of 2002 (“SOX”) or any subsequent testing by our independent registered public accounting firm in connection with Sectio</w:t>
      </w:r>
      <w:r>
        <w:rPr>
          <w:rFonts w:ascii="Times New Roman;sans-serif" w:hAnsi="Times New Roman;sans-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our common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UNREGISTERED SALES OF EQUITY SECURITIES AND USE OF PROCEEDS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180"/>
        <w:ind w:left="0" w:right="0" w:firstLine="36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6. EXHIBITS</w:t>
      </w:r>
    </w:p>
    <w:tbl>
      <w:tblPr>
        <w:tblW w:w="10205" w:type="dxa"/>
        <w:jc w:val="left"/>
        <w:tblInd w:w="0" w:type="dxa"/>
        <w:tblCellMar>
          <w:top w:w="28" w:type="dxa"/>
          <w:left w:w="28" w:type="dxa"/>
          <w:bottom w:w="28" w:type="dxa"/>
          <w:right w:w="28" w:type="dxa"/>
        </w:tblCellMar>
      </w:tblPr>
      <w:tblGrid>
        <w:gridCol w:w="271"/>
        <w:gridCol w:w="239"/>
        <w:gridCol w:w="240"/>
        <w:gridCol w:w="109"/>
        <w:gridCol w:w="109"/>
        <w:gridCol w:w="109"/>
        <w:gridCol w:w="2662"/>
        <w:gridCol w:w="2662"/>
        <w:gridCol w:w="3804"/>
      </w:tblGrid>
      <w:tr>
        <w:trPr/>
        <w:tc>
          <w:tcPr>
            <w:tcW w:w="2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380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8" w:type="dxa"/>
            <w:gridSpan w:val="3"/>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8" w:type="dxa"/>
            <w:gridSpan w:val="3"/>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8" w:type="dxa"/>
            <w:gridSpan w:val="3"/>
            <w:tcBorders/>
            <w:shd w:fill="auto" w:val="clear"/>
            <w:vAlign w:val="center"/>
          </w:tcPr>
          <w:p>
            <w:pPr>
              <w:pStyle w:val="TableContents"/>
              <w:spacing w:before="0" w:after="283"/>
              <w:rPr>
                <w:sz w:val="4"/>
                <w:szCs w:val="4"/>
              </w:rPr>
            </w:pPr>
            <w:r>
              <w:rPr>
                <w:sz w:val="4"/>
                <w:szCs w:val="4"/>
              </w:rPr>
            </w:r>
          </w:p>
        </w:tc>
      </w:tr>
      <w:tr>
        <w:trPr/>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exhibit311-2023q1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2023q1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32.1*</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2023q110x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32.2*</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2023q110x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lineRule="auto" w:line="288" w:before="0" w:after="0"/>
        <w:ind w:left="0" w:right="0" w:hanging="360"/>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906" w:type="dxa"/>
        <w:jc w:val="center"/>
        <w:tblInd w:w="0" w:type="dxa"/>
        <w:tblCellMar>
          <w:top w:w="28" w:type="dxa"/>
          <w:left w:w="28" w:type="dxa"/>
          <w:bottom w:w="28" w:type="dxa"/>
          <w:right w:w="28" w:type="dxa"/>
        </w:tblCellMar>
      </w:tblPr>
      <w:tblGrid>
        <w:gridCol w:w="591"/>
        <w:gridCol w:w="520"/>
        <w:gridCol w:w="523"/>
        <w:gridCol w:w="534"/>
        <w:gridCol w:w="534"/>
        <w:gridCol w:w="534"/>
        <w:gridCol w:w="1654"/>
        <w:gridCol w:w="1654"/>
        <w:gridCol w:w="236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236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 Sujal Patel, certify that:</w:t>
      </w:r>
    </w:p>
    <w:p>
      <w:pPr>
        <w:pStyle w:val="TextBody"/>
        <w:spacing w:before="0" w:after="0"/>
        <w:rPr/>
      </w:pPr>
      <w:r>
        <w:rPr/>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20" w:after="283"/>
        <w:rPr/>
      </w:pPr>
      <w:r>
        <w:rPr/>
      </w:r>
    </w:p>
    <w:tbl>
      <w:tblPr>
        <w:tblW w:w="5367" w:type="dxa"/>
        <w:jc w:val="left"/>
        <w:tblInd w:w="0" w:type="dxa"/>
        <w:tblCellMar>
          <w:top w:w="28" w:type="dxa"/>
          <w:left w:w="28" w:type="dxa"/>
          <w:bottom w:w="28" w:type="dxa"/>
          <w:right w:w="28" w:type="dxa"/>
        </w:tblCellMar>
      </w:tblPr>
      <w:tblGrid>
        <w:gridCol w:w="591"/>
        <w:gridCol w:w="520"/>
        <w:gridCol w:w="523"/>
        <w:gridCol w:w="134"/>
        <w:gridCol w:w="134"/>
        <w:gridCol w:w="136"/>
        <w:gridCol w:w="970"/>
        <w:gridCol w:w="970"/>
        <w:gridCol w:w="138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 Anna Mowry, certify that:</w:t>
      </w:r>
    </w:p>
    <w:p>
      <w:pPr>
        <w:pStyle w:val="TextBody"/>
        <w:spacing w:before="0" w:after="0"/>
        <w:rPr/>
      </w:pPr>
      <w:r>
        <w:rPr/>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56"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20" w:after="283"/>
        <w:rPr/>
      </w:pPr>
      <w:r>
        <w:rPr/>
      </w:r>
    </w:p>
    <w:tbl>
      <w:tblPr>
        <w:tblW w:w="5968" w:type="dxa"/>
        <w:jc w:val="left"/>
        <w:tblInd w:w="0" w:type="dxa"/>
        <w:tblCellMar>
          <w:top w:w="28" w:type="dxa"/>
          <w:left w:w="28" w:type="dxa"/>
          <w:bottom w:w="28" w:type="dxa"/>
          <w:right w:w="28" w:type="dxa"/>
        </w:tblCellMar>
      </w:tblPr>
      <w:tblGrid>
        <w:gridCol w:w="591"/>
        <w:gridCol w:w="520"/>
        <w:gridCol w:w="523"/>
        <w:gridCol w:w="134"/>
        <w:gridCol w:w="134"/>
        <w:gridCol w:w="136"/>
        <w:gridCol w:w="1148"/>
        <w:gridCol w:w="1148"/>
        <w:gridCol w:w="163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March 31, 2023 as filed with the Securities and Exchange Commission on the date hereof (the “Report”), I, Sujal Patel, hereby certify, pursuant to 18 U.S.C. § 1350, as adopted pursuant to § 906 of the Sarbanes-Oxley Act of 2002, that:</w:t>
      </w:r>
    </w:p>
    <w:p>
      <w:pPr>
        <w:pStyle w:val="TextBody"/>
        <w:spacing w:before="0" w:after="0"/>
        <w:rPr/>
      </w:pPr>
      <w:r>
        <w:rPr/>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20" w:after="283"/>
        <w:rPr/>
      </w:pPr>
      <w:r>
        <w:rPr/>
      </w:r>
    </w:p>
    <w:p>
      <w:pPr>
        <w:pStyle w:val="TextBody"/>
        <w:spacing w:before="120" w:after="283"/>
        <w:rPr/>
      </w:pPr>
      <w:r>
        <w:rPr/>
      </w:r>
    </w:p>
    <w:tbl>
      <w:tblPr>
        <w:tblW w:w="5367" w:type="dxa"/>
        <w:jc w:val="left"/>
        <w:tblInd w:w="0" w:type="dxa"/>
        <w:tblCellMar>
          <w:top w:w="28" w:type="dxa"/>
          <w:left w:w="28" w:type="dxa"/>
          <w:bottom w:w="28" w:type="dxa"/>
          <w:right w:w="28" w:type="dxa"/>
        </w:tblCellMar>
      </w:tblPr>
      <w:tblGrid>
        <w:gridCol w:w="591"/>
        <w:gridCol w:w="520"/>
        <w:gridCol w:w="523"/>
        <w:gridCol w:w="134"/>
        <w:gridCol w:w="134"/>
        <w:gridCol w:w="136"/>
        <w:gridCol w:w="970"/>
        <w:gridCol w:w="970"/>
        <w:gridCol w:w="138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March 31, 2023 as filed with the Securities and Exchange Commission on the date hereof (the “Report”), I, Anna Mowry, hereby certify, pursuant to 18 U.S.C. § 1350, as adopted pursuant to § 906 of the Sarbanes-Oxley Act of 2002, that:</w:t>
      </w:r>
    </w:p>
    <w:p>
      <w:pPr>
        <w:pStyle w:val="TextBody"/>
        <w:spacing w:before="0" w:after="0"/>
        <w:rPr/>
      </w:pPr>
      <w:r>
        <w:rPr/>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6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20" w:after="283"/>
        <w:rPr/>
      </w:pPr>
      <w:r>
        <w:rPr/>
      </w:r>
    </w:p>
    <w:p>
      <w:pPr>
        <w:pStyle w:val="TextBody"/>
        <w:spacing w:before="120" w:after="283"/>
        <w:rPr/>
      </w:pPr>
      <w:r>
        <w:rPr/>
      </w:r>
    </w:p>
    <w:tbl>
      <w:tblPr>
        <w:tblW w:w="5968" w:type="dxa"/>
        <w:jc w:val="left"/>
        <w:tblInd w:w="0" w:type="dxa"/>
        <w:tblCellMar>
          <w:top w:w="28" w:type="dxa"/>
          <w:left w:w="28" w:type="dxa"/>
          <w:bottom w:w="28" w:type="dxa"/>
          <w:right w:w="28" w:type="dxa"/>
        </w:tblCellMar>
      </w:tblPr>
      <w:tblGrid>
        <w:gridCol w:w="591"/>
        <w:gridCol w:w="520"/>
        <w:gridCol w:w="523"/>
        <w:gridCol w:w="134"/>
        <w:gridCol w:w="134"/>
        <w:gridCol w:w="136"/>
        <w:gridCol w:w="1148"/>
        <w:gridCol w:w="1148"/>
        <w:gridCol w:w="163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45263</Words>
  <CharactersWithSpaces>299231</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