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February 23, 2023</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001-39434</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98-1541723</w:t>
      </w:r>
    </w:p>
    <w:p>
      <w:pPr>
        <w:spacing w:after="0" w:line="31"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6"/>
          <w:szCs w:val="16"/>
          <w:color w:val="auto"/>
        </w:rPr>
        <w:t>(I.R.S. Employer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11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2701 Eastlake Avenue East</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98102</w:t>
      </w:r>
    </w:p>
    <w:p>
      <w:pPr>
        <w:spacing w:after="0" w:line="31"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49"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5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On February 23, 2023, Nautilus Biotechnology, Inc. issued a press release reporting its financial results for the quarter and fiscal year ended December 31, 2022. A copy of the press release is furnished herewith as Exhibit 99.1 to this Current Report on Form 8-K.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32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dated February 23, 2023.</w:t>
      </w:r>
    </w:p>
    <w:p>
      <w:pPr>
        <w:spacing w:after="0" w:line="27" w:lineRule="exact"/>
        <w:rPr>
          <w:sz w:val="20"/>
          <w:szCs w:val="20"/>
          <w:color w:val="auto"/>
        </w:rPr>
      </w:pPr>
    </w:p>
    <w:p>
      <w:pPr>
        <w:ind w:left="980" w:hanging="95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23, 2023</w:t>
      </w:r>
    </w:p>
    <w:p>
      <w:pPr>
        <w:spacing w:after="0" w:line="2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Reports Fourth Quarter and Fiscal Year 2022 Financial Results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SEATTLE, WA, February 23, 2023 </w:t>
      </w:r>
      <w:r>
        <w:rPr>
          <w:rFonts w:ascii="Times New Roman" w:cs="Times New Roman" w:eastAsia="Times New Roman" w:hAnsi="Times New Roman"/>
          <w:sz w:val="18"/>
          <w:szCs w:val="18"/>
          <w:color w:val="auto"/>
        </w:rPr>
        <w:t>– Nautilus Biotechnology, Inc. (NASDAQ: NAUT; or “Nautilus”), a company pioneering a single molecule proteome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analysis platform, today reported financial results for the fourth quarter and fiscal year ended December 31,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256" w:lineRule="exact"/>
        <w:rPr>
          <w:sz w:val="20"/>
          <w:szCs w:val="20"/>
          <w:color w:val="auto"/>
        </w:rPr>
      </w:pPr>
    </w:p>
    <w:p>
      <w:pPr>
        <w:ind w:left="660" w:right="28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 strategic partnership with the Translational Genomics Research Institute (TGen) to explore the utility of the Nautilus platform for studying specific protein targets in diffuse intrinsic pontine glioma (DIPG), a rare and often fatal childhood cancer.</w:t>
      </w:r>
    </w:p>
    <w:p>
      <w:pPr>
        <w:ind w:left="660" w:right="5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a poster at the HUPO World Congress that demonstrated decoding of a model protein from an experiment of several dozen multi-affinity probes across 70 cycles.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an expansion of Nautilus’ geographic footprint with the opening of an office in San Diego’s University Town Center, one of the largest and most talent-rich biotechnology and pharmaceutical hubs in the country.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Q4 2022 expenses below peak spending levels reached in Q4 of the prior year, helping to maintain cash runway well into 2025.</w:t>
      </w:r>
    </w:p>
    <w:p>
      <w:pPr>
        <w:spacing w:after="0" w:line="220"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“We made good progress on key scientific and business objectives in 2022 despite challenging macroeconomic conditions”, said Sujal Patel, CEO of Nautilus. “We presented scientific posters throughout the year that articulated key elements of our single-molecule approach to proteomics, strengthened the core leadership of our R&amp;D team, and dramatically expanded our development organization, all while tightly and successfully managing operating expenses. We very much look forward to building on the successes of 2022 as we move through 2023 on our way to a commercial launch and beyond.”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2022 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were $63.6 million for the year-ended December 31, 2022, a $13.1 million or 26% increase from $50.5 for the year ended December 31, 2021. The increase in operating expenses was driven primarily by an increase in headcount to support ongoing development of our products as well as the costs associated with being a public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was $57.9 million for the year-ended December 31, 2022, as compared to a net loss of $50.3 million for the corresponding prior year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investments were $313.6 million as of December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Nautilus will host a conference call to discuss the fourth quarter and fiscal year 2022 financial results, business developments and outlook before market open on Thursday, February 23, 2023 at 5:30 AM Pacific Time / 8:30 AM Eastern Time. Live audio of the webcast will be available on the “Investors” section of the company website at: </w:t>
      </w:r>
      <w:r>
        <w:rPr>
          <w:rFonts w:ascii="Times New Roman" w:cs="Times New Roman" w:eastAsia="Times New Roman" w:hAnsi="Times New Roman"/>
          <w:sz w:val="18"/>
          <w:szCs w:val="18"/>
          <w:u w:val="single" w:color="auto"/>
          <w:color w:val="0563C1"/>
        </w:rPr>
        <w:t>www.nautilus.bio</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Nautilus Biotechnology,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in Seattle, Washington, Nautilus is a development stage life sciences company creating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with respect to any revenue timing or projections, expectations with respect to the timing of the launch of Nautilus’ product platform and full commercial availability, the functionality and performance of Nautilus’ product platform, its potential impact on providing proteome access, pharmaceutical development and drug discovery, expanding research horizons, and enabling scientific explorations and discovery, and the present and future capabilities and limitations of emerging proteomics technologies. These statements are based on numerous assumptions concerning the development of Nautilus’ products, target markets, and other current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18"/>
          <w:szCs w:val="18"/>
          <w:color w:val="auto"/>
        </w:rPr>
        <w:t>emerging proteomics technologies,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our Annual Report on Form 10-K to be filed for the year ended December 31, 2022.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Information</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press@nautilus.bio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investorrelations@nautilus.bio</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4" w:lineRule="auto"/>
        <w:rPr>
          <w:sz w:val="20"/>
          <w:szCs w:val="20"/>
          <w:color w:val="auto"/>
        </w:rPr>
      </w:pPr>
      <w:r>
        <w:rPr>
          <w:rFonts w:ascii="Times New Roman" w:cs="Times New Roman" w:eastAsia="Times New Roman" w:hAnsi="Times New Roman"/>
          <w:sz w:val="22"/>
          <w:szCs w:val="22"/>
          <w:b w:val="1"/>
          <w:bCs w:val="1"/>
          <w:color w:val="auto"/>
        </w:rPr>
        <w:t>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 of December 31, 2022 and 2021 (Unaudited)</w:t>
      </w:r>
    </w:p>
    <w:p>
      <w:pPr>
        <w:spacing w:after="0" w:line="31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28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114,523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185,619</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160,110</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349,222</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29,377</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16,371</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350,052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398,450</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29,062</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35,128</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34,874</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444,388</w:t>
            </w: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(138,564)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(80,640)</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314,924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363,576</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350,052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398,450</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40"/>
          </w:cols>
          <w:pgMar w:left="340" w:top="140" w:right="8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4" w:lineRule="auto"/>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Three Months and Year Ended December 31, 2022 and 2021 (Unaudited)</w:t>
      </w:r>
    </w:p>
    <w:p>
      <w:pPr>
        <w:spacing w:after="0" w:line="333"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Pr>
          <w:p>
            <w:pPr>
              <w:spacing w:after="0"/>
              <w:rPr>
                <w:sz w:val="16"/>
                <w:szCs w:val="16"/>
                <w:color w:val="auto"/>
              </w:rPr>
            </w:pPr>
          </w:p>
        </w:tc>
        <w:tc>
          <w:tcPr>
            <w:tcW w:w="260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29,352</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w:t>
            </w:r>
          </w:p>
        </w:tc>
        <w:tc>
          <w:tcPr>
            <w:tcW w:w="0" w:type="dxa"/>
            <w:vAlign w:val="bottom"/>
          </w:tcPr>
          <w:p>
            <w:pPr>
              <w:spacing w:after="0"/>
              <w:rPr>
                <w:sz w:val="1"/>
                <w:szCs w:val="1"/>
                <w:color w:val="auto"/>
              </w:rPr>
            </w:pPr>
          </w:p>
        </w:tc>
      </w:tr>
      <w:tr>
        <w:trPr>
          <w:trHeight w:val="223"/>
        </w:trPr>
        <w:tc>
          <w:tcPr>
            <w:tcW w:w="4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50,498</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(50,315)</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20" w:type="dxa"/>
            <w:vAlign w:val="bottom"/>
            <w:vMerge w:val="continue"/>
          </w:tcPr>
          <w:p>
            <w:pPr>
              <w:spacing w:after="0"/>
              <w:rPr>
                <w:sz w:val="10"/>
                <w:szCs w:val="10"/>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0"/>
                <w:szCs w:val="10"/>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0"/>
                <w:szCs w:val="10"/>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0"/>
                <w:szCs w:val="10"/>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21"/>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in computing net loss per</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share attributable to common stockholders, basic and</w:t>
            </w: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124,789,542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124,232,794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124,589,555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84,464,081</w:t>
            </w:r>
          </w:p>
        </w:tc>
        <w:tc>
          <w:tcPr>
            <w:tcW w:w="0" w:type="dxa"/>
            <w:vAlign w:val="bottom"/>
          </w:tcPr>
          <w:p>
            <w:pPr>
              <w:spacing w:after="0"/>
              <w:rPr>
                <w:sz w:val="1"/>
                <w:szCs w:val="1"/>
                <w:color w:val="auto"/>
              </w:rPr>
            </w:pPr>
          </w:p>
        </w:tc>
      </w:tr>
      <w:tr>
        <w:trPr>
          <w:trHeight w:val="236"/>
        </w:trPr>
        <w:tc>
          <w:tcPr>
            <w:tcW w:w="4220" w:type="dxa"/>
            <w:vAlign w:val="bottom"/>
            <w:tcBorders>
              <w:bottom w:val="single" w:sz="8" w:color="CCEEFF"/>
            </w:tcBorders>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80" w:hanging="6"/>
        <w:spacing w:after="0" w:line="302" w:lineRule="auto"/>
        <w:tabs>
          <w:tab w:leader="none" w:pos="71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number of shares of Common Stock outstanding prior to the Business Combination have been retroactively restated to reflect the exchange ratio of approximately 3.6281 established in the Business Combination.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40" w:top="14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4" w:lineRule="auto"/>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Year Ended December 31, 2022 and 2021 (Unaudited)</w:t>
      </w:r>
    </w:p>
    <w:p>
      <w:pPr>
        <w:spacing w:after="0" w:line="200" w:lineRule="exact"/>
        <w:rPr>
          <w:sz w:val="20"/>
          <w:szCs w:val="20"/>
          <w:color w:val="auto"/>
        </w:rPr>
      </w:pPr>
    </w:p>
    <w:p>
      <w:pPr>
        <w:spacing w:after="0" w:line="361"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6"/>
        </w:trPr>
        <w:tc>
          <w:tcPr>
            <w:tcW w:w="728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(50,315)</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0" w:type="dxa"/>
            <w:vAlign w:val="bottom"/>
          </w:tcPr>
          <w:p>
            <w:pPr>
              <w:spacing w:after="0"/>
              <w:rPr>
                <w:sz w:val="1"/>
                <w:szCs w:val="1"/>
                <w:color w:val="auto"/>
              </w:rPr>
            </w:pPr>
          </w:p>
        </w:tc>
      </w:tr>
      <w:tr>
        <w:trPr>
          <w:trHeight w:val="230"/>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(accretion) of premiums (discount) on securities,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29"/>
        </w:trPr>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(39,241)</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securities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(221,795)</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163,175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85,100</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(138,964)</w:t>
            </w:r>
          </w:p>
        </w:tc>
        <w:tc>
          <w:tcPr>
            <w:tcW w:w="0" w:type="dxa"/>
            <w:vAlign w:val="bottom"/>
          </w:tcPr>
          <w:p>
            <w:pPr>
              <w:spacing w:after="0"/>
              <w:rPr>
                <w:sz w:val="1"/>
                <w:szCs w:val="1"/>
                <w:color w:val="auto"/>
              </w:rPr>
            </w:pPr>
          </w:p>
        </w:tc>
      </w:tr>
      <w:tr>
        <w:trPr>
          <w:trHeight w:val="20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from reverse recapitalization and PIPE financing</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335,409</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offering costs</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0" w:type="dxa"/>
            <w:vAlign w:val="bottom"/>
          </w:tcPr>
          <w:p>
            <w:pPr>
              <w:spacing w:after="0"/>
              <w:rPr>
                <w:sz w:val="1"/>
                <w:szCs w:val="1"/>
                <w:color w:val="auto"/>
              </w:rPr>
            </w:pPr>
          </w:p>
        </w:tc>
      </w:tr>
      <w:tr>
        <w:trPr>
          <w:trHeight w:val="223"/>
        </w:trPr>
        <w:tc>
          <w:tcPr>
            <w:tcW w:w="72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(70,984)</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149,242</w:t>
            </w:r>
          </w:p>
        </w:tc>
        <w:tc>
          <w:tcPr>
            <w:tcW w:w="0" w:type="dxa"/>
            <w:vAlign w:val="bottom"/>
          </w:tcPr>
          <w:p>
            <w:pPr>
              <w:spacing w:after="0"/>
              <w:rPr>
                <w:sz w:val="1"/>
                <w:szCs w:val="1"/>
                <w:color w:val="auto"/>
              </w:rPr>
            </w:pPr>
          </w:p>
        </w:tc>
      </w:tr>
      <w:tr>
        <w:trPr>
          <w:trHeight w:val="256"/>
        </w:trPr>
        <w:tc>
          <w:tcPr>
            <w:tcW w:w="7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186,461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37,219</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115,477</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186,461</w:t>
            </w: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740"/>
      </w:cols>
      <w:pgMar w:left="340" w:top="14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2023-02-23T05:03:03Z</dcterms:created>
  <dcterms:modified xsi:type="dcterms:W3CDTF">2023-02-23T05:03:03Z</dcterms:modified>
</cp:coreProperties>
</file>