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6"/>
          <w:szCs w:val="16"/>
          <w:b w:val="1"/>
          <w:bCs w:val="1"/>
          <w:color w:val="auto"/>
        </w:rPr>
        <w:t>As filed with the Securities and Exchange Commission on February 24, 2022</w:t>
      </w:r>
    </w:p>
    <w:p>
      <w:pPr>
        <w:spacing w:after="0" w:line="23" w:lineRule="exact"/>
        <w:rPr>
          <w:sz w:val="24"/>
          <w:szCs w:val="24"/>
          <w:color w:val="auto"/>
        </w:rPr>
      </w:pPr>
    </w:p>
    <w:p>
      <w:pPr>
        <w:ind w:left="8880"/>
        <w:spacing w:after="0"/>
        <w:rPr>
          <w:sz w:val="20"/>
          <w:szCs w:val="20"/>
          <w:color w:val="auto"/>
        </w:rPr>
      </w:pPr>
      <w:r>
        <w:rPr>
          <w:rFonts w:ascii="Arial" w:cs="Arial" w:eastAsia="Arial" w:hAnsi="Arial"/>
          <w:sz w:val="16"/>
          <w:szCs w:val="16"/>
          <w:b w:val="1"/>
          <w:bCs w:val="1"/>
          <w:color w:val="auto"/>
        </w:rPr>
        <w:t>Registration No. 333-258100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124460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9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POST-EFFECTIVE AMENDMENT NO. 1</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TO</w:t>
      </w:r>
    </w:p>
    <w:p>
      <w:pPr>
        <w:spacing w:after="0" w:line="4"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FORM S-1</w:t>
      </w:r>
    </w:p>
    <w:p>
      <w:pPr>
        <w:jc w:val="center"/>
        <w:ind w:right="-159"/>
        <w:spacing w:after="0" w:line="238" w:lineRule="auto"/>
        <w:rPr>
          <w:sz w:val="20"/>
          <w:szCs w:val="20"/>
          <w:color w:val="auto"/>
        </w:rPr>
      </w:pPr>
      <w:r>
        <w:rPr>
          <w:rFonts w:ascii="Arial" w:cs="Arial" w:eastAsia="Arial" w:hAnsi="Arial"/>
          <w:sz w:val="22"/>
          <w:szCs w:val="22"/>
          <w:b w:val="1"/>
          <w:bCs w:val="1"/>
          <w:color w:val="auto"/>
        </w:rPr>
        <w:t>REGISTRATION STATEMENT</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NAUTILUS BIOTECHNOLOGY, INC.</w:t>
      </w:r>
    </w:p>
    <w:p>
      <w:pPr>
        <w:spacing w:after="0" w:line="26"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125095</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43" w:lineRule="exact"/>
        <w:rPr>
          <w:sz w:val="24"/>
          <w:szCs w:val="24"/>
          <w:color w:val="auto"/>
        </w:rPr>
      </w:pPr>
    </w:p>
    <w:tbl>
      <w:tblPr>
        <w:tblLayout w:type="fixed"/>
        <w:tblInd w:w="940" w:type="dxa"/>
        <w:tblCellMar>
          <w:top w:w="0" w:type="dxa"/>
          <w:left w:w="0" w:type="dxa"/>
          <w:bottom w:w="0" w:type="dxa"/>
          <w:right w:w="0" w:type="dxa"/>
        </w:tblCellMar>
      </w:tblPr>
      <w:tr>
        <w:trPr>
          <w:trHeight w:val="186"/>
        </w:trPr>
        <w:tc>
          <w:tcPr>
            <w:tcW w:w="2820" w:type="dxa"/>
            <w:vAlign w:val="bottom"/>
          </w:tcPr>
          <w:p>
            <w:pPr>
              <w:jc w:val="center"/>
              <w:ind w:right="888"/>
              <w:spacing w:after="0"/>
              <w:rPr>
                <w:sz w:val="20"/>
                <w:szCs w:val="20"/>
                <w:color w:val="auto"/>
              </w:rPr>
            </w:pPr>
            <w:r>
              <w:rPr>
                <w:rFonts w:ascii="Arial" w:cs="Arial" w:eastAsia="Arial" w:hAnsi="Arial"/>
                <w:sz w:val="14"/>
                <w:szCs w:val="14"/>
                <w:b w:val="1"/>
                <w:bCs w:val="1"/>
                <w:color w:val="auto"/>
                <w:w w:val="94"/>
              </w:rPr>
              <w:t>Delaware</w:t>
            </w:r>
          </w:p>
        </w:tc>
        <w:tc>
          <w:tcPr>
            <w:tcW w:w="38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3826</w:t>
            </w:r>
          </w:p>
        </w:tc>
        <w:tc>
          <w:tcPr>
            <w:tcW w:w="2500" w:type="dxa"/>
            <w:vAlign w:val="bottom"/>
          </w:tcPr>
          <w:p>
            <w:pPr>
              <w:jc w:val="center"/>
              <w:ind w:left="1008"/>
              <w:spacing w:after="0"/>
              <w:rPr>
                <w:sz w:val="20"/>
                <w:szCs w:val="20"/>
                <w:color w:val="auto"/>
              </w:rPr>
            </w:pPr>
            <w:r>
              <w:rPr>
                <w:rFonts w:ascii="Arial" w:cs="Arial" w:eastAsia="Arial" w:hAnsi="Arial"/>
                <w:sz w:val="14"/>
                <w:szCs w:val="14"/>
                <w:b w:val="1"/>
                <w:bCs w:val="1"/>
                <w:color w:val="auto"/>
                <w:w w:val="93"/>
              </w:rPr>
              <w:t>98-1541723</w:t>
            </w:r>
          </w:p>
        </w:tc>
      </w:tr>
      <w:tr>
        <w:trPr>
          <w:trHeight w:val="147"/>
        </w:trPr>
        <w:tc>
          <w:tcPr>
            <w:tcW w:w="2820" w:type="dxa"/>
            <w:vAlign w:val="bottom"/>
          </w:tcPr>
          <w:p>
            <w:pPr>
              <w:jc w:val="center"/>
              <w:ind w:right="888"/>
              <w:spacing w:after="0" w:line="147" w:lineRule="exact"/>
              <w:rPr>
                <w:sz w:val="20"/>
                <w:szCs w:val="20"/>
                <w:color w:val="auto"/>
              </w:rPr>
            </w:pPr>
            <w:r>
              <w:rPr>
                <w:rFonts w:ascii="Arial" w:cs="Arial" w:eastAsia="Arial" w:hAnsi="Arial"/>
                <w:sz w:val="14"/>
                <w:szCs w:val="14"/>
                <w:b w:val="1"/>
                <w:bCs w:val="1"/>
                <w:color w:val="auto"/>
                <w:w w:val="92"/>
              </w:rPr>
              <w:t>(State or other jurisdiction of</w:t>
            </w:r>
          </w:p>
        </w:tc>
        <w:tc>
          <w:tcPr>
            <w:tcW w:w="3820" w:type="dxa"/>
            <w:vAlign w:val="bottom"/>
          </w:tcPr>
          <w:p>
            <w:pPr>
              <w:jc w:val="center"/>
              <w:ind w:right="48"/>
              <w:spacing w:after="0" w:line="147" w:lineRule="exact"/>
              <w:rPr>
                <w:sz w:val="20"/>
                <w:szCs w:val="20"/>
                <w:color w:val="auto"/>
              </w:rPr>
            </w:pPr>
            <w:r>
              <w:rPr>
                <w:rFonts w:ascii="Arial" w:cs="Arial" w:eastAsia="Arial" w:hAnsi="Arial"/>
                <w:sz w:val="14"/>
                <w:szCs w:val="14"/>
                <w:b w:val="1"/>
                <w:bCs w:val="1"/>
                <w:color w:val="auto"/>
                <w:w w:val="96"/>
              </w:rPr>
              <w:t>(Primary Standard Industrial</w:t>
            </w:r>
          </w:p>
        </w:tc>
        <w:tc>
          <w:tcPr>
            <w:tcW w:w="2500" w:type="dxa"/>
            <w:vAlign w:val="bottom"/>
          </w:tcPr>
          <w:p>
            <w:pPr>
              <w:jc w:val="center"/>
              <w:ind w:left="988"/>
              <w:spacing w:after="0" w:line="147"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820" w:type="dxa"/>
            <w:vAlign w:val="bottom"/>
          </w:tcPr>
          <w:p>
            <w:pPr>
              <w:jc w:val="center"/>
              <w:ind w:right="868"/>
              <w:spacing w:after="0"/>
              <w:rPr>
                <w:sz w:val="20"/>
                <w:szCs w:val="20"/>
                <w:color w:val="auto"/>
              </w:rPr>
            </w:pPr>
            <w:r>
              <w:rPr>
                <w:rFonts w:ascii="Arial" w:cs="Arial" w:eastAsia="Arial" w:hAnsi="Arial"/>
                <w:sz w:val="14"/>
                <w:szCs w:val="14"/>
                <w:b w:val="1"/>
                <w:bCs w:val="1"/>
                <w:color w:val="auto"/>
                <w:w w:val="94"/>
              </w:rPr>
              <w:t>incorporation or organization)</w:t>
            </w:r>
          </w:p>
        </w:tc>
        <w:tc>
          <w:tcPr>
            <w:tcW w:w="38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1008"/>
              <w:spacing w:after="0"/>
              <w:rPr>
                <w:sz w:val="20"/>
                <w:szCs w:val="20"/>
                <w:color w:val="auto"/>
              </w:rPr>
            </w:pPr>
            <w:r>
              <w:rPr>
                <w:rFonts w:ascii="Arial" w:cs="Arial" w:eastAsia="Arial" w:hAnsi="Arial"/>
                <w:sz w:val="14"/>
                <w:szCs w:val="14"/>
                <w:b w:val="1"/>
                <w:bCs w:val="1"/>
                <w:color w:val="auto"/>
                <w:w w:val="95"/>
              </w:rPr>
              <w:t>Identification Number)</w:t>
            </w:r>
          </w:p>
        </w:tc>
      </w:tr>
      <w:tr>
        <w:trPr>
          <w:trHeight w:val="385"/>
        </w:trPr>
        <w:tc>
          <w:tcPr>
            <w:tcW w:w="2820" w:type="dxa"/>
            <w:vAlign w:val="bottom"/>
          </w:tcPr>
          <w:p>
            <w:pPr>
              <w:spacing w:after="0"/>
              <w:rPr>
                <w:sz w:val="24"/>
                <w:szCs w:val="24"/>
                <w:color w:val="auto"/>
              </w:rPr>
            </w:pPr>
          </w:p>
        </w:tc>
        <w:tc>
          <w:tcPr>
            <w:tcW w:w="382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2701 Eastlake Avenue East</w:t>
            </w:r>
          </w:p>
        </w:tc>
        <w:tc>
          <w:tcPr>
            <w:tcW w:w="2500" w:type="dxa"/>
            <w:vAlign w:val="bottom"/>
          </w:tcPr>
          <w:p>
            <w:pPr>
              <w:spacing w:after="0"/>
              <w:rPr>
                <w:sz w:val="24"/>
                <w:szCs w:val="24"/>
                <w:color w:val="auto"/>
              </w:rPr>
            </w:pPr>
          </w:p>
        </w:tc>
      </w:tr>
      <w:tr>
        <w:trPr>
          <w:trHeight w:val="162"/>
        </w:trPr>
        <w:tc>
          <w:tcPr>
            <w:tcW w:w="2820" w:type="dxa"/>
            <w:vAlign w:val="bottom"/>
          </w:tcPr>
          <w:p>
            <w:pPr>
              <w:spacing w:after="0"/>
              <w:rPr>
                <w:sz w:val="14"/>
                <w:szCs w:val="14"/>
                <w:color w:val="auto"/>
              </w:rPr>
            </w:pPr>
          </w:p>
        </w:tc>
        <w:tc>
          <w:tcPr>
            <w:tcW w:w="382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Seattle, Washington 98102</w:t>
            </w:r>
          </w:p>
        </w:tc>
        <w:tc>
          <w:tcPr>
            <w:tcW w:w="2500" w:type="dxa"/>
            <w:vAlign w:val="bottom"/>
          </w:tcPr>
          <w:p>
            <w:pPr>
              <w:spacing w:after="0"/>
              <w:rPr>
                <w:sz w:val="14"/>
                <w:szCs w:val="14"/>
                <w:color w:val="auto"/>
              </w:rPr>
            </w:pPr>
          </w:p>
        </w:tc>
      </w:tr>
      <w:tr>
        <w:trPr>
          <w:trHeight w:val="178"/>
        </w:trPr>
        <w:tc>
          <w:tcPr>
            <w:tcW w:w="2820" w:type="dxa"/>
            <w:vAlign w:val="bottom"/>
          </w:tcPr>
          <w:p>
            <w:pPr>
              <w:spacing w:after="0"/>
              <w:rPr>
                <w:sz w:val="15"/>
                <w:szCs w:val="15"/>
                <w:color w:val="auto"/>
              </w:rPr>
            </w:pPr>
          </w:p>
        </w:tc>
        <w:tc>
          <w:tcPr>
            <w:tcW w:w="38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(206) 333-2001</w:t>
            </w:r>
          </w:p>
        </w:tc>
        <w:tc>
          <w:tcPr>
            <w:tcW w:w="2500" w:type="dxa"/>
            <w:vAlign w:val="bottom"/>
          </w:tcPr>
          <w:p>
            <w:pPr>
              <w:spacing w:after="0"/>
              <w:rPr>
                <w:sz w:val="15"/>
                <w:szCs w:val="15"/>
                <w:color w:val="auto"/>
              </w:rPr>
            </w:pPr>
          </w:p>
        </w:tc>
      </w:tr>
    </w:tbl>
    <w:p>
      <w:pPr>
        <w:jc w:val="center"/>
        <w:ind w:right="-15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56515</wp:posOffset>
            </wp:positionV>
            <wp:extent cx="1191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5"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Sujal Patel</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2701 Eastlake Avenue East</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Seattle, Washington 98102</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(206) 333-2001</w:t>
      </w:r>
    </w:p>
    <w:p>
      <w:pPr>
        <w:spacing w:after="0" w:line="1"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56515</wp:posOffset>
            </wp:positionV>
            <wp:extent cx="11912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199" w:lineRule="exact"/>
        <w:rPr>
          <w:sz w:val="24"/>
          <w:szCs w:val="24"/>
          <w:color w:val="auto"/>
        </w:rPr>
      </w:pPr>
    </w:p>
    <w:tbl>
      <w:tblPr>
        <w:tblLayout w:type="fixed"/>
        <w:tblInd w:w="1600" w:type="dxa"/>
        <w:tblCellMar>
          <w:top w:w="0" w:type="dxa"/>
          <w:left w:w="0" w:type="dxa"/>
          <w:bottom w:w="0" w:type="dxa"/>
          <w:right w:w="0" w:type="dxa"/>
        </w:tblCellMar>
      </w:tblPr>
      <w:tr>
        <w:trPr>
          <w:trHeight w:val="182"/>
        </w:trPr>
        <w:tc>
          <w:tcPr>
            <w:tcW w:w="3080" w:type="dxa"/>
            <w:vAlign w:val="bottom"/>
          </w:tcPr>
          <w:p>
            <w:pPr>
              <w:spacing w:after="0"/>
              <w:rPr>
                <w:sz w:val="15"/>
                <w:szCs w:val="15"/>
                <w:color w:val="auto"/>
              </w:rPr>
            </w:pPr>
          </w:p>
        </w:tc>
        <w:tc>
          <w:tcPr>
            <w:tcW w:w="4580" w:type="dxa"/>
            <w:vAlign w:val="bottom"/>
          </w:tcPr>
          <w:p>
            <w:pPr>
              <w:ind w:left="640"/>
              <w:spacing w:after="0"/>
              <w:rPr>
                <w:sz w:val="20"/>
                <w:szCs w:val="20"/>
                <w:color w:val="auto"/>
              </w:rPr>
            </w:pPr>
            <w:r>
              <w:rPr>
                <w:rFonts w:ascii="Arial" w:cs="Arial" w:eastAsia="Arial" w:hAnsi="Arial"/>
                <w:sz w:val="14"/>
                <w:szCs w:val="14"/>
                <w:b w:val="1"/>
                <w:bCs w:val="1"/>
                <w:i w:val="1"/>
                <w:iCs w:val="1"/>
                <w:color w:val="auto"/>
              </w:rPr>
              <w:t>Copies to:</w:t>
            </w:r>
          </w:p>
        </w:tc>
      </w:tr>
      <w:tr>
        <w:trPr>
          <w:trHeight w:val="323"/>
        </w:trPr>
        <w:tc>
          <w:tcPr>
            <w:tcW w:w="3080" w:type="dxa"/>
            <w:vAlign w:val="bottom"/>
          </w:tcPr>
          <w:p>
            <w:pPr>
              <w:jc w:val="center"/>
              <w:ind w:right="588"/>
              <w:spacing w:after="0"/>
              <w:rPr>
                <w:sz w:val="20"/>
                <w:szCs w:val="20"/>
                <w:color w:val="auto"/>
              </w:rPr>
            </w:pPr>
            <w:r>
              <w:rPr>
                <w:rFonts w:ascii="Arial" w:cs="Arial" w:eastAsia="Arial" w:hAnsi="Arial"/>
                <w:sz w:val="14"/>
                <w:szCs w:val="14"/>
                <w:b w:val="1"/>
                <w:bCs w:val="1"/>
                <w:color w:val="auto"/>
                <w:w w:val="93"/>
              </w:rPr>
              <w:t>Robert F. Kornegay</w:t>
            </w:r>
          </w:p>
        </w:tc>
        <w:tc>
          <w:tcPr>
            <w:tcW w:w="4580" w:type="dxa"/>
            <w:vAlign w:val="bottom"/>
          </w:tcPr>
          <w:p>
            <w:pPr>
              <w:jc w:val="center"/>
              <w:ind w:left="2848"/>
              <w:spacing w:after="0"/>
              <w:rPr>
                <w:sz w:val="20"/>
                <w:szCs w:val="20"/>
                <w:color w:val="auto"/>
              </w:rPr>
            </w:pPr>
            <w:r>
              <w:rPr>
                <w:rFonts w:ascii="Arial" w:cs="Arial" w:eastAsia="Arial" w:hAnsi="Arial"/>
                <w:sz w:val="14"/>
                <w:szCs w:val="14"/>
                <w:b w:val="1"/>
                <w:bCs w:val="1"/>
                <w:color w:val="auto"/>
                <w:w w:val="99"/>
              </w:rPr>
              <w:t>Matthew Murphy</w:t>
            </w:r>
          </w:p>
        </w:tc>
      </w:tr>
      <w:tr>
        <w:trPr>
          <w:trHeight w:val="135"/>
        </w:trPr>
        <w:tc>
          <w:tcPr>
            <w:tcW w:w="3080" w:type="dxa"/>
            <w:vAlign w:val="bottom"/>
          </w:tcPr>
          <w:p>
            <w:pPr>
              <w:jc w:val="center"/>
              <w:ind w:right="568"/>
              <w:spacing w:after="0" w:line="135" w:lineRule="exact"/>
              <w:rPr>
                <w:sz w:val="20"/>
                <w:szCs w:val="20"/>
                <w:color w:val="auto"/>
              </w:rPr>
            </w:pPr>
            <w:r>
              <w:rPr>
                <w:rFonts w:ascii="Arial" w:cs="Arial" w:eastAsia="Arial" w:hAnsi="Arial"/>
                <w:sz w:val="14"/>
                <w:szCs w:val="14"/>
                <w:b w:val="1"/>
                <w:bCs w:val="1"/>
                <w:color w:val="auto"/>
                <w:w w:val="96"/>
              </w:rPr>
              <w:t>Zachary B. Myers</w:t>
            </w:r>
          </w:p>
        </w:tc>
        <w:tc>
          <w:tcPr>
            <w:tcW w:w="4580" w:type="dxa"/>
            <w:vAlign w:val="bottom"/>
          </w:tcPr>
          <w:p>
            <w:pPr>
              <w:jc w:val="center"/>
              <w:ind w:left="2848"/>
              <w:spacing w:after="0" w:line="135" w:lineRule="exact"/>
              <w:rPr>
                <w:sz w:val="20"/>
                <w:szCs w:val="20"/>
                <w:color w:val="auto"/>
              </w:rPr>
            </w:pPr>
            <w:r>
              <w:rPr>
                <w:rFonts w:ascii="Arial" w:cs="Arial" w:eastAsia="Arial" w:hAnsi="Arial"/>
                <w:sz w:val="14"/>
                <w:szCs w:val="14"/>
                <w:b w:val="1"/>
                <w:bCs w:val="1"/>
                <w:color w:val="auto"/>
                <w:w w:val="91"/>
              </w:rPr>
              <w:t>General Counsel</w:t>
            </w:r>
          </w:p>
        </w:tc>
      </w:tr>
      <w:tr>
        <w:trPr>
          <w:trHeight w:val="135"/>
        </w:trPr>
        <w:tc>
          <w:tcPr>
            <w:tcW w:w="3080" w:type="dxa"/>
            <w:vAlign w:val="bottom"/>
          </w:tcPr>
          <w:p>
            <w:pPr>
              <w:jc w:val="center"/>
              <w:ind w:right="568"/>
              <w:spacing w:after="0" w:line="135" w:lineRule="exact"/>
              <w:rPr>
                <w:sz w:val="20"/>
                <w:szCs w:val="20"/>
                <w:color w:val="auto"/>
              </w:rPr>
            </w:pPr>
            <w:r>
              <w:rPr>
                <w:rFonts w:ascii="Arial" w:cs="Arial" w:eastAsia="Arial" w:hAnsi="Arial"/>
                <w:sz w:val="14"/>
                <w:szCs w:val="14"/>
                <w:b w:val="1"/>
                <w:bCs w:val="1"/>
                <w:color w:val="auto"/>
                <w:w w:val="93"/>
              </w:rPr>
              <w:t>Wilson Sonsini Goodrich &amp; Rosati, P.C.</w:t>
            </w:r>
          </w:p>
        </w:tc>
        <w:tc>
          <w:tcPr>
            <w:tcW w:w="4580" w:type="dxa"/>
            <w:vAlign w:val="bottom"/>
          </w:tcPr>
          <w:p>
            <w:pPr>
              <w:jc w:val="center"/>
              <w:ind w:left="2848"/>
              <w:spacing w:after="0" w:line="135" w:lineRule="exact"/>
              <w:rPr>
                <w:sz w:val="20"/>
                <w:szCs w:val="20"/>
                <w:color w:val="auto"/>
              </w:rPr>
            </w:pPr>
            <w:r>
              <w:rPr>
                <w:rFonts w:ascii="Arial" w:cs="Arial" w:eastAsia="Arial" w:hAnsi="Arial"/>
                <w:sz w:val="14"/>
                <w:szCs w:val="14"/>
                <w:b w:val="1"/>
                <w:bCs w:val="1"/>
                <w:color w:val="auto"/>
                <w:w w:val="92"/>
              </w:rPr>
              <w:t>2701 Eastlake Avenue East</w:t>
            </w:r>
          </w:p>
        </w:tc>
      </w:tr>
      <w:tr>
        <w:trPr>
          <w:trHeight w:val="135"/>
        </w:trPr>
        <w:tc>
          <w:tcPr>
            <w:tcW w:w="3080" w:type="dxa"/>
            <w:vAlign w:val="bottom"/>
          </w:tcPr>
          <w:p>
            <w:pPr>
              <w:jc w:val="center"/>
              <w:ind w:right="568"/>
              <w:spacing w:after="0" w:line="135" w:lineRule="exact"/>
              <w:rPr>
                <w:sz w:val="20"/>
                <w:szCs w:val="20"/>
                <w:color w:val="auto"/>
              </w:rPr>
            </w:pPr>
            <w:r>
              <w:rPr>
                <w:rFonts w:ascii="Arial" w:cs="Arial" w:eastAsia="Arial" w:hAnsi="Arial"/>
                <w:sz w:val="14"/>
                <w:szCs w:val="14"/>
                <w:b w:val="1"/>
                <w:bCs w:val="1"/>
                <w:color w:val="auto"/>
                <w:w w:val="94"/>
              </w:rPr>
              <w:t>650 Page Mill Road</w:t>
            </w:r>
          </w:p>
        </w:tc>
        <w:tc>
          <w:tcPr>
            <w:tcW w:w="4580" w:type="dxa"/>
            <w:vAlign w:val="bottom"/>
          </w:tcPr>
          <w:p>
            <w:pPr>
              <w:jc w:val="center"/>
              <w:ind w:left="2848"/>
              <w:spacing w:after="0" w:line="135" w:lineRule="exact"/>
              <w:rPr>
                <w:sz w:val="20"/>
                <w:szCs w:val="20"/>
                <w:color w:val="auto"/>
              </w:rPr>
            </w:pPr>
            <w:r>
              <w:rPr>
                <w:rFonts w:ascii="Arial" w:cs="Arial" w:eastAsia="Arial" w:hAnsi="Arial"/>
                <w:sz w:val="14"/>
                <w:szCs w:val="14"/>
                <w:b w:val="1"/>
                <w:bCs w:val="1"/>
                <w:color w:val="auto"/>
                <w:w w:val="91"/>
              </w:rPr>
              <w:t>Seattle, Washington 98102</w:t>
            </w:r>
          </w:p>
        </w:tc>
      </w:tr>
      <w:tr>
        <w:trPr>
          <w:trHeight w:val="135"/>
        </w:trPr>
        <w:tc>
          <w:tcPr>
            <w:tcW w:w="3080" w:type="dxa"/>
            <w:vAlign w:val="bottom"/>
          </w:tcPr>
          <w:p>
            <w:pPr>
              <w:jc w:val="center"/>
              <w:ind w:right="568"/>
              <w:spacing w:after="0" w:line="135" w:lineRule="exact"/>
              <w:rPr>
                <w:sz w:val="20"/>
                <w:szCs w:val="20"/>
                <w:color w:val="auto"/>
              </w:rPr>
            </w:pPr>
            <w:r>
              <w:rPr>
                <w:rFonts w:ascii="Arial" w:cs="Arial" w:eastAsia="Arial" w:hAnsi="Arial"/>
                <w:sz w:val="14"/>
                <w:szCs w:val="14"/>
                <w:b w:val="1"/>
                <w:bCs w:val="1"/>
                <w:color w:val="auto"/>
                <w:w w:val="95"/>
              </w:rPr>
              <w:t>Palo Alto, California 94304</w:t>
            </w:r>
          </w:p>
        </w:tc>
        <w:tc>
          <w:tcPr>
            <w:tcW w:w="4580" w:type="dxa"/>
            <w:vAlign w:val="bottom"/>
          </w:tcPr>
          <w:p>
            <w:pPr>
              <w:jc w:val="center"/>
              <w:ind w:left="2848"/>
              <w:spacing w:after="0" w:line="135" w:lineRule="exact"/>
              <w:rPr>
                <w:sz w:val="20"/>
                <w:szCs w:val="20"/>
                <w:color w:val="auto"/>
              </w:rPr>
            </w:pPr>
            <w:r>
              <w:rPr>
                <w:rFonts w:ascii="Arial" w:cs="Arial" w:eastAsia="Arial" w:hAnsi="Arial"/>
                <w:sz w:val="14"/>
                <w:szCs w:val="14"/>
                <w:b w:val="1"/>
                <w:bCs w:val="1"/>
                <w:color w:val="auto"/>
                <w:w w:val="93"/>
              </w:rPr>
              <w:t>(206) 333-2001</w:t>
            </w:r>
          </w:p>
        </w:tc>
      </w:tr>
      <w:tr>
        <w:trPr>
          <w:trHeight w:val="186"/>
        </w:trPr>
        <w:tc>
          <w:tcPr>
            <w:tcW w:w="3080" w:type="dxa"/>
            <w:vAlign w:val="bottom"/>
          </w:tcPr>
          <w:p>
            <w:pPr>
              <w:jc w:val="center"/>
              <w:ind w:right="588"/>
              <w:spacing w:after="0"/>
              <w:rPr>
                <w:sz w:val="20"/>
                <w:szCs w:val="20"/>
                <w:color w:val="auto"/>
              </w:rPr>
            </w:pPr>
            <w:r>
              <w:rPr>
                <w:rFonts w:ascii="Arial" w:cs="Arial" w:eastAsia="Arial" w:hAnsi="Arial"/>
                <w:sz w:val="14"/>
                <w:szCs w:val="14"/>
                <w:b w:val="1"/>
                <w:bCs w:val="1"/>
                <w:color w:val="auto"/>
                <w:w w:val="93"/>
              </w:rPr>
              <w:t>(650) 493-9300</w:t>
            </w:r>
          </w:p>
        </w:tc>
        <w:tc>
          <w:tcPr>
            <w:tcW w:w="458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173355</wp:posOffset>
            </wp:positionV>
            <wp:extent cx="119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7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this registration statement becomes effective.</w:t>
      </w:r>
    </w:p>
    <w:p>
      <w:pPr>
        <w:spacing w:after="0" w:line="73" w:lineRule="exact"/>
        <w:rPr>
          <w:sz w:val="24"/>
          <w:szCs w:val="24"/>
          <w:color w:val="auto"/>
        </w:rPr>
      </w:pPr>
    </w:p>
    <w:p>
      <w:pPr>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x</w:t>
      </w:r>
    </w:p>
    <w:p>
      <w:pPr>
        <w:spacing w:after="0" w:line="67" w:lineRule="exact"/>
        <w:rPr>
          <w:sz w:val="24"/>
          <w:szCs w:val="24"/>
          <w:color w:val="auto"/>
        </w:rPr>
      </w:pPr>
    </w:p>
    <w:p>
      <w:pPr>
        <w:ind w:right="400"/>
        <w:spacing w:after="0" w:line="291"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20"/>
        <w:spacing w:after="0" w:line="291"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spacing w:after="0" w:line="291"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ind w:right="40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182"/>
        </w:trPr>
        <w:tc>
          <w:tcPr>
            <w:tcW w:w="15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260"/>
              <w:spacing w:after="0"/>
              <w:rPr>
                <w:sz w:val="20"/>
                <w:szCs w:val="20"/>
                <w:color w:val="auto"/>
              </w:rPr>
            </w:pPr>
            <w:r>
              <w:rPr>
                <w:rFonts w:ascii="Arial" w:cs="Arial" w:eastAsia="Arial" w:hAnsi="Arial"/>
                <w:sz w:val="14"/>
                <w:szCs w:val="14"/>
                <w:color w:val="auto"/>
              </w:rPr>
              <w:t>o</w:t>
            </w:r>
          </w:p>
        </w:tc>
        <w:tc>
          <w:tcPr>
            <w:tcW w:w="5160" w:type="dxa"/>
            <w:vAlign w:val="bottom"/>
          </w:tcPr>
          <w:p>
            <w:pPr>
              <w:ind w:left="3280"/>
              <w:spacing w:after="0"/>
              <w:rPr>
                <w:sz w:val="20"/>
                <w:szCs w:val="20"/>
                <w:color w:val="auto"/>
              </w:rPr>
            </w:pPr>
            <w:r>
              <w:rPr>
                <w:rFonts w:ascii="Arial" w:cs="Arial" w:eastAsia="Arial" w:hAnsi="Arial"/>
                <w:sz w:val="14"/>
                <w:szCs w:val="14"/>
                <w:color w:val="auto"/>
              </w:rPr>
              <w:t>Accelerated filer</w:t>
            </w:r>
          </w:p>
        </w:tc>
        <w:tc>
          <w:tcPr>
            <w:tcW w:w="420" w:type="dxa"/>
            <w:vAlign w:val="bottom"/>
          </w:tcPr>
          <w:p>
            <w:pPr>
              <w:ind w:left="300"/>
              <w:spacing w:after="0"/>
              <w:rPr>
                <w:sz w:val="20"/>
                <w:szCs w:val="20"/>
                <w:color w:val="auto"/>
              </w:rPr>
            </w:pPr>
            <w:r>
              <w:rPr>
                <w:rFonts w:ascii="Arial" w:cs="Arial" w:eastAsia="Arial" w:hAnsi="Arial"/>
                <w:sz w:val="14"/>
                <w:szCs w:val="14"/>
                <w:color w:val="auto"/>
              </w:rPr>
              <w:t>o</w:t>
            </w:r>
          </w:p>
        </w:tc>
      </w:tr>
      <w:tr>
        <w:trPr>
          <w:trHeight w:val="222"/>
        </w:trPr>
        <w:tc>
          <w:tcPr>
            <w:tcW w:w="154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rPr>
              <w:t>☒</w:t>
            </w:r>
          </w:p>
        </w:tc>
        <w:tc>
          <w:tcPr>
            <w:tcW w:w="5160" w:type="dxa"/>
            <w:vAlign w:val="bottom"/>
          </w:tcPr>
          <w:p>
            <w:pPr>
              <w:ind w:left="3280"/>
              <w:spacing w:after="0"/>
              <w:rPr>
                <w:sz w:val="20"/>
                <w:szCs w:val="20"/>
                <w:color w:val="auto"/>
              </w:rPr>
            </w:pPr>
            <w:r>
              <w:rPr>
                <w:rFonts w:ascii="Arial" w:cs="Arial" w:eastAsia="Arial" w:hAnsi="Arial"/>
                <w:sz w:val="14"/>
                <w:szCs w:val="14"/>
                <w:color w:val="auto"/>
              </w:rPr>
              <w:t>Smaller reporting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54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5160" w:type="dxa"/>
            <w:vAlign w:val="bottom"/>
          </w:tcPr>
          <w:p>
            <w:pPr>
              <w:ind w:left="3280"/>
              <w:spacing w:after="0"/>
              <w:rPr>
                <w:sz w:val="20"/>
                <w:szCs w:val="20"/>
                <w:color w:val="auto"/>
              </w:rPr>
            </w:pPr>
            <w:r>
              <w:rPr>
                <w:rFonts w:ascii="Arial" w:cs="Arial" w:eastAsia="Arial" w:hAnsi="Arial"/>
                <w:sz w:val="14"/>
                <w:szCs w:val="14"/>
                <w:color w:val="auto"/>
              </w:rPr>
              <w:t>Emerging growth company</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34" w:lineRule="exact"/>
        <w:rPr>
          <w:sz w:val="24"/>
          <w:szCs w:val="24"/>
          <w:color w:val="auto"/>
        </w:rPr>
      </w:pPr>
    </w:p>
    <w:p>
      <w:pPr>
        <w:ind w:right="42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100"/>
          </w:cols>
          <w:pgMar w:left="320" w:top="639" w:right="479" w:bottom="1440" w:gutter="0" w:footer="0" w:header="0"/>
        </w:sectPr>
      </w:pPr>
    </w:p>
    <w:p>
      <w:pPr>
        <w:spacing w:after="0" w:line="374" w:lineRule="exact"/>
        <w:rPr>
          <w:sz w:val="24"/>
          <w:szCs w:val="24"/>
          <w:color w:val="auto"/>
        </w:rPr>
      </w:pPr>
    </w:p>
    <w:p>
      <w:pPr>
        <w:ind w:right="220"/>
        <w:spacing w:after="0" w:line="286" w:lineRule="auto"/>
        <w:rPr>
          <w:sz w:val="20"/>
          <w:szCs w:val="20"/>
          <w:color w:val="auto"/>
        </w:rPr>
      </w:pPr>
      <w:r>
        <w:rPr>
          <w:rFonts w:ascii="Arial" w:cs="Arial" w:eastAsia="Arial" w:hAnsi="Arial"/>
          <w:sz w:val="17"/>
          <w:szCs w:val="17"/>
          <w:color w:val="auto"/>
        </w:rPr>
        <w:t>This filing constitutes a Post-Effective Amendment to the Registration Statement on Form S-1 (File No. 333-258100), which was initially declared effective on August 6, 2021. This Post-Effective Amendment shall hereafter become effective in accordance with Section 8(c) of the Securities Act, on such date as the Securities and Exchange Commission, acting pursuant to Section 8(c) of the Securities Act,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358775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639" w:right="479" w:bottom="1440" w:gutter="0" w:footer="0" w:header="0"/>
          <w:type w:val="continuous"/>
        </w:sectPr>
      </w:pPr>
    </w:p>
    <w:bookmarkStart w:id="1" w:name="page2"/>
    <w:bookmarkEnd w:id="1"/>
    <w:p>
      <w:pPr>
        <w:spacing w:after="0" w:line="14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Post-Effective Amendment to Registration Statement on Form S-1</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July 22, 2021, Nautilus Biotechnology, Inc. filed a registration statement on Form S-1 (File No. 333-258100) (the “Registration Statement”) with the Securities and Exchange Commission (the “SEC”). The Registration Statement registered for resale by the selling securityholders named in the prospectus up to an aggregate of 95,645,056 shares of common stock. The Registration Statement was declared effective by the SEC on August 6, 2021. This post-effective amendment is being filed to (i) include information from Nautilus Biotechnology, Inc.’s Annual Report on Form 10-K for the year ended December 31, 2021 that was filed on February 24, 2022; and (ii) update certain other information in the Registration Statement. No additional securities are being registered under this post-effective amendment and all applicable registration and filing fees were paid at the time of the original filing of the Registration Statement.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of the Business Combination</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“Company”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Upon the Domestication, all of the outstanding Class A and Class B ordinary shares of ARYA were exchanged for an equivalent number of shares of common stock of New Nautilus, par value $0.0001 per share (“Common Stock”). 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and (ii) all vested and unvested options to purchase shares of Legacy Nautilus were exchanged for comparable options to purchase shares of Common Stock of New Nautilus.</w:t>
      </w:r>
    </w:p>
    <w:p>
      <w:pPr>
        <w:spacing w:after="0" w:line="12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immediately prior to the Effective Time, an aggregate of 20,000,000 shares of New Nautilus Common Stock at a price of $10.00 per share (the “PIPE Shares”), for aggregate gross proceeds of $200,000,000 (the “PIPE Financing”). ARYA granted the PIPE Investors certain registration rights in connection with the PIPE Financing. Also concurrently with the execution of the Business Combination Agreement, ARYA entered into the Amended and Restated Registration Rights and Lock-Up Agreement with certain stockholders of ARYA and Legacy Nautilus, which obligated the Company to register the resale of certain shares of our Common Stock issued in connection with the Domestication and the Business Combination.</w:t>
      </w:r>
    </w:p>
    <w:p>
      <w:pPr>
        <w:spacing w:after="0" w:line="1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the open of trading on June 10, 2021, the Common Stock of the Company began trading on the Nasdaq Global Select Market (“Nasdaq”) under the symbol “NAUT.”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ind w:right="60"/>
        <w:spacing w:after="0" w:line="266" w:lineRule="auto"/>
        <w:rPr>
          <w:sz w:val="20"/>
          <w:szCs w:val="20"/>
          <w:color w:val="auto"/>
        </w:rPr>
      </w:pPr>
      <w:r>
        <w:rPr>
          <w:rFonts w:ascii="Arial" w:cs="Arial" w:eastAsia="Arial" w:hAnsi="Arial"/>
          <w:sz w:val="18"/>
          <w:szCs w:val="18"/>
          <w:b w:val="1"/>
          <w:bCs w:val="1"/>
          <w:color w:val="F1665F"/>
        </w:rPr>
        <w:t>The information in this preliminary prospectus is not complete and may be changed. These securities may not be sold until the registration statement filed with the Securities and Exchange Commission is effective. This prospectus is not an offer to sell these securities, nor does it seek an offer to buy these securities in any jurisdiction where the offer or sale is not permitted.</w:t>
      </w:r>
    </w:p>
    <w:p>
      <w:pPr>
        <w:spacing w:after="0" w:line="68" w:lineRule="exact"/>
        <w:rPr>
          <w:sz w:val="20"/>
          <w:szCs w:val="20"/>
          <w:color w:val="auto"/>
        </w:rPr>
      </w:pPr>
    </w:p>
    <w:p>
      <w:pPr>
        <w:ind w:left="20"/>
        <w:spacing w:after="0"/>
        <w:tabs>
          <w:tab w:leader="none" w:pos="5600" w:val="left"/>
          <w:tab w:leader="none" w:pos="9800" w:val="left"/>
        </w:tabs>
        <w:rPr>
          <w:sz w:val="20"/>
          <w:szCs w:val="20"/>
          <w:color w:val="auto"/>
        </w:rPr>
      </w:pPr>
      <w:r>
        <w:rPr>
          <w:rFonts w:ascii="Arial" w:cs="Arial" w:eastAsia="Arial" w:hAnsi="Arial"/>
          <w:sz w:val="18"/>
          <w:szCs w:val="18"/>
          <w:b w:val="1"/>
          <w:bCs w:val="1"/>
          <w:color w:val="F1665F"/>
        </w:rPr>
        <w:t>PRELIMINARY PROSPECTUS</w:t>
      </w:r>
      <w:r>
        <w:rPr>
          <w:sz w:val="20"/>
          <w:szCs w:val="20"/>
          <w:color w:val="auto"/>
        </w:rPr>
        <w:tab/>
      </w:r>
      <w:r>
        <w:rPr>
          <w:rFonts w:ascii="Arial" w:cs="Arial" w:eastAsia="Arial" w:hAnsi="Arial"/>
          <w:sz w:val="18"/>
          <w:szCs w:val="18"/>
          <w:b w:val="1"/>
          <w:bCs w:val="1"/>
          <w:color w:val="F1665F"/>
        </w:rPr>
        <w:t>Subject to Completion</w:t>
      </w:r>
      <w:r>
        <w:rPr>
          <w:sz w:val="20"/>
          <w:szCs w:val="20"/>
          <w:color w:val="auto"/>
        </w:rPr>
        <w:tab/>
      </w:r>
      <w:r>
        <w:rPr>
          <w:rFonts w:ascii="Arial" w:cs="Arial" w:eastAsia="Arial" w:hAnsi="Arial"/>
          <w:sz w:val="16"/>
          <w:szCs w:val="16"/>
          <w:b w:val="1"/>
          <w:bCs w:val="1"/>
          <w:color w:val="F1665F"/>
        </w:rPr>
        <w:t>February 24, 2022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95,645,056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24130</wp:posOffset>
            </wp:positionV>
            <wp:extent cx="2143125" cy="848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This prospectus relates to (i) the resale of 4,286,500 shares of common stock, par value $0.0001 per share (the “Common Stock”) issued in connection with the Domestication by certain of the selling securityholders named in this prospectus (each a “selling securityholder” and, collectively, the “selling securityholders”), (ii) the resale of 69,655,827 shares of Common Stock issued in connection with the Business Combination by certain of the selling securityholders, (iii) the resale of 20,000,000 shares of common stock issued in the PIPE Financing by certain of the selling securityholders, and (iv) the issuance by us and resale of 1,702,729 shares of Common Stock reserved for issuance upon the exercise of certain outstanding options to purchase Common Stock. This prospectus also covers any additional securities that may become issuable by reason of stock splits, stock dividends or other similar transactions.</w:t>
      </w:r>
    </w:p>
    <w:p>
      <w:pPr>
        <w:spacing w:after="0" w:line="14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We are registering the offer and sale of these securities to satisfy certain registration rights we have granted. We will not receive any of the proceeds from the sale of the securities by the selling securityholders. We will pay the expenses associated with registering the sales by the selling securityholders, as described in more detail in the section titled “</w:t>
      </w:r>
      <w:r>
        <w:rPr>
          <w:rFonts w:ascii="Arial" w:cs="Arial" w:eastAsia="Arial" w:hAnsi="Arial"/>
          <w:sz w:val="18"/>
          <w:szCs w:val="18"/>
          <w:i w:val="1"/>
          <w:iCs w:val="1"/>
          <w:color w:val="auto"/>
        </w:rPr>
        <w:t>Use of Proceeds</w:t>
      </w:r>
      <w:r>
        <w:rPr>
          <w:rFonts w:ascii="Arial" w:cs="Arial" w:eastAsia="Arial" w:hAnsi="Arial"/>
          <w:sz w:val="18"/>
          <w:szCs w:val="18"/>
          <w:color w:val="auto"/>
        </w:rPr>
        <w:t>” appearing elsewhere in this prospectus.</w:t>
      </w:r>
    </w:p>
    <w:p>
      <w:pPr>
        <w:spacing w:after="0" w:line="130"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The selling securityholders may sell the securities described in this prospectus in a number of different ways and at varying prices. We provide more information about how the selling securityholders may sell their securities in the section titled “</w:t>
      </w:r>
      <w:r>
        <w:rPr>
          <w:rFonts w:ascii="Arial" w:cs="Arial" w:eastAsia="Arial" w:hAnsi="Arial"/>
          <w:sz w:val="18"/>
          <w:szCs w:val="18"/>
          <w:i w:val="1"/>
          <w:iCs w:val="1"/>
          <w:color w:val="auto"/>
        </w:rPr>
        <w:t>Plan of Distribution</w:t>
      </w:r>
      <w:r>
        <w:rPr>
          <w:rFonts w:ascii="Arial" w:cs="Arial" w:eastAsia="Arial" w:hAnsi="Arial"/>
          <w:sz w:val="18"/>
          <w:szCs w:val="18"/>
          <w:color w:val="auto"/>
        </w:rPr>
        <w:t>” appearing elsewhere in this prospectus.</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selling securityholders may sell any, all or none of the securities and we do not know when or in what amount the selling securityholders may sell their securities hereunder following the effective date of this registration statement.</w:t>
      </w:r>
    </w:p>
    <w:p>
      <w:pPr>
        <w:spacing w:after="0" w:line="11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Common Stock is listed on The Nasdaq Global Select Market (“Nasdaq”) under the symbol “NAUT.” On February 22, 2022, the last quoted sale price for our Common Stock as reported on Nasdaq was $3.66.</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are an “emerging growth company,” as defined under the federal securities laws, and, as such, may elect to comply with certain reduced public company reporting requirements for future filings.</w:t>
      </w:r>
    </w:p>
    <w:p>
      <w:pPr>
        <w:spacing w:after="0" w:line="108" w:lineRule="exact"/>
        <w:rPr>
          <w:sz w:val="20"/>
          <w:szCs w:val="20"/>
          <w:color w:val="auto"/>
        </w:rPr>
      </w:pPr>
    </w:p>
    <w:p>
      <w:pPr>
        <w:ind w:right="480"/>
        <w:spacing w:after="0" w:line="312" w:lineRule="auto"/>
        <w:rPr>
          <w:rFonts w:ascii="Arial" w:cs="Arial" w:eastAsia="Arial" w:hAnsi="Arial"/>
          <w:sz w:val="17"/>
          <w:szCs w:val="17"/>
          <w:b w:val="1"/>
          <w:bCs w:val="1"/>
          <w:color w:val="auto"/>
        </w:rPr>
      </w:pPr>
      <w:r>
        <w:rPr>
          <w:rFonts w:ascii="Arial" w:cs="Arial" w:eastAsia="Arial" w:hAnsi="Arial"/>
          <w:sz w:val="17"/>
          <w:szCs w:val="17"/>
          <w:b w:val="1"/>
          <w:bCs w:val="1"/>
          <w:color w:val="auto"/>
        </w:rPr>
        <w:t>Investing in our securities involves a high degree of risk. Before buying any securities, you should carefully read the discussion of the risks of investing in our securities in the section titled “</w:t>
      </w:r>
      <w:hyperlink w:anchor="page10">
        <w:r>
          <w:rPr>
            <w:rFonts w:ascii="Arial" w:cs="Arial" w:eastAsia="Arial" w:hAnsi="Arial"/>
            <w:sz w:val="17"/>
            <w:szCs w:val="17"/>
            <w:b w:val="1"/>
            <w:bCs w:val="1"/>
            <w:i w:val="1"/>
            <w:iCs w:val="1"/>
            <w:u w:val="single" w:color="auto"/>
            <w:color w:val="0000FF"/>
          </w:rPr>
          <w:t xml:space="preserve">Risk </w:t>
        </w:r>
      </w:hyperlink>
      <w:r>
        <w:rPr>
          <w:rFonts w:ascii="Arial" w:cs="Arial" w:eastAsia="Arial" w:hAnsi="Arial"/>
          <w:sz w:val="17"/>
          <w:szCs w:val="17"/>
          <w:b w:val="1"/>
          <w:bCs w:val="1"/>
          <w:color w:val="auto"/>
        </w:rPr>
        <w:t xml:space="preserve">Factors” beginning on page </w:t>
      </w:r>
      <w:hyperlink w:anchor="page10">
        <w:r>
          <w:rPr>
            <w:rFonts w:ascii="Arial" w:cs="Arial" w:eastAsia="Arial" w:hAnsi="Arial"/>
            <w:sz w:val="17"/>
            <w:szCs w:val="17"/>
            <w:b w:val="1"/>
            <w:bCs w:val="1"/>
            <w:color w:val="auto"/>
          </w:rPr>
          <w:t xml:space="preserve">6 </w:t>
        </w:r>
      </w:hyperlink>
      <w:r>
        <w:rPr>
          <w:rFonts w:ascii="Arial" w:cs="Arial" w:eastAsia="Arial" w:hAnsi="Arial"/>
          <w:sz w:val="17"/>
          <w:szCs w:val="17"/>
          <w:b w:val="1"/>
          <w:bCs w:val="1"/>
          <w:color w:val="auto"/>
        </w:rPr>
        <w:t>of this prospectus.</w:t>
      </w:r>
    </w:p>
    <w:p>
      <w:pPr>
        <w:spacing w:after="0" w:line="86"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You should rely only on the information contained in this prospectus or any prospectus supplement or amendment hereto. We have not authorized anyone to provide you with different information.</w:t>
      </w:r>
    </w:p>
    <w:p>
      <w:pPr>
        <w:spacing w:after="0" w:line="10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Neither the Securities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97155</wp:posOffset>
            </wp:positionV>
            <wp:extent cx="1517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015" cy="8255"/>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3940"/>
              <w:spacing w:after="0"/>
              <w:rPr>
                <w:sz w:val="20"/>
                <w:szCs w:val="20"/>
                <w:color w:val="auto"/>
              </w:rPr>
            </w:pPr>
            <w:r>
              <w:rPr>
                <w:rFonts w:ascii="Arial" w:cs="Arial" w:eastAsia="Arial" w:hAnsi="Arial"/>
                <w:sz w:val="18"/>
                <w:szCs w:val="18"/>
                <w:i w:val="1"/>
                <w:iCs w:val="1"/>
                <w:color w:val="auto"/>
              </w:rPr>
              <w:t>The date of this prospectus is</w:t>
            </w:r>
          </w:p>
        </w:tc>
        <w:tc>
          <w:tcPr>
            <w:tcW w:w="4820" w:type="dxa"/>
            <w:vAlign w:val="bottom"/>
          </w:tcPr>
          <w:p>
            <w:pPr>
              <w:jc w:val="right"/>
              <w:ind w:right="3850"/>
              <w:spacing w:after="0"/>
              <w:rPr>
                <w:sz w:val="20"/>
                <w:szCs w:val="20"/>
                <w:color w:val="auto"/>
              </w:rPr>
            </w:pPr>
            <w:r>
              <w:rPr>
                <w:rFonts w:ascii="Arial" w:cs="Arial" w:eastAsia="Arial" w:hAnsi="Arial"/>
                <w:sz w:val="18"/>
                <w:szCs w:val="18"/>
                <w:i w:val="1"/>
                <w:iCs w:val="1"/>
                <w:color w:val="auto"/>
              </w:rPr>
              <w:t>, 2022.</w:t>
            </w:r>
          </w:p>
        </w:tc>
      </w:tr>
      <w:tr>
        <w:trPr>
          <w:trHeight w:val="925"/>
        </w:trPr>
        <w:tc>
          <w:tcPr>
            <w:tcW w:w="64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 w:name="page4"/>
    <w:bookmarkEnd w:id="3"/>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60" w:type="dxa"/>
            <w:vAlign w:val="bottom"/>
            <w:gridSpan w:val="3"/>
          </w:tcPr>
          <w:p>
            <w:pPr>
              <w:ind w:left="300"/>
              <w:spacing w:after="0"/>
              <w:rPr>
                <w:sz w:val="20"/>
                <w:szCs w:val="20"/>
                <w:color w:val="auto"/>
              </w:rPr>
            </w:pPr>
            <w:r>
              <w:rPr>
                <w:rFonts w:ascii="Arial" w:cs="Arial" w:eastAsia="Arial" w:hAnsi="Arial"/>
                <w:sz w:val="18"/>
                <w:szCs w:val="18"/>
                <w:b w:val="1"/>
                <w:bCs w:val="1"/>
                <w:color w:val="auto"/>
              </w:rPr>
              <w:t>TABLE OF CONTENTS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38"/>
        </w:trPr>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3"/>
        </w:trPr>
        <w:tc>
          <w:tcPr>
            <w:tcW w:w="10900" w:type="dxa"/>
            <w:vAlign w:val="bottom"/>
            <w:gridSpan w:val="19"/>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About This Prospectus</w:t>
              </w:r>
            </w:hyperlink>
          </w:p>
        </w:tc>
        <w:tc>
          <w:tcPr>
            <w:tcW w:w="120" w:type="dxa"/>
            <w:vAlign w:val="bottom"/>
          </w:tcPr>
          <w:p>
            <w:pPr>
              <w:spacing w:after="0"/>
              <w:rPr>
                <w:sz w:val="22"/>
                <w:szCs w:val="22"/>
                <w:color w:val="auto"/>
              </w:rPr>
            </w:pPr>
          </w:p>
        </w:tc>
        <w:tc>
          <w:tcPr>
            <w:tcW w:w="180" w:type="dxa"/>
            <w:vAlign w:val="bottom"/>
            <w:gridSpan w:val="2"/>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ii</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860" w:type="dxa"/>
            <w:vAlign w:val="bottom"/>
            <w:tcBorders>
              <w:bottom w:val="single" w:sz="8" w:color="0000FF"/>
            </w:tcBorders>
            <w:gridSpan w:val="12"/>
          </w:tcPr>
          <w:p>
            <w:pPr>
              <w:spacing w:after="0"/>
              <w:rPr>
                <w:rFonts w:ascii="Arial" w:cs="Arial" w:eastAsia="Arial" w:hAnsi="Arial"/>
                <w:sz w:val="18"/>
                <w:szCs w:val="18"/>
                <w:color w:val="0000FF"/>
                <w:w w:val="91"/>
              </w:rPr>
            </w:pPr>
            <w:hyperlink w:anchor="page5">
              <w:r>
                <w:rPr>
                  <w:rFonts w:ascii="Arial" w:cs="Arial" w:eastAsia="Arial" w:hAnsi="Arial"/>
                  <w:sz w:val="18"/>
                  <w:szCs w:val="18"/>
                  <w:color w:val="0000FF"/>
                  <w:w w:val="91"/>
                </w:rPr>
                <w:t>Market and Industry Data</w:t>
              </w:r>
            </w:hyperlink>
          </w:p>
        </w:tc>
        <w:tc>
          <w:tcPr>
            <w:tcW w:w="9040" w:type="dxa"/>
            <w:vAlign w:val="bottom"/>
            <w:gridSpan w:val="7"/>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8"/>
                <w:szCs w:val="18"/>
                <w:color w:val="0000FF"/>
                <w:w w:val="74"/>
              </w:rPr>
            </w:pPr>
            <w:hyperlink w:anchor="page5">
              <w:r>
                <w:rPr>
                  <w:rFonts w:ascii="Arial" w:cs="Arial" w:eastAsia="Arial" w:hAnsi="Arial"/>
                  <w:sz w:val="18"/>
                  <w:szCs w:val="18"/>
                  <w:color w:val="0000FF"/>
                  <w:w w:val="74"/>
                </w:rPr>
                <w:t>ii</w:t>
              </w:r>
            </w:hyperlink>
          </w:p>
        </w:tc>
      </w:tr>
      <w:tr>
        <w:trPr>
          <w:trHeight w:val="209"/>
        </w:trPr>
        <w:tc>
          <w:tcPr>
            <w:tcW w:w="860" w:type="dxa"/>
            <w:vAlign w:val="bottom"/>
            <w:tcBorders>
              <w:bottom w:val="single" w:sz="8" w:color="0000FF"/>
            </w:tcBorders>
            <w:gridSpan w:val="3"/>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Trademarks</w:t>
              </w:r>
            </w:hyperlink>
          </w:p>
        </w:tc>
        <w:tc>
          <w:tcPr>
            <w:tcW w:w="10040" w:type="dxa"/>
            <w:vAlign w:val="bottom"/>
            <w:gridSpan w:val="16"/>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Borders>
              <w:bottom w:val="single" w:sz="8" w:color="0000FF"/>
            </w:tcBorders>
          </w:tcPr>
          <w:p>
            <w:pPr>
              <w:jc w:val="right"/>
              <w:spacing w:after="0"/>
              <w:rPr>
                <w:rFonts w:ascii="Arial" w:cs="Arial" w:eastAsia="Arial" w:hAnsi="Arial"/>
                <w:sz w:val="18"/>
                <w:szCs w:val="18"/>
                <w:color w:val="0000FF"/>
                <w:w w:val="74"/>
              </w:rPr>
            </w:pPr>
            <w:hyperlink w:anchor="page5">
              <w:r>
                <w:rPr>
                  <w:rFonts w:ascii="Arial" w:cs="Arial" w:eastAsia="Arial" w:hAnsi="Arial"/>
                  <w:sz w:val="18"/>
                  <w:szCs w:val="18"/>
                  <w:color w:val="0000FF"/>
                  <w:w w:val="74"/>
                </w:rPr>
                <w:t>ii</w:t>
              </w:r>
            </w:hyperlink>
          </w:p>
        </w:tc>
      </w:tr>
      <w:tr>
        <w:trPr>
          <w:trHeight w:val="209"/>
        </w:trPr>
        <w:tc>
          <w:tcPr>
            <w:tcW w:w="1540" w:type="dxa"/>
            <w:vAlign w:val="bottom"/>
            <w:gridSpan w:val="8"/>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Prospectus Summary</w:t>
              </w:r>
            </w:hyperlink>
          </w:p>
        </w:tc>
        <w:tc>
          <w:tcPr>
            <w:tcW w:w="9360" w:type="dxa"/>
            <w:vAlign w:val="bottom"/>
            <w:gridSpan w:val="11"/>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920" w:type="dxa"/>
            <w:vAlign w:val="bottom"/>
            <w:gridSpan w:val="4"/>
          </w:tcPr>
          <w:p>
            <w:pPr>
              <w:spacing w:after="0"/>
              <w:rPr>
                <w:rFonts w:ascii="Arial" w:cs="Arial" w:eastAsia="Arial" w:hAnsi="Arial"/>
                <w:sz w:val="18"/>
                <w:szCs w:val="18"/>
                <w:color w:val="0000FF"/>
                <w:w w:val="87"/>
              </w:rPr>
            </w:pPr>
            <w:hyperlink w:anchor="page10">
              <w:r>
                <w:rPr>
                  <w:rFonts w:ascii="Arial" w:cs="Arial" w:eastAsia="Arial" w:hAnsi="Arial"/>
                  <w:sz w:val="18"/>
                  <w:szCs w:val="18"/>
                  <w:color w:val="0000FF"/>
                  <w:w w:val="87"/>
                </w:rPr>
                <w:t>Risk Factors</w:t>
              </w:r>
            </w:hyperlink>
          </w:p>
        </w:tc>
        <w:tc>
          <w:tcPr>
            <w:tcW w:w="620" w:type="dxa"/>
            <w:vAlign w:val="bottom"/>
            <w:gridSpan w:val="4"/>
          </w:tcPr>
          <w:p>
            <w:pPr>
              <w:spacing w:after="0"/>
              <w:rPr>
                <w:sz w:val="18"/>
                <w:szCs w:val="18"/>
                <w:color w:val="auto"/>
              </w:rPr>
            </w:pPr>
          </w:p>
        </w:tc>
        <w:tc>
          <w:tcPr>
            <w:tcW w:w="9360" w:type="dxa"/>
            <w:vAlign w:val="bottom"/>
            <w:gridSpan w:val="11"/>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rPr>
            </w:pPr>
            <w:hyperlink w:anchor="page10">
              <w:r>
                <w:rPr>
                  <w:rFonts w:ascii="Arial" w:cs="Arial" w:eastAsia="Arial" w:hAnsi="Arial"/>
                  <w:sz w:val="18"/>
                  <w:szCs w:val="18"/>
                  <w:color w:val="0000FF"/>
                </w:rPr>
                <w:t>6</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160" w:type="dxa"/>
            <w:vAlign w:val="bottom"/>
            <w:tcBorders>
              <w:bottom w:val="single" w:sz="8" w:color="0000FF"/>
            </w:tcBorders>
            <w:gridSpan w:val="15"/>
          </w:tcPr>
          <w:p>
            <w:pPr>
              <w:spacing w:after="0"/>
              <w:rPr>
                <w:rFonts w:ascii="Arial" w:cs="Arial" w:eastAsia="Arial" w:hAnsi="Arial"/>
                <w:sz w:val="18"/>
                <w:szCs w:val="18"/>
                <w:color w:val="0000FF"/>
                <w:w w:val="91"/>
              </w:rPr>
            </w:pPr>
            <w:hyperlink w:anchor="page51">
              <w:r>
                <w:rPr>
                  <w:rFonts w:ascii="Arial" w:cs="Arial" w:eastAsia="Arial" w:hAnsi="Arial"/>
                  <w:sz w:val="18"/>
                  <w:szCs w:val="18"/>
                  <w:color w:val="0000FF"/>
                  <w:w w:val="91"/>
                </w:rPr>
                <w:t>Cautionary Note Regarding Forward-Looking Statements</w:t>
              </w:r>
            </w:hyperlink>
          </w:p>
        </w:tc>
        <w:tc>
          <w:tcPr>
            <w:tcW w:w="6740" w:type="dxa"/>
            <w:vAlign w:val="bottom"/>
            <w:gridSpan w:val="4"/>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1">
              <w:r>
                <w:rPr>
                  <w:rFonts w:ascii="Arial" w:cs="Arial" w:eastAsia="Arial" w:hAnsi="Arial"/>
                  <w:sz w:val="18"/>
                  <w:szCs w:val="18"/>
                  <w:color w:val="0000FF"/>
                  <w:w w:val="79"/>
                </w:rPr>
                <w:t>47</w:t>
              </w:r>
            </w:hyperlink>
          </w:p>
        </w:tc>
      </w:tr>
      <w:tr>
        <w:trPr>
          <w:trHeight w:val="210"/>
        </w:trPr>
        <w:tc>
          <w:tcPr>
            <w:tcW w:w="1180" w:type="dxa"/>
            <w:vAlign w:val="bottom"/>
            <w:tcBorders>
              <w:bottom w:val="single" w:sz="8" w:color="0000FF"/>
            </w:tcBorders>
            <w:gridSpan w:val="6"/>
          </w:tcPr>
          <w:p>
            <w:pPr>
              <w:spacing w:after="0"/>
              <w:rPr>
                <w:rFonts w:ascii="Arial" w:cs="Arial" w:eastAsia="Arial" w:hAnsi="Arial"/>
                <w:sz w:val="18"/>
                <w:szCs w:val="18"/>
                <w:color w:val="0000FF"/>
                <w:w w:val="87"/>
              </w:rPr>
            </w:pPr>
            <w:hyperlink w:anchor="page53">
              <w:r>
                <w:rPr>
                  <w:rFonts w:ascii="Arial" w:cs="Arial" w:eastAsia="Arial" w:hAnsi="Arial"/>
                  <w:sz w:val="18"/>
                  <w:szCs w:val="18"/>
                  <w:color w:val="0000FF"/>
                  <w:w w:val="87"/>
                </w:rPr>
                <w:t>Use of Proceeds</w:t>
              </w:r>
            </w:hyperlink>
          </w:p>
        </w:tc>
        <w:tc>
          <w:tcPr>
            <w:tcW w:w="9720" w:type="dxa"/>
            <w:vAlign w:val="bottom"/>
            <w:gridSpan w:val="13"/>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53">
              <w:r>
                <w:rPr>
                  <w:rFonts w:ascii="Arial" w:cs="Arial" w:eastAsia="Arial" w:hAnsi="Arial"/>
                  <w:sz w:val="18"/>
                  <w:szCs w:val="18"/>
                  <w:color w:val="0000FF"/>
                  <w:w w:val="79"/>
                </w:rPr>
                <w:t>49</w:t>
              </w:r>
            </w:hyperlink>
          </w:p>
        </w:tc>
      </w:tr>
      <w:tr>
        <w:trPr>
          <w:trHeight w:val="210"/>
        </w:trPr>
        <w:tc>
          <w:tcPr>
            <w:tcW w:w="10900" w:type="dxa"/>
            <w:vAlign w:val="bottom"/>
            <w:gridSpan w:val="19"/>
          </w:tcPr>
          <w:p>
            <w:pPr>
              <w:spacing w:after="0"/>
              <w:rPr>
                <w:rFonts w:ascii="Arial" w:cs="Arial" w:eastAsia="Arial" w:hAnsi="Arial"/>
                <w:sz w:val="18"/>
                <w:szCs w:val="18"/>
                <w:color w:val="0000FF"/>
              </w:rPr>
            </w:pPr>
            <w:hyperlink w:anchor="page54">
              <w:r>
                <w:rPr>
                  <w:rFonts w:ascii="Arial" w:cs="Arial" w:eastAsia="Arial" w:hAnsi="Arial"/>
                  <w:sz w:val="18"/>
                  <w:szCs w:val="18"/>
                  <w:color w:val="0000FF"/>
                </w:rPr>
                <w:t>Market Price of and Dividends on the Registrant’s Common Equity and Related Stockholder Matters</w:t>
              </w:r>
            </w:hyperlink>
          </w:p>
        </w:tc>
        <w:tc>
          <w:tcPr>
            <w:tcW w:w="30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50</w:t>
              </w:r>
            </w:hyperlink>
          </w:p>
        </w:tc>
      </w:tr>
      <w:tr>
        <w:trPr>
          <w:trHeight w:val="209"/>
        </w:trPr>
        <w:tc>
          <w:tcPr>
            <w:tcW w:w="7260" w:type="dxa"/>
            <w:vAlign w:val="bottom"/>
            <w:tcBorders>
              <w:top w:val="single" w:sz="8" w:color="0000FF"/>
            </w:tcBorders>
            <w:gridSpan w:val="18"/>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Management’s Discussion and Analysis of Financial Condition and Results of Operations</w:t>
              </w:r>
            </w:hyperlink>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55">
              <w:r>
                <w:rPr>
                  <w:rFonts w:ascii="Arial" w:cs="Arial" w:eastAsia="Arial" w:hAnsi="Arial"/>
                  <w:sz w:val="18"/>
                  <w:szCs w:val="18"/>
                  <w:color w:val="0000FF"/>
                  <w:w w:val="79"/>
                </w:rPr>
                <w:t>51</w:t>
              </w:r>
            </w:hyperlink>
          </w:p>
        </w:tc>
      </w:tr>
      <w:tr>
        <w:trPr>
          <w:trHeight w:val="210"/>
        </w:trPr>
        <w:tc>
          <w:tcPr>
            <w:tcW w:w="6460" w:type="dxa"/>
            <w:vAlign w:val="bottom"/>
            <w:tcBorders>
              <w:top w:val="single" w:sz="8" w:color="0000FF"/>
            </w:tcBorders>
            <w:gridSpan w:val="17"/>
          </w:tcPr>
          <w:p>
            <w:pPr>
              <w:spacing w:after="0"/>
              <w:rPr>
                <w:rFonts w:ascii="Arial" w:cs="Arial" w:eastAsia="Arial" w:hAnsi="Arial"/>
                <w:sz w:val="18"/>
                <w:szCs w:val="18"/>
                <w:color w:val="0000FF"/>
              </w:rPr>
            </w:pPr>
            <w:hyperlink w:anchor="page66">
              <w:r>
                <w:rPr>
                  <w:rFonts w:ascii="Arial" w:cs="Arial" w:eastAsia="Arial" w:hAnsi="Arial"/>
                  <w:sz w:val="18"/>
                  <w:szCs w:val="18"/>
                  <w:color w:val="0000FF"/>
                </w:rPr>
                <w:t>Business</w:t>
              </w:r>
            </w:hyperlink>
          </w:p>
        </w:tc>
        <w:tc>
          <w:tcPr>
            <w:tcW w:w="44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66">
              <w:r>
                <w:rPr>
                  <w:rFonts w:ascii="Arial" w:cs="Arial" w:eastAsia="Arial" w:hAnsi="Arial"/>
                  <w:sz w:val="18"/>
                  <w:szCs w:val="18"/>
                  <w:color w:val="0000FF"/>
                  <w:w w:val="79"/>
                </w:rPr>
                <w:t>62</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0900" w:type="dxa"/>
            <w:vAlign w:val="bottom"/>
            <w:gridSpan w:val="19"/>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Management</w:t>
              </w:r>
            </w:hyperlink>
          </w:p>
        </w:tc>
        <w:tc>
          <w:tcPr>
            <w:tcW w:w="300" w:type="dxa"/>
            <w:vAlign w:val="bottom"/>
            <w:gridSpan w:val="3"/>
          </w:tcPr>
          <w:p>
            <w:pPr>
              <w:jc w:val="right"/>
              <w:spacing w:after="0"/>
              <w:rPr>
                <w:rFonts w:ascii="Arial" w:cs="Arial" w:eastAsia="Arial" w:hAnsi="Arial"/>
                <w:sz w:val="18"/>
                <w:szCs w:val="18"/>
                <w:color w:val="0000FF"/>
                <w:w w:val="93"/>
              </w:rPr>
            </w:pPr>
            <w:hyperlink w:anchor="page104">
              <w:r>
                <w:rPr>
                  <w:rFonts w:ascii="Arial" w:cs="Arial" w:eastAsia="Arial" w:hAnsi="Arial"/>
                  <w:sz w:val="18"/>
                  <w:szCs w:val="18"/>
                  <w:color w:val="0000FF"/>
                  <w:w w:val="93"/>
                </w:rPr>
                <w:t>100</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0900" w:type="dxa"/>
            <w:vAlign w:val="bottom"/>
            <w:gridSpan w:val="19"/>
          </w:tcPr>
          <w:p>
            <w:pPr>
              <w:spacing w:after="0"/>
              <w:rPr>
                <w:rFonts w:ascii="Arial" w:cs="Arial" w:eastAsia="Arial" w:hAnsi="Arial"/>
                <w:sz w:val="18"/>
                <w:szCs w:val="18"/>
                <w:color w:val="0000FF"/>
              </w:rPr>
            </w:pPr>
            <w:hyperlink w:anchor="page111">
              <w:r>
                <w:rPr>
                  <w:rFonts w:ascii="Arial" w:cs="Arial" w:eastAsia="Arial" w:hAnsi="Arial"/>
                  <w:sz w:val="18"/>
                  <w:szCs w:val="18"/>
                  <w:color w:val="0000FF"/>
                </w:rPr>
                <w:t>Executive Compensation</w:t>
              </w:r>
            </w:hyperlink>
          </w:p>
        </w:tc>
        <w:tc>
          <w:tcPr>
            <w:tcW w:w="300" w:type="dxa"/>
            <w:vAlign w:val="bottom"/>
            <w:gridSpan w:val="3"/>
          </w:tcPr>
          <w:p>
            <w:pPr>
              <w:jc w:val="right"/>
              <w:spacing w:after="0"/>
              <w:rPr>
                <w:rFonts w:ascii="Arial" w:cs="Arial" w:eastAsia="Arial" w:hAnsi="Arial"/>
                <w:sz w:val="18"/>
                <w:szCs w:val="18"/>
                <w:color w:val="0000FF"/>
                <w:w w:val="93"/>
              </w:rPr>
            </w:pPr>
            <w:hyperlink w:anchor="page111">
              <w:r>
                <w:rPr>
                  <w:rFonts w:ascii="Arial" w:cs="Arial" w:eastAsia="Arial" w:hAnsi="Arial"/>
                  <w:sz w:val="18"/>
                  <w:szCs w:val="18"/>
                  <w:color w:val="0000FF"/>
                  <w:w w:val="93"/>
                </w:rPr>
                <w:t>107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560" w:type="dxa"/>
            <w:vAlign w:val="bottom"/>
            <w:gridSpan w:val="3"/>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0900" w:type="dxa"/>
            <w:vAlign w:val="bottom"/>
            <w:gridSpan w:val="19"/>
          </w:tcPr>
          <w:p>
            <w:pPr>
              <w:spacing w:after="0"/>
              <w:rPr>
                <w:rFonts w:ascii="Arial" w:cs="Arial" w:eastAsia="Arial" w:hAnsi="Arial"/>
                <w:sz w:val="18"/>
                <w:szCs w:val="18"/>
                <w:color w:val="0000FF"/>
              </w:rPr>
            </w:pPr>
            <w:hyperlink w:anchor="page129">
              <w:r>
                <w:rPr>
                  <w:rFonts w:ascii="Arial" w:cs="Arial" w:eastAsia="Arial" w:hAnsi="Arial"/>
                  <w:sz w:val="18"/>
                  <w:szCs w:val="18"/>
                  <w:color w:val="0000FF"/>
                </w:rPr>
                <w:t>Certain Relationships, Related Party and Other Transactions</w:t>
              </w:r>
            </w:hyperlink>
          </w:p>
        </w:tc>
        <w:tc>
          <w:tcPr>
            <w:tcW w:w="300" w:type="dxa"/>
            <w:vAlign w:val="bottom"/>
            <w:gridSpan w:val="3"/>
          </w:tcPr>
          <w:p>
            <w:pPr>
              <w:jc w:val="right"/>
              <w:spacing w:after="0"/>
              <w:rPr>
                <w:rFonts w:ascii="Arial" w:cs="Arial" w:eastAsia="Arial" w:hAnsi="Arial"/>
                <w:sz w:val="18"/>
                <w:szCs w:val="18"/>
                <w:color w:val="0000FF"/>
                <w:w w:val="93"/>
              </w:rPr>
            </w:pPr>
            <w:hyperlink w:anchor="page129">
              <w:r>
                <w:rPr>
                  <w:rFonts w:ascii="Arial" w:cs="Arial" w:eastAsia="Arial" w:hAnsi="Arial"/>
                  <w:sz w:val="18"/>
                  <w:szCs w:val="18"/>
                  <w:color w:val="0000FF"/>
                  <w:w w:val="93"/>
                </w:rPr>
                <w:t>125</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4340" w:type="dxa"/>
            <w:vAlign w:val="bottom"/>
            <w:gridSpan w:val="16"/>
          </w:tcPr>
          <w:p>
            <w:pPr>
              <w:spacing w:after="0"/>
              <w:rPr>
                <w:rFonts w:ascii="Arial" w:cs="Arial" w:eastAsia="Arial" w:hAnsi="Arial"/>
                <w:sz w:val="18"/>
                <w:szCs w:val="18"/>
                <w:color w:val="0000FF"/>
              </w:rPr>
            </w:pPr>
            <w:hyperlink w:anchor="page136">
              <w:r>
                <w:rPr>
                  <w:rFonts w:ascii="Arial" w:cs="Arial" w:eastAsia="Arial" w:hAnsi="Arial"/>
                  <w:sz w:val="18"/>
                  <w:szCs w:val="18"/>
                  <w:color w:val="0000FF"/>
                </w:rPr>
                <w:t>Principal Securityholders</w:t>
              </w:r>
            </w:hyperlink>
          </w:p>
        </w:tc>
        <w:tc>
          <w:tcPr>
            <w:tcW w:w="6560" w:type="dxa"/>
            <w:vAlign w:val="bottom"/>
            <w:gridSpan w:val="3"/>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36">
              <w:r>
                <w:rPr>
                  <w:rFonts w:ascii="Arial" w:cs="Arial" w:eastAsia="Arial" w:hAnsi="Arial"/>
                  <w:sz w:val="18"/>
                  <w:szCs w:val="18"/>
                  <w:color w:val="0000FF"/>
                  <w:w w:val="93"/>
                </w:rPr>
                <w:t>132</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1700" w:type="dxa"/>
            <w:vAlign w:val="bottom"/>
            <w:gridSpan w:val="10"/>
          </w:tcPr>
          <w:p>
            <w:pPr>
              <w:spacing w:after="0"/>
              <w:rPr>
                <w:rFonts w:ascii="Arial" w:cs="Arial" w:eastAsia="Arial" w:hAnsi="Arial"/>
                <w:sz w:val="18"/>
                <w:szCs w:val="18"/>
                <w:color w:val="0000FF"/>
                <w:w w:val="91"/>
              </w:rPr>
            </w:pPr>
            <w:hyperlink w:anchor="page138">
              <w:r>
                <w:rPr>
                  <w:rFonts w:ascii="Arial" w:cs="Arial" w:eastAsia="Arial" w:hAnsi="Arial"/>
                  <w:sz w:val="18"/>
                  <w:szCs w:val="18"/>
                  <w:color w:val="0000FF"/>
                  <w:w w:val="91"/>
                </w:rPr>
                <w:t>Selling Securityholders</w:t>
              </w:r>
            </w:hyperlink>
          </w:p>
        </w:tc>
        <w:tc>
          <w:tcPr>
            <w:tcW w:w="100" w:type="dxa"/>
            <w:vAlign w:val="bottom"/>
          </w:tcPr>
          <w:p>
            <w:pPr>
              <w:spacing w:after="0"/>
              <w:rPr>
                <w:sz w:val="18"/>
                <w:szCs w:val="18"/>
                <w:color w:val="auto"/>
              </w:rPr>
            </w:pPr>
          </w:p>
        </w:tc>
        <w:tc>
          <w:tcPr>
            <w:tcW w:w="9100" w:type="dxa"/>
            <w:vAlign w:val="bottom"/>
            <w:gridSpan w:val="8"/>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38">
              <w:r>
                <w:rPr>
                  <w:rFonts w:ascii="Arial" w:cs="Arial" w:eastAsia="Arial" w:hAnsi="Arial"/>
                  <w:sz w:val="18"/>
                  <w:szCs w:val="18"/>
                  <w:color w:val="0000FF"/>
                  <w:w w:val="93"/>
                </w:rPr>
                <w:t>134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09"/>
        </w:trPr>
        <w:tc>
          <w:tcPr>
            <w:tcW w:w="1800" w:type="dxa"/>
            <w:vAlign w:val="bottom"/>
            <w:gridSpan w:val="11"/>
          </w:tcPr>
          <w:p>
            <w:pPr>
              <w:spacing w:after="0"/>
              <w:rPr>
                <w:rFonts w:ascii="Arial" w:cs="Arial" w:eastAsia="Arial" w:hAnsi="Arial"/>
                <w:sz w:val="18"/>
                <w:szCs w:val="18"/>
                <w:color w:val="0000FF"/>
                <w:w w:val="90"/>
              </w:rPr>
            </w:pPr>
            <w:hyperlink w:anchor="page143">
              <w:r>
                <w:rPr>
                  <w:rFonts w:ascii="Arial" w:cs="Arial" w:eastAsia="Arial" w:hAnsi="Arial"/>
                  <w:sz w:val="18"/>
                  <w:szCs w:val="18"/>
                  <w:color w:val="0000FF"/>
                  <w:w w:val="90"/>
                </w:rPr>
                <w:t>Description of Securities</w:t>
              </w:r>
            </w:hyperlink>
          </w:p>
        </w:tc>
        <w:tc>
          <w:tcPr>
            <w:tcW w:w="9100" w:type="dxa"/>
            <w:vAlign w:val="bottom"/>
            <w:gridSpan w:val="8"/>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43">
              <w:r>
                <w:rPr>
                  <w:rFonts w:ascii="Arial" w:cs="Arial" w:eastAsia="Arial" w:hAnsi="Arial"/>
                  <w:sz w:val="18"/>
                  <w:szCs w:val="18"/>
                  <w:color w:val="0000FF"/>
                  <w:w w:val="93"/>
                </w:rPr>
                <w:t>139</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1440" w:type="dxa"/>
            <w:vAlign w:val="bottom"/>
            <w:gridSpan w:val="7"/>
          </w:tcPr>
          <w:p>
            <w:pPr>
              <w:spacing w:after="0"/>
              <w:rPr>
                <w:rFonts w:ascii="Arial" w:cs="Arial" w:eastAsia="Arial" w:hAnsi="Arial"/>
                <w:sz w:val="18"/>
                <w:szCs w:val="18"/>
                <w:color w:val="0000FF"/>
                <w:w w:val="93"/>
              </w:rPr>
            </w:pPr>
            <w:hyperlink w:anchor="page148">
              <w:r>
                <w:rPr>
                  <w:rFonts w:ascii="Arial" w:cs="Arial" w:eastAsia="Arial" w:hAnsi="Arial"/>
                  <w:sz w:val="18"/>
                  <w:szCs w:val="18"/>
                  <w:color w:val="0000FF"/>
                  <w:w w:val="93"/>
                </w:rPr>
                <w:t>Plan of Distribution</w:t>
              </w:r>
            </w:hyperlink>
          </w:p>
        </w:tc>
        <w:tc>
          <w:tcPr>
            <w:tcW w:w="360" w:type="dxa"/>
            <w:vAlign w:val="bottom"/>
            <w:gridSpan w:val="4"/>
          </w:tcPr>
          <w:p>
            <w:pPr>
              <w:spacing w:after="0"/>
              <w:rPr>
                <w:sz w:val="18"/>
                <w:szCs w:val="18"/>
                <w:color w:val="auto"/>
              </w:rPr>
            </w:pPr>
          </w:p>
        </w:tc>
        <w:tc>
          <w:tcPr>
            <w:tcW w:w="9100" w:type="dxa"/>
            <w:vAlign w:val="bottom"/>
            <w:gridSpan w:val="8"/>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48">
              <w:r>
                <w:rPr>
                  <w:rFonts w:ascii="Arial" w:cs="Arial" w:eastAsia="Arial" w:hAnsi="Arial"/>
                  <w:sz w:val="18"/>
                  <w:szCs w:val="18"/>
                  <w:color w:val="0000FF"/>
                  <w:w w:val="93"/>
                </w:rPr>
                <w:t>144</w:t>
              </w:r>
            </w:hyperlink>
          </w:p>
        </w:tc>
      </w:tr>
      <w:tr>
        <w:trPr>
          <w:trHeight w:val="20"/>
        </w:trPr>
        <w:tc>
          <w:tcPr>
            <w:tcW w:w="560" w:type="dxa"/>
            <w:vAlign w:val="bottom"/>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10"/>
        </w:trPr>
        <w:tc>
          <w:tcPr>
            <w:tcW w:w="1440" w:type="dxa"/>
            <w:vAlign w:val="bottom"/>
            <w:gridSpan w:val="7"/>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Legal Matters</w:t>
              </w:r>
            </w:hyperlink>
          </w:p>
        </w:tc>
        <w:tc>
          <w:tcPr>
            <w:tcW w:w="9460" w:type="dxa"/>
            <w:vAlign w:val="bottom"/>
            <w:gridSpan w:val="12"/>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51">
              <w:r>
                <w:rPr>
                  <w:rFonts w:ascii="Arial" w:cs="Arial" w:eastAsia="Arial" w:hAnsi="Arial"/>
                  <w:sz w:val="18"/>
                  <w:szCs w:val="18"/>
                  <w:color w:val="0000FF"/>
                  <w:w w:val="93"/>
                </w:rPr>
                <w:t>147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09"/>
        </w:trPr>
        <w:tc>
          <w:tcPr>
            <w:tcW w:w="560" w:type="dxa"/>
            <w:vAlign w:val="bottom"/>
          </w:tcPr>
          <w:p>
            <w:pPr>
              <w:spacing w:after="0"/>
              <w:rPr>
                <w:rFonts w:ascii="Arial" w:cs="Arial" w:eastAsia="Arial" w:hAnsi="Arial"/>
                <w:sz w:val="18"/>
                <w:szCs w:val="18"/>
                <w:color w:val="0000FF"/>
                <w:w w:val="88"/>
              </w:rPr>
            </w:pPr>
            <w:hyperlink w:anchor="page152">
              <w:r>
                <w:rPr>
                  <w:rFonts w:ascii="Arial" w:cs="Arial" w:eastAsia="Arial" w:hAnsi="Arial"/>
                  <w:sz w:val="18"/>
                  <w:szCs w:val="18"/>
                  <w:color w:val="0000FF"/>
                  <w:w w:val="88"/>
                </w:rPr>
                <w:t>Experts</w:t>
              </w:r>
            </w:hyperlink>
          </w:p>
        </w:tc>
        <w:tc>
          <w:tcPr>
            <w:tcW w:w="440" w:type="dxa"/>
            <w:vAlign w:val="bottom"/>
            <w:gridSpan w:val="4"/>
          </w:tcPr>
          <w:p>
            <w:pPr>
              <w:spacing w:after="0"/>
              <w:rPr>
                <w:sz w:val="18"/>
                <w:szCs w:val="18"/>
                <w:color w:val="auto"/>
              </w:rPr>
            </w:pPr>
          </w:p>
        </w:tc>
        <w:tc>
          <w:tcPr>
            <w:tcW w:w="9900" w:type="dxa"/>
            <w:vAlign w:val="bottom"/>
            <w:gridSpan w:val="14"/>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52">
              <w:r>
                <w:rPr>
                  <w:rFonts w:ascii="Arial" w:cs="Arial" w:eastAsia="Arial" w:hAnsi="Arial"/>
                  <w:sz w:val="18"/>
                  <w:szCs w:val="18"/>
                  <w:color w:val="0000FF"/>
                  <w:w w:val="93"/>
                </w:rPr>
                <w:t>147</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10"/>
        </w:trPr>
        <w:tc>
          <w:tcPr>
            <w:tcW w:w="3260" w:type="dxa"/>
            <w:vAlign w:val="bottom"/>
            <w:gridSpan w:val="14"/>
          </w:tcPr>
          <w:p>
            <w:pPr>
              <w:spacing w:after="0"/>
              <w:rPr>
                <w:rFonts w:ascii="Arial" w:cs="Arial" w:eastAsia="Arial" w:hAnsi="Arial"/>
                <w:sz w:val="18"/>
                <w:szCs w:val="18"/>
                <w:color w:val="0000FF"/>
                <w:w w:val="93"/>
              </w:rPr>
            </w:pPr>
            <w:hyperlink w:anchor="page152">
              <w:r>
                <w:rPr>
                  <w:rFonts w:ascii="Arial" w:cs="Arial" w:eastAsia="Arial" w:hAnsi="Arial"/>
                  <w:sz w:val="18"/>
                  <w:szCs w:val="18"/>
                  <w:color w:val="0000FF"/>
                  <w:w w:val="93"/>
                </w:rPr>
                <w:t>Where You Can Find Additional Information</w:t>
              </w:r>
            </w:hyperlink>
          </w:p>
        </w:tc>
        <w:tc>
          <w:tcPr>
            <w:tcW w:w="7640" w:type="dxa"/>
            <w:vAlign w:val="bottom"/>
            <w:gridSpan w:val="5"/>
          </w:tcPr>
          <w:p>
            <w:pPr>
              <w:spacing w:after="0"/>
              <w:rPr>
                <w:sz w:val="18"/>
                <w:szCs w:val="18"/>
                <w:color w:val="auto"/>
              </w:rPr>
            </w:pPr>
          </w:p>
        </w:tc>
        <w:tc>
          <w:tcPr>
            <w:tcW w:w="300" w:type="dxa"/>
            <w:vAlign w:val="bottom"/>
            <w:gridSpan w:val="3"/>
          </w:tcPr>
          <w:p>
            <w:pPr>
              <w:jc w:val="right"/>
              <w:spacing w:after="0"/>
              <w:rPr>
                <w:rFonts w:ascii="Arial" w:cs="Arial" w:eastAsia="Arial" w:hAnsi="Arial"/>
                <w:sz w:val="18"/>
                <w:szCs w:val="18"/>
                <w:color w:val="0000FF"/>
                <w:w w:val="93"/>
              </w:rPr>
            </w:pPr>
            <w:hyperlink w:anchor="page152">
              <w:r>
                <w:rPr>
                  <w:rFonts w:ascii="Arial" w:cs="Arial" w:eastAsia="Arial" w:hAnsi="Arial"/>
                  <w:sz w:val="18"/>
                  <w:szCs w:val="18"/>
                  <w:color w:val="0000FF"/>
                  <w:w w:val="93"/>
                </w:rPr>
                <w:t>148</w:t>
              </w:r>
            </w:hyperlink>
          </w:p>
        </w:tc>
      </w:tr>
      <w:tr>
        <w:trPr>
          <w:trHeight w:val="210"/>
        </w:trPr>
        <w:tc>
          <w:tcPr>
            <w:tcW w:w="3260" w:type="dxa"/>
            <w:vAlign w:val="bottom"/>
            <w:tcBorders>
              <w:top w:val="single" w:sz="8" w:color="0000FF"/>
            </w:tcBorders>
            <w:gridSpan w:val="14"/>
          </w:tcPr>
          <w:p>
            <w:pPr>
              <w:spacing w:after="0"/>
              <w:rPr>
                <w:rFonts w:ascii="Arial" w:cs="Arial" w:eastAsia="Arial" w:hAnsi="Arial"/>
                <w:sz w:val="18"/>
                <w:szCs w:val="18"/>
                <w:color w:val="0000FF"/>
              </w:rPr>
            </w:pPr>
            <w:hyperlink w:anchor="page153">
              <w:r>
                <w:rPr>
                  <w:rFonts w:ascii="Arial" w:cs="Arial" w:eastAsia="Arial" w:hAnsi="Arial"/>
                  <w:sz w:val="18"/>
                  <w:szCs w:val="18"/>
                  <w:color w:val="0000FF"/>
                </w:rPr>
                <w:t>Index to Financial Statements</w:t>
              </w:r>
            </w:hyperlink>
          </w:p>
        </w:tc>
        <w:tc>
          <w:tcPr>
            <w:tcW w:w="7640" w:type="dxa"/>
            <w:vAlign w:val="bottom"/>
            <w:gridSpan w:val="5"/>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5"/>
                <w:szCs w:val="15"/>
                <w:color w:val="0000FF"/>
                <w:w w:val="70"/>
              </w:rPr>
            </w:pPr>
            <w:hyperlink w:anchor="page153">
              <w:r>
                <w:rPr>
                  <w:rFonts w:ascii="Arial" w:cs="Arial" w:eastAsia="Arial" w:hAnsi="Arial"/>
                  <w:sz w:val="15"/>
                  <w:szCs w:val="15"/>
                  <w:color w:val="0000FF"/>
                  <w:w w:val="70"/>
                </w:rPr>
                <w:t>F-1</w:t>
              </w:r>
            </w:hyperlink>
          </w:p>
        </w:tc>
      </w:tr>
      <w:tr>
        <w:trPr>
          <w:trHeight w:val="20"/>
        </w:trPr>
        <w:tc>
          <w:tcPr>
            <w:tcW w:w="5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bl>
    <w:p>
      <w:pPr>
        <w:spacing w:after="0" w:line="26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You should rely only on the information contained in this prospectus or in any free writing prospectus prepared by us or on our behalf. We have not authorized any other person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This prospectus is part of a registration statement on Form S-1 that we filed with the Securities and Exchange Commission (the "SEC") using the “shelf” registration process. Under this shelf registration process, the selling securityholders hereunder may, from time to time, sell the securities offered by them described in this prospectus. We will not receive any proceeds from the sale by such selling securityholders of the securities offered by them described in this prospectus.</w:t>
      </w:r>
    </w:p>
    <w:p>
      <w:pPr>
        <w:spacing w:after="0" w:line="13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and can provide no assurance as to the reliability of, any other information that others may give you. Neither we nor the selling securityholders will make an offer to sell these securities in any jurisdiction where the offer or sale is not permitted.</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Arial" w:cs="Arial" w:eastAsia="Arial" w:hAnsi="Arial"/>
          <w:sz w:val="18"/>
          <w:szCs w:val="18"/>
          <w:i w:val="1"/>
          <w:iCs w:val="1"/>
          <w:color w:val="auto"/>
        </w:rPr>
        <w:t>Where You Can Find</w:t>
      </w:r>
      <w:r>
        <w:rPr>
          <w:rFonts w:ascii="Arial" w:cs="Arial" w:eastAsia="Arial" w:hAnsi="Arial"/>
          <w:sz w:val="18"/>
          <w:szCs w:val="18"/>
          <w:color w:val="auto"/>
        </w:rPr>
        <w:t xml:space="preserve"> </w:t>
      </w:r>
      <w:r>
        <w:rPr>
          <w:rFonts w:ascii="Arial" w:cs="Arial" w:eastAsia="Arial" w:hAnsi="Arial"/>
          <w:sz w:val="18"/>
          <w:szCs w:val="18"/>
          <w:i w:val="1"/>
          <w:iCs w:val="1"/>
          <w:color w:val="auto"/>
        </w:rPr>
        <w:t>Additional Information.</w:t>
      </w:r>
      <w:r>
        <w:rPr>
          <w:rFonts w:ascii="Arial" w:cs="Arial" w:eastAsia="Arial" w:hAnsi="Arial"/>
          <w:sz w:val="18"/>
          <w:szCs w:val="18"/>
          <w:color w:val="auto"/>
        </w:rPr>
        <w: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obtained the industry and market data used throughout this prospectus from our own internal estimates and research, as well as from independent market research, industry and general publications and surveys, governmental agencies, publicly available information and research, surveys and studies conducted by third parties. Internal estimates are derived from publicly available information released by industry analysts and third-party sources, our internal research and our industry experience, and are based on assumptions made by us based on such data and our knowledge of our industry and market, which we believe to be reasonable. In some cases, we do not expressly refer to the sources from which this data is derived. In addition, while we believe the industry and market data included in this prospectus is reliable and based on reasonable assumptions, such data involve material risks and other uncertainties and are subject to change based on various factors, including those discussed in the section entitled “</w:t>
      </w:r>
      <w:r>
        <w:rPr>
          <w:rFonts w:ascii="Arial" w:cs="Arial" w:eastAsia="Arial" w:hAnsi="Arial"/>
          <w:sz w:val="16"/>
          <w:szCs w:val="16"/>
          <w:i w:val="1"/>
          <w:iCs w:val="1"/>
          <w:color w:val="auto"/>
        </w:rPr>
        <w:t>Risk Factors</w:t>
      </w:r>
      <w:r>
        <w:rPr>
          <w:rFonts w:ascii="Arial" w:cs="Arial" w:eastAsia="Arial" w:hAnsi="Arial"/>
          <w:sz w:val="16"/>
          <w:szCs w:val="16"/>
          <w:color w:val="auto"/>
        </w:rPr>
        <w:t>.” These and other factors could cause results to differ materially from those expressed in the estimates made by the independent parties or by us.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right="340"/>
        <w:spacing w:after="0" w:line="301" w:lineRule="auto"/>
        <w:rPr>
          <w:sz w:val="20"/>
          <w:szCs w:val="20"/>
          <w:color w:val="auto"/>
        </w:rPr>
      </w:pPr>
      <w:r>
        <w:rPr>
          <w:rFonts w:ascii="Arial" w:cs="Arial" w:eastAsia="Arial" w:hAnsi="Arial"/>
          <w:sz w:val="16"/>
          <w:szCs w:val="16"/>
          <w:color w:val="auto"/>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539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17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i w:val="1"/>
          <w:iCs w:val="1"/>
          <w:color w:val="auto"/>
        </w:rPr>
        <w:t>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the sections titled “Risk Factors,” “Business,” and “Management’s Discussion and Analysis of Financial Condition and Results of Operations” included elsewhere in this prospectus.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proteome analysis platform of extreme sensitivity and scale. To accomplish this, we have built a prototype of our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4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2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34"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025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complexity of the human proteome were as simple and easy as detecting an entire human genome, we believe a new set of questions could be asked:</w:t>
      </w:r>
    </w:p>
    <w:p>
      <w:pPr>
        <w:spacing w:after="0" w:line="117" w:lineRule="exact"/>
        <w:rPr>
          <w:sz w:val="20"/>
          <w:szCs w:val="20"/>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What specific patterns of protein modifications are present in disease, and why?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24"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As of the date of filing this prospectus, we have partnerships with Genentech, Amgen, and The University of Texas MD Anderson Cancer Research Center.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massively parallel single protein molecule detection, accompanied by consumable reagents and analysis software, in direct sales to customers across academia and industry. The launch of our proteome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2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December 31, 2021, we were comprised of approximately 113 employees, with 36 of such employees holding a Ph.D. Our organization is driven by the pursuit of deep, hard science, and our Scientific Advisory Board is comprised of world-renowned scientific leaders that support our vision.</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402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investor relations website is located at http://www.nautilus.bio/investors/. We use our investor relations website to post important information for investors, including news releases, analyst presentations, and supplemental financial information, and as a means of disclosing material non-public information and for complying with its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75"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On June 9, 2021 (the “Closing Date”), Nautilus Biotechnology, Inc., a Delaware corporation (f/k/a ARYA Sciences Acquisition Corp III, a Cayman Islands exempted company and our predecessor company (“ARYA”)) (the “Company”), consummated the previously announced merger pursuant to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07"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Pursuant to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subsidiaries, “New Nautilus” or “Nautilus”) and (ii) Mako Merger Sub merged with and into Legacy Nautilus (the “Merger” and collectively, with the other transactions described in the Business Combination Agreement, the “Business Combination”), with Legacy Nautilus as the surviving company in the Merger and, after giving effect to such Merger, Legacy Nautilus becoming a wholly-owned subsidiary of New Nautilus. As of the open of trading on June 10, 2021, the Common Stock of the Company, formerly those of ARYA, began trading on The Nasdaq Global Select Market (“Nasdaq”) under the symbol “NAUT.”</w:t>
      </w:r>
    </w:p>
    <w:p>
      <w:pPr>
        <w:spacing w:after="0" w:line="11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principal executive offices are located at 2701 Eastlake Avenue East, Seattle, WA 98102, and our telephone number is (206) 333-2001.</w:t>
      </w:r>
    </w:p>
    <w:p>
      <w:pPr>
        <w:spacing w:after="0" w:line="116"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Our website address is http://www.nautilus.bio. The information on, or that can be accessed through, our website is not part of this prospectus, and you should not consider information contained on our website in deciding whether to purchase shares of our Common Stock. We have included our website address in this prospectus solely as an inactive textual reference.</w:t>
      </w:r>
    </w:p>
    <w:p>
      <w:pPr>
        <w:spacing w:after="0" w:line="11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use the Nautilus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a trademark symbol,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10"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(the “JOBS Act”). We will remain an emerging growth company until the earliest to occur of: the last day of the fiscal year in which we have more than $1.07 billion in annual revenues; the date we qualify as a “large accelerated filer,” with at least $700 million of equity securities held by non-affiliates; the issuance, in any three-year period, by us of more than $1.0 billion in non-convertible debt securities; and the last day of the fiscal year ending after the fifth anniversary of ARYA’s initial public offering.</w:t>
      </w:r>
    </w:p>
    <w:p>
      <w:pPr>
        <w:spacing w:after="0" w:line="12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Section 107 of the JOBS Act provides that an emerging growth company can take advantage of the extended transition period provided in Section 7(a)(2)(B) of the Securities Act of 1933, as amended (the “Securities Act”), for complying with new or revised accounting standards. In other words, an emerging growth company can delay the adoption of certain accounting standards until those standards would otherwise apply to private companies. We have</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210185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80"/>
          </w:cols>
          <w:pgMar w:left="1000" w:top="1440" w:right="1019" w:bottom="1440" w:gutter="0" w:footer="0" w:header="0"/>
          <w:type w:val="continuous"/>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30816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308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later of the last day of the fiscal year in which (i) the market value of our ordinary shares held by non-affiliates exceeds $250 million as of the prior June 30, or (ii) our annual revenue exceeded $100 million during such completed fiscal year and the market value of our ordinary shares held by non-affiliates exceeds $700 million as of the prior June 30.</w:t>
      </w:r>
    </w:p>
    <w:p>
      <w:pPr>
        <w:spacing w:after="0" w:line="13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Unless expressly indicated or the context requires otherwise, the terms “Nautilus,” “New Nautilus,” the “Company,” the “Registrant,” “we,” “us” and “our” in this prospectus refer to Nautilus Biotechnology, Inc., the parent entity formerly named ARYA Sciences Acquisition Corp III, after giving effect to the Domestication and the Business Combination, and as renamed Nautilus Biotechnology, Inc., and where appropriate, our wholly-owned subsidiaries (including Legacy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00" w:top="1440" w:right="105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090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090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9840"/>
          </w:cols>
          <w:pgMar w:left="1000" w:top="1440" w:right="1059" w:bottom="1440" w:gutter="0" w:footer="0" w:header="0"/>
        </w:sectPr>
      </w:pPr>
    </w:p>
    <w:p>
      <w:pPr>
        <w:spacing w:after="0" w:line="239" w:lineRule="exact"/>
        <w:rPr>
          <w:sz w:val="20"/>
          <w:szCs w:val="20"/>
          <w:color w:val="auto"/>
        </w:rPr>
      </w:pPr>
    </w:p>
    <w:p>
      <w:pPr>
        <w:ind w:left="20"/>
        <w:spacing w:after="0" w:line="235" w:lineRule="auto"/>
        <w:rPr>
          <w:sz w:val="20"/>
          <w:szCs w:val="20"/>
          <w:color w:val="auto"/>
        </w:rPr>
      </w:pPr>
      <w:r>
        <w:rPr>
          <w:rFonts w:ascii="Arial" w:cs="Arial" w:eastAsia="Arial" w:hAnsi="Arial"/>
          <w:sz w:val="18"/>
          <w:szCs w:val="18"/>
          <w:color w:val="auto"/>
        </w:rPr>
        <w:t>Shares of Common Stock Offered Hereunder</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ind w:right="40"/>
        <w:spacing w:after="0" w:line="212" w:lineRule="auto"/>
        <w:rPr>
          <w:sz w:val="20"/>
          <w:szCs w:val="20"/>
          <w:color w:val="auto"/>
        </w:rPr>
      </w:pPr>
      <w:r>
        <w:rPr>
          <w:rFonts w:ascii="Arial" w:cs="Arial" w:eastAsia="Arial" w:hAnsi="Arial"/>
          <w:sz w:val="18"/>
          <w:szCs w:val="18"/>
          <w:color w:val="auto"/>
        </w:rPr>
        <w:t>We are registering the resale by the selling securityholders named in this prospectus, or their permitted transferees, an aggregate of 95,645,056 shares of Common Stock consisting of (a) 20,000,000 shares of Common Stock issued in the PIPE Financing, (b) 4,286,500 shares of Common Stock issued in connection with the Domestication, (c) 69,655,827 shares of Common Stock issued in connection with the Business Combination and (d) 1,702,729 shares of Common Stock issuable upon the exercise of certain outstanding options to purchase Common Stock.</w:t>
      </w:r>
    </w:p>
    <w:p>
      <w:pPr>
        <w:spacing w:after="0" w:line="200" w:lineRule="exact"/>
        <w:rPr>
          <w:sz w:val="20"/>
          <w:szCs w:val="20"/>
          <w:color w:val="auto"/>
        </w:rPr>
      </w:pPr>
    </w:p>
    <w:p>
      <w:pPr>
        <w:sectPr>
          <w:pgSz w:w="11900" w:h="16838" w:orient="portrait"/>
          <w:cols w:equalWidth="0" w:num="2">
            <w:col w:w="2460" w:space="580"/>
            <w:col w:w="6800"/>
          </w:cols>
          <w:pgMar w:left="1000" w:top="1440" w:right="1059" w:bottom="1440" w:gutter="0" w:footer="0" w:header="0"/>
          <w:type w:val="continuous"/>
        </w:sectPr>
      </w:pPr>
    </w:p>
    <w:p>
      <w:pPr>
        <w:spacing w:after="0" w:line="73" w:lineRule="exact"/>
        <w:rPr>
          <w:sz w:val="20"/>
          <w:szCs w:val="20"/>
          <w:color w:val="auto"/>
        </w:rPr>
      </w:pPr>
    </w:p>
    <w:p>
      <w:pPr>
        <w:ind w:left="20"/>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jc w:val="both"/>
        <w:ind w:right="120"/>
        <w:spacing w:after="0" w:line="237" w:lineRule="auto"/>
        <w:rPr>
          <w:sz w:val="20"/>
          <w:szCs w:val="20"/>
          <w:color w:val="auto"/>
        </w:rPr>
      </w:pPr>
      <w:r>
        <w:rPr>
          <w:rFonts w:ascii="Arial" w:cs="Arial" w:eastAsia="Arial" w:hAnsi="Arial"/>
          <w:sz w:val="17"/>
          <w:szCs w:val="17"/>
          <w:color w:val="auto"/>
        </w:rPr>
        <w:t>We will not receive any proceeds from the sale of our shares of common stock offered by the selling securityholders under this prospectus (the “Securities”). See the section titled “</w:t>
      </w:r>
      <w:r>
        <w:rPr>
          <w:rFonts w:ascii="Arial" w:cs="Arial" w:eastAsia="Arial" w:hAnsi="Arial"/>
          <w:sz w:val="17"/>
          <w:szCs w:val="17"/>
          <w:i w:val="1"/>
          <w:iCs w:val="1"/>
          <w:color w:val="auto"/>
        </w:rPr>
        <w:t>Use of</w:t>
      </w:r>
      <w:r>
        <w:rPr>
          <w:rFonts w:ascii="Arial" w:cs="Arial" w:eastAsia="Arial" w:hAnsi="Arial"/>
          <w:sz w:val="17"/>
          <w:szCs w:val="17"/>
          <w:color w:val="auto"/>
        </w:rPr>
        <w:t xml:space="preserve"> </w:t>
      </w:r>
      <w:r>
        <w:rPr>
          <w:rFonts w:ascii="Arial" w:cs="Arial" w:eastAsia="Arial" w:hAnsi="Arial"/>
          <w:sz w:val="17"/>
          <w:szCs w:val="17"/>
          <w:i w:val="1"/>
          <w:iCs w:val="1"/>
          <w:color w:val="auto"/>
        </w:rPr>
        <w:t>Proceeds</w:t>
      </w:r>
      <w:r>
        <w:rPr>
          <w:rFonts w:ascii="Arial" w:cs="Arial" w:eastAsia="Arial" w:hAnsi="Arial"/>
          <w:sz w:val="17"/>
          <w:szCs w:val="17"/>
          <w:color w:val="auto"/>
        </w:rPr>
        <w:t>” appearing elsewhere in this prospectus for more information.</w:t>
      </w:r>
    </w:p>
    <w:p>
      <w:pPr>
        <w:spacing w:after="0" w:line="200" w:lineRule="exact"/>
        <w:rPr>
          <w:sz w:val="20"/>
          <w:szCs w:val="20"/>
          <w:color w:val="auto"/>
        </w:rPr>
      </w:pPr>
    </w:p>
    <w:p>
      <w:pPr>
        <w:sectPr>
          <w:pgSz w:w="11900" w:h="16838" w:orient="portrait"/>
          <w:cols w:equalWidth="0" w:num="2">
            <w:col w:w="2320" w:space="720"/>
            <w:col w:w="6800"/>
          </w:cols>
          <w:pgMar w:left="1000" w:top="1440" w:right="1059" w:bottom="1440" w:gutter="0" w:footer="0" w:header="0"/>
          <w:type w:val="continuous"/>
        </w:sectPr>
      </w:pPr>
    </w:p>
    <w:p>
      <w:pPr>
        <w:spacing w:after="0" w:line="71"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Common Stock Outstanding</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124,425,923 shares of Common Stock as of January 31, 2022.</w:t>
      </w:r>
    </w:p>
    <w:p>
      <w:pPr>
        <w:spacing w:after="0" w:line="200" w:lineRule="exact"/>
        <w:rPr>
          <w:sz w:val="20"/>
          <w:szCs w:val="20"/>
          <w:color w:val="auto"/>
        </w:rPr>
      </w:pPr>
    </w:p>
    <w:p>
      <w:pPr>
        <w:sectPr>
          <w:pgSz w:w="11900" w:h="16838" w:orient="portrait"/>
          <w:cols w:equalWidth="0" w:num="2">
            <w:col w:w="2320" w:space="720"/>
            <w:col w:w="6800"/>
          </w:cols>
          <w:pgMar w:left="1000" w:top="1440" w:right="1059" w:bottom="1440" w:gutter="0" w:footer="0" w:header="0"/>
          <w:type w:val="continuous"/>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220"/>
        <w:spacing w:after="0" w:line="224"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Risk Factors</w:t>
      </w:r>
      <w:r>
        <w:rPr>
          <w:rFonts w:ascii="Arial" w:cs="Arial" w:eastAsia="Arial" w:hAnsi="Arial"/>
          <w:sz w:val="18"/>
          <w:szCs w:val="18"/>
          <w:color w:val="auto"/>
        </w:rPr>
        <w:t>” and other information included in this prospectus for a discussion of factors that you should consider carefully before deciding to invest in our Common Stock.</w:t>
      </w:r>
    </w:p>
    <w:p>
      <w:pPr>
        <w:spacing w:after="0" w:line="200" w:lineRule="exact"/>
        <w:rPr>
          <w:sz w:val="20"/>
          <w:szCs w:val="20"/>
          <w:color w:val="auto"/>
        </w:rPr>
      </w:pPr>
    </w:p>
    <w:p>
      <w:pPr>
        <w:sectPr>
          <w:pgSz w:w="11900" w:h="16838" w:orient="portrait"/>
          <w:cols w:equalWidth="0" w:num="2">
            <w:col w:w="2320" w:space="720"/>
            <w:col w:w="6800"/>
          </w:cols>
          <w:pgMar w:left="1000" w:top="1440" w:right="1059" w:bottom="1440" w:gutter="0" w:footer="0" w:header="0"/>
          <w:type w:val="continuous"/>
        </w:sectPr>
      </w:pPr>
    </w:p>
    <w:p>
      <w:pPr>
        <w:spacing w:after="0" w:line="71" w:lineRule="exact"/>
        <w:rPr>
          <w:sz w:val="20"/>
          <w:szCs w:val="20"/>
          <w:color w:val="auto"/>
        </w:rPr>
      </w:pPr>
    </w:p>
    <w:p>
      <w:pPr>
        <w:ind w:left="20"/>
        <w:spacing w:after="0"/>
        <w:rPr>
          <w:sz w:val="20"/>
          <w:szCs w:val="20"/>
          <w:color w:val="auto"/>
        </w:rPr>
      </w:pPr>
      <w:r>
        <w:rPr>
          <w:rFonts w:ascii="Arial" w:cs="Arial" w:eastAsia="Arial" w:hAnsi="Arial"/>
          <w:sz w:val="15"/>
          <w:szCs w:val="15"/>
          <w:color w:val="auto"/>
        </w:rPr>
        <w:t>Nasdaq symbol</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“NAUT” for our Common Stock.</w:t>
      </w:r>
    </w:p>
    <w:p>
      <w:pPr>
        <w:spacing w:after="0" w:line="200" w:lineRule="exact"/>
        <w:rPr>
          <w:sz w:val="20"/>
          <w:szCs w:val="20"/>
          <w:color w:val="auto"/>
        </w:rPr>
      </w:pPr>
    </w:p>
    <w:p>
      <w:pPr>
        <w:sectPr>
          <w:pgSz w:w="11900" w:h="16838" w:orient="portrait"/>
          <w:cols w:equalWidth="0" w:num="2">
            <w:col w:w="2320" w:space="720"/>
            <w:col w:w="6800"/>
          </w:cols>
          <w:pgMar w:left="1000" w:top="1440" w:right="1059" w:bottom="1440" w:gutter="0" w:footer="0" w:header="0"/>
          <w:type w:val="continuous"/>
        </w:sectPr>
      </w:pPr>
    </w:p>
    <w:p>
      <w:pPr>
        <w:spacing w:after="0" w:line="3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number of shares of Common Stock outstanding is based on 124,425,923 shares of Common Stock as of January 31, 2022 and excludes the following, in each case as of January 31, 2022:</w:t>
      </w:r>
    </w:p>
    <w:p>
      <w:pPr>
        <w:spacing w:after="0" w:line="116" w:lineRule="exact"/>
        <w:rPr>
          <w:sz w:val="20"/>
          <w:szCs w:val="20"/>
          <w:color w:val="auto"/>
        </w:rPr>
      </w:pPr>
    </w:p>
    <w:p>
      <w:pPr>
        <w:ind w:left="640" w:right="220" w:hanging="322"/>
        <w:spacing w:after="0" w:line="286" w:lineRule="auto"/>
        <w:tabs>
          <w:tab w:leader="none" w:pos="635" w:val="left"/>
        </w:tabs>
        <w:numPr>
          <w:ilvl w:val="0"/>
          <w:numId w:val="2"/>
        </w:numPr>
        <w:rPr>
          <w:rFonts w:ascii="Arial" w:cs="Arial" w:eastAsia="Arial" w:hAnsi="Arial"/>
          <w:sz w:val="17"/>
          <w:szCs w:val="17"/>
          <w:color w:val="auto"/>
        </w:rPr>
      </w:pPr>
      <w:r>
        <w:rPr>
          <w:rFonts w:ascii="Arial" w:cs="Arial" w:eastAsia="Arial" w:hAnsi="Arial"/>
          <w:sz w:val="17"/>
          <w:szCs w:val="17"/>
          <w:color w:val="auto"/>
        </w:rPr>
        <w:t>6,394,518 shares of our Common Stock issuable upon the exercise of outstanding options under the Nautilus Subsidiary, Inc. 2017 Equity Incentive Plan (the “2017 Plan”) as of such date, which were assumed by the Company in connection with the Business Combination, with a weighted average exercise price of $3.54 per share;</w:t>
      </w:r>
    </w:p>
    <w:p>
      <w:pPr>
        <w:spacing w:after="0" w:line="111" w:lineRule="exact"/>
        <w:rPr>
          <w:rFonts w:ascii="Arial" w:cs="Arial" w:eastAsia="Arial" w:hAnsi="Arial"/>
          <w:sz w:val="17"/>
          <w:szCs w:val="17"/>
          <w:color w:val="auto"/>
        </w:rPr>
      </w:pPr>
    </w:p>
    <w:p>
      <w:pPr>
        <w:ind w:left="640" w:hanging="322"/>
        <w:spacing w:after="0" w:line="277"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2,028,517 shares of our Common Stock issuable upon the exercise of outstanding options under our 2021 Equity Incentive Plan (the “2021 Plan”), with a weighted average exercise price of $8.18 per share;</w:t>
      </w:r>
    </w:p>
    <w:p>
      <w:pPr>
        <w:spacing w:after="0" w:line="116" w:lineRule="exact"/>
        <w:rPr>
          <w:rFonts w:ascii="Arial" w:cs="Arial" w:eastAsia="Arial" w:hAnsi="Arial"/>
          <w:sz w:val="18"/>
          <w:szCs w:val="18"/>
          <w:color w:val="auto"/>
        </w:rPr>
      </w:pPr>
    </w:p>
    <w:p>
      <w:pPr>
        <w:ind w:left="640" w:right="100" w:hanging="322"/>
        <w:spacing w:after="0" w:line="277"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20,700,818 shares of our Common Stock reserved for future issuance under our 2021 Equity Incentive Plan (the “2021 Plan”); and</w:t>
      </w:r>
    </w:p>
    <w:p>
      <w:pPr>
        <w:spacing w:after="0" w:line="116" w:lineRule="exact"/>
        <w:rPr>
          <w:rFonts w:ascii="Arial" w:cs="Arial" w:eastAsia="Arial" w:hAnsi="Arial"/>
          <w:sz w:val="18"/>
          <w:szCs w:val="18"/>
          <w:color w:val="auto"/>
        </w:rPr>
      </w:pPr>
    </w:p>
    <w:p>
      <w:pPr>
        <w:ind w:left="640" w:right="540" w:hanging="322"/>
        <w:spacing w:after="0" w:line="277" w:lineRule="auto"/>
        <w:tabs>
          <w:tab w:leader="none" w:pos="635" w:val="left"/>
        </w:tabs>
        <w:numPr>
          <w:ilvl w:val="0"/>
          <w:numId w:val="2"/>
        </w:numPr>
        <w:rPr>
          <w:rFonts w:ascii="Arial" w:cs="Arial" w:eastAsia="Arial" w:hAnsi="Arial"/>
          <w:sz w:val="18"/>
          <w:szCs w:val="18"/>
          <w:color w:val="auto"/>
        </w:rPr>
      </w:pPr>
      <w:r>
        <w:rPr>
          <w:rFonts w:ascii="Arial" w:cs="Arial" w:eastAsia="Arial" w:hAnsi="Arial"/>
          <w:sz w:val="18"/>
          <w:szCs w:val="18"/>
          <w:color w:val="auto"/>
        </w:rPr>
        <w:t>2,487,930 shares of our Common Stock reserved for future issuance under our 2021 Employee Stock Purchase Plan (the “ESPP”).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-438785</wp:posOffset>
            </wp:positionH>
            <wp:positionV relativeFrom="paragraph">
              <wp:posOffset>173355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840"/>
          </w:cols>
          <w:pgMar w:left="1000" w:top="1440" w:right="1059" w:bottom="1440" w:gutter="0" w:footer="0" w:header="0"/>
          <w:type w:val="continuous"/>
        </w:sectPr>
      </w:pPr>
    </w:p>
    <w:bookmarkStart w:id="10" w:name="page11"/>
    <w:bookmarkEnd w:id="1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An investment in our Common Stock involves a high degree of risk. In addition to the risk and uncertainties described under the section titled “Cautionary Note Regarding Forward-Looking Statements,” you should consider carefully the risks and uncertainties described below, together with all of the other information contained in this prospectus, including our consolidated financial statements and related notes, before deciding to invest in our Common Stock. If any of the following events occur, our business, financial condition and operating results may be materially adversely affected. In that event, the trading price of our Common Stock could decline, and you could lose all or part of your investment. The risks and uncertainties described below are not the only ones we face. Additional risks and uncertainties that we are unaware of, or that we currently believe are not material, may also become important factors that adversely affect our business or results of operations.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Risk Factors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business is subject to numerous risks and uncertainties that you should consider before investing in our company, as more fully described below. The principal factors and uncertainties that make investing in our company risky include, among others: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left="660" w:right="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development stage company that has incurred net losses in every period to date, has not yet commercialized any products, and expects to continue to incur significant losses as we develop our business.</w:t>
      </w:r>
    </w:p>
    <w:p>
      <w:pPr>
        <w:spacing w:after="0" w:line="116" w:lineRule="exact"/>
        <w:rPr>
          <w:rFonts w:ascii="Arial" w:cs="Arial" w:eastAsia="Arial" w:hAnsi="Arial"/>
          <w:sz w:val="18"/>
          <w:szCs w:val="18"/>
          <w:color w:val="auto"/>
        </w:rPr>
      </w:pPr>
    </w:p>
    <w:p>
      <w:pPr>
        <w:ind w:left="660" w:right="280" w:hanging="32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is entirely dependent on the successful development and commercialization of our proteomics platform (the “Nautilus platform”), which remains in the development stage and could be subject to delays, technical challenges and market acceptance challenges.</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compete successfully with our initial or future products in the highly competitive life sciences technology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upon third parties for certain aspects of the development and commercialization of the Nautilus platform.</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depends significantly on research and development spending by pharmaceutical companies as well as by academic institutions and other research institutions and any reduction in spending could limit demand for our products.</w:t>
      </w:r>
    </w:p>
    <w:p>
      <w:pPr>
        <w:spacing w:after="0" w:line="116" w:lineRule="exact"/>
        <w:rPr>
          <w:rFonts w:ascii="Arial" w:cs="Arial" w:eastAsia="Arial" w:hAnsi="Arial"/>
          <w:sz w:val="18"/>
          <w:szCs w:val="18"/>
          <w:color w:val="auto"/>
        </w:rPr>
      </w:pPr>
    </w:p>
    <w:p>
      <w:pPr>
        <w:ind w:left="660" w:right="9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be able to launch our Nautilus platform successfully and even if it is successful, we may experience material delays in our commercialization program relative to current expectations.</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may fluctuate significantly in the future, which makes our future operating results difficult to predict and could cause our operating results to fall below expectations or our guidance.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need to raise additional capital to fund our development and commercialization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ind w:left="660" w:right="280" w:hanging="328"/>
        <w:spacing w:after="0" w:line="263"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and proprietary rights throughout the world.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Litigation</w:t>
      </w:r>
    </w:p>
    <w:p>
      <w:pPr>
        <w:spacing w:after="0" w:line="175" w:lineRule="exact"/>
        <w:rPr>
          <w:sz w:val="20"/>
          <w:szCs w:val="20"/>
          <w:color w:val="auto"/>
        </w:rPr>
      </w:pPr>
    </w:p>
    <w:p>
      <w:pPr>
        <w:ind w:left="660" w:right="60" w:hanging="328"/>
        <w:spacing w:after="0" w:line="27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become involved in litigation to enforce or defend our intellectual property rights, or to defend ourselves from claims that we infringe the intellectual property rights of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4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may face liability and/or negative publicity for any unknown defects or errors in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products may, in the future, be subject to regulation by the FDA or other regulatory authorities.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currently subject to, and may in the future become subject to additional, U.S. federal and state laws and regulations, as well as the laws and regulations of other countries, relating to how we collect, store and processes personal information.</w:t>
      </w:r>
    </w:p>
    <w:p>
      <w:pPr>
        <w:spacing w:after="0" w:line="116" w:lineRule="exact"/>
        <w:rPr>
          <w:rFonts w:ascii="Arial" w:cs="Arial" w:eastAsia="Arial" w:hAnsi="Arial"/>
          <w:sz w:val="18"/>
          <w:szCs w:val="18"/>
          <w:color w:val="auto"/>
        </w:rPr>
      </w:pPr>
    </w:p>
    <w:p>
      <w:pPr>
        <w:ind w:left="660" w:right="660" w:hanging="328"/>
        <w:spacing w:after="0" w:line="308"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Future expansion of our development and commercialization activities outside of the United States, may subject us to an increased risk of inadvertently conducting activities in a manner that violates the U.S. Foreign Corrupt Practices Act and similar laws.</w:t>
      </w:r>
    </w:p>
    <w:p>
      <w:pPr>
        <w:spacing w:after="0" w:line="92" w:lineRule="exact"/>
        <w:rPr>
          <w:rFonts w:ascii="Arial" w:cs="Arial" w:eastAsia="Arial" w:hAnsi="Arial"/>
          <w:sz w:val="17"/>
          <w:szCs w:val="17"/>
          <w:color w:val="auto"/>
        </w:rPr>
      </w:pPr>
    </w:p>
    <w:p>
      <w:pPr>
        <w:ind w:left="660" w:right="24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and health safety laws, including any failure to comply with such laws, may result in liabilities, expenses and restrictions on our operations.</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experience a significant disruption in our information technology systems or breaches of data security.</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highly dependent on our key personnel, and if we are unable to recruit and retain key executives and scientists, we may not be able to achieve our goals.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operations and financial results could be adversely impacted by the COVID-19 pandemic in the United States and the rest of the world.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Global supply chain interruptions may negatively impact the development and commercialization of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ind w:left="660" w:right="4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of and market for our Common Stock may be volatile, which could result in substantial losses for investors and/or an inability to readily trade in our Common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will incur significant increased costs and management resources as a result of operating as a public company.</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Reports published by analysts, including projections in those reports that differ from our actual results, could adversely affect the price and trading volume of our common shares.</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timely and accurately report our financial results and projections as a public company may be impacted by the effectiveness of our internal controls, and our estimates and judgments relating to critical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 w:name="page13"/>
    <w:bookmarkEnd w:id="1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are a development stage company that has incurred net losses in every period to date, has not yet commercialized any products, and expects to continue to incur significant losses as we develop our business. We may never achieve profitability.</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$50.3 million, $15.6 million and $9.6 million during the years ended December 31, 2021, 2020 and 2019, respectively. As of December 31, 2021, we had an accumulated deficit of $80.6 million. These losses and accumulated deficit were primarily due to the substantial investments we made in the scientific and technological development of our Nautilus platform. We expect to incur substantial losses and negative cash flows for the foreseeable future. In addition, as a public company, we will incur significant legal, accounting, and other expenses that we did not incur as a private company. These increased expenses will make it harder for us to achieve and sustain future profitability. We may incur significant losses in the future for a number of reasons, many of which are beyond our control, including the other risks described in this prospectus.</w:t>
      </w:r>
    </w:p>
    <w:p>
      <w:pPr>
        <w:spacing w:after="0" w:line="12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Our business is entirely dependent on the success of our Nautilus platform, which remains in the development stage and subject to scientific and technical validation. If we are unable to develop and commercialize our Nautilus platform successfully and in a manner that provides currently anticipated functionality and levels of performance, we may never be able to recognize any revenue, and our business, operating results, and financial condition will suffer.</w:t>
      </w:r>
    </w:p>
    <w:p>
      <w:pPr>
        <w:spacing w:after="0" w:line="13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future success is entirely dependent on our ability to successfully develop and commercialize our Nautilus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platform. Additionally, in developing our platform technology, we may rely on co-development partners to assist us in the development of certain component technologies in our platform. These partners may not be successful in delivering these component technologies on time, to our specifications, or at all, which could have an adverse impact on our ability to meet our development timelines, and/or our products’ level of currently anticipated functionality and performance. While our goal is to leverage our Nautilus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fail to deliver currently anticipated functionality and levels of performance, if our products are found by a court of law to infringe the intellectual property of another party, or if we are unable to obtain broad scientific and market acceptance of our products and technologies, we may never recognize material revenue and may be unable to continue our operations.</w:t>
      </w:r>
    </w:p>
    <w:p>
      <w:pPr>
        <w:spacing w:after="0" w:line="125"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We have not yet commercially launched our Nautilus platform. We may not be able to launch our Nautilus platform successfully and even if it is successful, we may experience material delays in our commercialization program relative to current expectations.</w:t>
      </w:r>
    </w:p>
    <w:p>
      <w:pPr>
        <w:spacing w:after="0" w:line="92"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We anticipate commercializing our Nautilus platform in three phases involving first collaboration with biopharmaceutical companies and key opinion leaders to validate the performance and utility of our product, during which we do not expect to recognize significant revenue, if any; secondly an early access limited release phase in which we expect to recognize limited revenue; and finally a broader commercial launch phase.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this phase, we plan to provide early access program partners with broad-scale analysis and profiling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samples analyzed in its facility and shared via a cloud platform. We do not anticipate that these activities will result in any material revenue. During this phase, we expect to work closely with early access customers to demonstrate a unique value proposition for our Nautilus platform. We expect this second phase to lead into the third phase of broad commercialization by the end of 2023. We do not expect to realize any material revenue prior to the second half of 2023.</w:t>
      </w:r>
    </w:p>
    <w:p>
      <w:pPr>
        <w:spacing w:after="0" w:line="13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or that they will be completed within the timelines currently anticipated. Given the scientific and technical complexity of our products, we could experience material delays in product development and commercial launch. If our research and product development efforts do not result in commercially viable products within the anticipated timelines, our business, operating results, and financial condition will be adversely affected.</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spacing w:after="0" w:line="133"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our commercialization strategy. While early collaborations are expected to focus on the assessment and validation of our Nautilus 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platform.</w:t>
      </w:r>
    </w:p>
    <w:p>
      <w:pPr>
        <w:spacing w:after="0" w:line="12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spacing w:after="0" w:line="123"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Even if we are successful in entering into collaborations, the success of such collaborations will depend heavily on the efforts and activities of our collaborators.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Scientific collaborations of the nature we propose to pursue are subject to numerous risks, including that:</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71" w:lineRule="exact"/>
        <w:rPr>
          <w:rFonts w:ascii="Arial" w:cs="Arial" w:eastAsia="Arial" w:hAnsi="Arial"/>
          <w:sz w:val="18"/>
          <w:szCs w:val="18"/>
          <w:color w:val="auto"/>
        </w:rPr>
      </w:pPr>
    </w:p>
    <w:p>
      <w:pPr>
        <w:ind w:left="660" w:right="760" w:hanging="328"/>
        <w:spacing w:after="0" w:line="311"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94" w:lineRule="exact"/>
        <w:rPr>
          <w:rFonts w:ascii="Arial" w:cs="Arial" w:eastAsia="Arial" w:hAnsi="Arial"/>
          <w:sz w:val="16"/>
          <w:szCs w:val="16"/>
          <w:color w:val="auto"/>
        </w:rPr>
      </w:pPr>
    </w:p>
    <w:p>
      <w:pPr>
        <w:ind w:left="660" w:right="8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our collaboration with them, and in such cases, we would not have the right to develop or commercialize such 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 w:name="page15"/>
    <w:bookmarkEnd w:id="14"/>
    <w:p>
      <w:pPr>
        <w:spacing w:after="0" w:line="144" w:lineRule="exact"/>
        <w:rPr>
          <w:sz w:val="20"/>
          <w:szCs w:val="20"/>
          <w:color w:val="auto"/>
        </w:rPr>
      </w:pPr>
    </w:p>
    <w:p>
      <w:pPr>
        <w:ind w:left="660" w:right="2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our collaboration with them, and in such cases, we would not have the right to exclude others from developing or commercializing such intellectual property;</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us;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could grant exclusive rights to our collaborators that would prevent us from collaborating with others;</w:t>
      </w:r>
    </w:p>
    <w:p>
      <w:pPr>
        <w:spacing w:after="0" w:line="171" w:lineRule="exact"/>
        <w:rPr>
          <w:rFonts w:ascii="Arial" w:cs="Arial" w:eastAsia="Arial" w:hAnsi="Arial"/>
          <w:sz w:val="18"/>
          <w:szCs w:val="18"/>
          <w:color w:val="auto"/>
        </w:rPr>
      </w:pPr>
    </w:p>
    <w:p>
      <w:pPr>
        <w:jc w:val="both"/>
        <w:ind w:left="660" w:right="160" w:hanging="328"/>
        <w:spacing w:after="0" w:line="263"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129"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products or that result in costly litigation or arbitration that diverts management attention and resources;</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our revenue, may reduce exposure to research and clinical trials that facilitate the collection and incorporation of new information into our platform; and</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16"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we are able to complete development of our Nautilus platform, we may not achieve or maintain significant commercial market acceptance.</w:t>
      </w:r>
    </w:p>
    <w:p>
      <w:pPr>
        <w:spacing w:after="0" w:line="194"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Even if we are able to complete development of our Nautilus 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platform relative to existing technologies and to validate our Nautilus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platform takes longer than anticipated or does not occur, our business will be materially and adversely affected.</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platform in peer-reviewed journal publications 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 w:name="page16"/>
    <w:bookmarkEnd w:id="15"/>
    <w:p>
      <w:pPr>
        <w:spacing w:after="0" w:line="14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be critical to our ability to obtain widespread acceptance within the scientific community. In addition, 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Specific, material factors that will influence our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marketing and engagement initiatives to increase awareness of the capabilities of our Nautilus platform;</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of our Nautilus platform to demonstrate reliable performance in intended use applications, in particular, when the platform is used by customers in their own research;</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demonstrate that the functionality and performance of our Nautilus platform relative to alternative products and technologies justifies the substantial anticipated cost of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ease of use of our Nautilus platform and whether it reliably provides significant advantages over alternative products and technologies;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rate of adoption of our Nautilus platform by biopharmaceutical companies, laboratories, academic institutions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develop new products, workflows, and solutions that meet customer requirements;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our Nautilus platform;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impact of our investments in product innovation and commercial growth.</w:t>
      </w:r>
    </w:p>
    <w:p>
      <w:pPr>
        <w:spacing w:after="0" w:line="17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We cannot assure you that we will be successful in addressing any of these criteria or any additional criteria that might affect the market acceptance of our products. If we are unsuccessful in achieving and maintaining market acceptance of our Nautilus platform, our business, financial condition and results of operations would be adversely affected.</w:t>
      </w:r>
    </w:p>
    <w:p>
      <w:pPr>
        <w:spacing w:after="0" w:line="13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We have no experience in manufacturing our products at commercial scale. If we are unable to establish manufacturing capacity by ourselves or with partners in a timely manner after completing development, commercialization of our Nautilus platform would be delayed, which would result in lost revenue and harm our business.</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order for us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including our proteome analysis system and related consumables. Among other factors, we will need to develop reliable supply chains for the various components in our platform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6" w:name="page17"/>
    <w:bookmarkEnd w:id="16"/>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successful in the proteomics market. In addition, in connection with establishing third party relationships or sourcing component supplies, including with respect to reagents and antibodies, we may incur costs that are higher than currently expected and that may adversely affect our gross margins and operating results following commercialization. Assuming we complete development of our Nautilus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spacing w:after="0" w:line="1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establish an effective commercial organization, including effective distribution channels and sales and marketing functions, we may not be successful in commercializing our Nautilus platform.</w:t>
      </w:r>
    </w:p>
    <w:p>
      <w:pPr>
        <w:spacing w:after="0" w:line="1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only beginning to establish an internal organization focused specifically on the commercialization of our Nautilus 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platform. Accordingly, these initiatives will adversely affect our operating expenses prior to us having material off-setting revenue, if any.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To develop these functions successfully, we will face a number of additional risks, including:</w:t>
      </w:r>
    </w:p>
    <w:p>
      <w:pPr>
        <w:spacing w:after="0" w:line="171" w:lineRule="exact"/>
        <w:rPr>
          <w:sz w:val="20"/>
          <w:szCs w:val="20"/>
          <w:color w:val="auto"/>
        </w:rPr>
      </w:pPr>
    </w:p>
    <w:p>
      <w:pPr>
        <w:ind w:left="660" w:right="80" w:hanging="328"/>
        <w:spacing w:after="0" w:line="26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platform may not gain market acceptance, which could materially impact our business and results of operations.</w:t>
      </w:r>
    </w:p>
    <w:p>
      <w:pPr>
        <w:spacing w:after="0" w:line="12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The size of the markets for our Nautilus platform may be smaller than estimated, and new market opportunities may not develop as quickly as we expect, or at all, limiting our ability to successfully sell our products.</w:t>
      </w:r>
    </w:p>
    <w:p>
      <w:pPr>
        <w:spacing w:after="0" w:line="11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market for proteomics technologies and products is evolving, making it difficult to predict with any accuracy the size of the markets for our current and future products, including our Nautilus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4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spacing w:after="0" w:line="112"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are dependent on single source suppliers for some of the components and materials used in our Nautilus platform, and the loss of any of these suppliers could harm our business.</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rely on single source suppliers for certain components and materials used in our Nautilus platform, including our click-reagent modified oligos, glass that is nano-fabricated into our biochips and high-speed stage used in the instrument. The loss of any of these single source suppliers would require us to expend significant time and effort to locate and qualify an alternative source of supply for these components. Though we do not currently have contracts for third parties to provide manufacturing capabilities for our Nautilus platform,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spacing w:after="0" w:line="123"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we fail to compete effectively, our business and results of operation will suffer.</w:t>
      </w:r>
    </w:p>
    <w:p>
      <w:pPr>
        <w:spacing w:after="0" w:line="194"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face significant competition in the life sciences technology market. We currently compete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We also compete with a number of emerging companies that are developing proteomic products and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4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Some of our current competitors are large publicly-traded companies, or are divisions of large publicly-traded companies, and enjoy a number of competitive advantages over us, including:</w:t>
      </w:r>
    </w:p>
    <w:p>
      <w:pPr>
        <w:spacing w:after="0" w:line="116"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Any failure to compete effectively could materially and adversely affect our business, financial condition and operating results.</w:t>
      </w:r>
    </w:p>
    <w:p>
      <w:pPr>
        <w:spacing w:after="0" w:line="13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our Nautilus platform is commercialized and achieves broad scientific and market acceptance, if we fail to improve it or introduce compelling new products, our revenue and our prospects could be harmed.</w:t>
      </w:r>
    </w:p>
    <w:p>
      <w:pPr>
        <w:spacing w:after="0" w:line="116"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we are able to commercialize our Nautilus platform and achieve broad scientific and market acceptance, our ability to attract new customers and increase revenue from existing customers will depend in large part on our ability to enhance and improve our Nautilus platform and to introduce compelling new products. The success of any enhancement to our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platform that we develop may not be introduced in a timely or cost-effective manner, may contain defects, errors, vulnerabilities or bugs, or may not achieve the market acceptance necessary to generate significant revenue.</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spacing w:after="0" w:line="13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b w:val="1"/>
          <w:bCs w:val="1"/>
          <w:i w:val="1"/>
          <w:iCs w:val="1"/>
          <w:color w:val="auto"/>
        </w:rPr>
        <w:t>We rely on third parties for development of certain aspects of the Nautilus platform, and any failure of these third parties to perform their respective obligations in a timely manner or to our specifications could negatively impact our timelines, costs or product performance.</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are engaged with a number of third party collaborators who assist us in co-development of certain aspects of the Nautilus platform, including, for example, certain affinity reagents and array chip substrates. Our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19" w:name="page20"/>
    <w:bookmarkEnd w:id="19"/>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with these third party collaborators include obligations for these third parties to deliver certain aspects of technology to be used in the Nautilus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platform, its performance, or its cost.</w:t>
      </w:r>
    </w:p>
    <w:p>
      <w:pPr>
        <w:spacing w:after="0" w:line="138"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b w:val="1"/>
          <w:bCs w:val="1"/>
          <w:i w:val="1"/>
          <w:iCs w:val="1"/>
          <w:color w:val="auto"/>
        </w:rPr>
        <w:t>Our business will depend significantly on research and development spending by pharmaceutical companies as well as by academic institutions and other research institutions. Any reduction in spending could limit demand for our products and adversely affect our business, results of operations, financial condition and prospects.</w:t>
      </w:r>
    </w:p>
    <w:p>
      <w:pPr>
        <w:spacing w:after="0" w:line="13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expect that our revenue in the foreseeable future will be derived primarily from sales of our Nautilus 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platform. These reductions and delays may result from factors that are not within our control, such as:</w:t>
      </w:r>
    </w:p>
    <w:p>
      <w:pPr>
        <w:spacing w:after="0" w:line="11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spacing w:after="0" w:line="9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Our operating results may fluctuate significantly in the future, which makes our future operating results difficult to predict and could cause our operating results to fall below expectations or any guidance we may provide.</w:t>
      </w:r>
    </w:p>
    <w:p>
      <w:pPr>
        <w:spacing w:after="0" w:line="11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platform, specific factors that may result in fluctuations include, without limitation:</w:t>
      </w:r>
    </w:p>
    <w:p>
      <w:pPr>
        <w:spacing w:after="0" w:line="13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and commercialization activities relating to, our Nautilus platform;</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12"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4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successfully establish and successfully maintain appropriate collaborations and derive revenue from those collaborations;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successfully develop and commercialize our Nautilus platform on our anticipated timeline.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spacing w:after="0" w:line="116" w:lineRule="exact"/>
        <w:rPr>
          <w:sz w:val="20"/>
          <w:szCs w:val="20"/>
          <w:color w:val="auto"/>
        </w:rPr>
      </w:pPr>
    </w:p>
    <w:p>
      <w:pPr>
        <w:ind w:left="660" w:right="18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level of demand for any products we are able to commercialize, particularly our Nautilus platform, which may vary significantly from period to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drive adoption of our Nautilus platform in our target markets and our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that economic inflation may have on our costs for manufacturing our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prices at which we will be able to sell our Nautilus platform;</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volume and mix of our sales between consumables, instruments and software, or changes in the manufacturing or sales costs related to our products;</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amount of expenditures that we may incur to develop, commercialize or acquire additional products and technologies or for other purposes, such as the expansion of our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seasonal spending patterns of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when we recognize any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our business operations, and resources and operations of our customers, suppliers, and distributors; and</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our operating performance or the operating performance of our competitors.</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spacing w:after="0" w:line="13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our current business and the prospects for our future viability, and to predict our future performance.</w:t>
      </w:r>
    </w:p>
    <w:p>
      <w:pPr>
        <w:spacing w:after="0" w:line="11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are a life sciences technology company with a limited operating history. We have not completed development of our Nautilus platform or any other products and have not generated any revenue to date.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4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operations to date have been limited to developing our Nautilus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spacing w:after="0" w:line="13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need to raise additional capital to fund our development and commercialization plans.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our current plans, we believe that our available resources and existing cash, cash equivalents and short-term investments will be sufficient to meet our anticipated cash requirements for at least 12 months from the date of this prospectus. If our available resources and existing cash and cash equivalents and short-term investments are insufficient to satisfy our liquidity requirements, including because of the realization of other risks described in this prospectus, we may be required to raise additional capital prior to such time through issuances of equity or convertible debt securities, enter into a credit facility or another form of third-party funding or seek other debt financing.</w:t>
      </w:r>
    </w:p>
    <w:p>
      <w:pPr>
        <w:spacing w:after="0" w:line="13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may consider raising additional capital in the future to expand our business, to pursue strategic investments, to take advantage of financing or acquisition opportunities or for other reasons, including:</w:t>
      </w:r>
    </w:p>
    <w:p>
      <w:pPr>
        <w:spacing w:after="0" w:line="116"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funding development and marketing efforts of our Nautilus platform or any other future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increasing our sales and marketing and other commercialization efforts to drive market adoption of our Nautilus platform, once commercialized;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expanding our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Our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execution of our development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scope and timing of our investment in our sales, marketing, and distribution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we may make to our business that affect ongoing operating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we may make in our business or commercialization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2" w:name="page23"/>
    <w:bookmarkEnd w:id="22"/>
    <w:p>
      <w:pPr>
        <w:spacing w:after="0" w:line="14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we may make in our research and development spending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spacing w:after="0" w:line="13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7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spacing w:after="0" w:line="13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spacing w:after="0" w:line="13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future licensing arrangements with third parties, these patents and applications may not be prosecuted and enforced by such third parties in a manner consistent with the best interests of our business.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our existing patents or our ability to obtain patents in the future.</w:t>
      </w:r>
    </w:p>
    <w:p>
      <w:pPr>
        <w:spacing w:after="0" w:line="116"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spacing w:after="0" w:line="138" w:lineRule="exact"/>
        <w:rPr>
          <w:sz w:val="20"/>
          <w:szCs w:val="20"/>
          <w:color w:val="auto"/>
        </w:rPr>
      </w:pPr>
    </w:p>
    <w:p>
      <w:pPr>
        <w:ind w:right="260"/>
        <w:spacing w:after="0" w:line="273" w:lineRule="auto"/>
        <w:rPr>
          <w:sz w:val="20"/>
          <w:szCs w:val="20"/>
          <w:color w:val="auto"/>
        </w:rPr>
      </w:pPr>
      <w:r>
        <w:rPr>
          <w:rFonts w:ascii="Arial" w:cs="Arial" w:eastAsia="Arial" w:hAnsi="Arial"/>
          <w:sz w:val="17"/>
          <w:szCs w:val="17"/>
          <w:color w:val="auto"/>
        </w:rPr>
        <w:t>Various courts, including the U.S. Supreme Court, have recently rendered decisions that impact the scope of patentability of certain inventions or discoveries relating to our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spacing w:after="0" w:line="12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cannot assure you that our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7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Filing, prosecuting and defending patents on our Nautilus platform in all countries throughout the world would be prohibitively expensive, and our intellectual property rights in some countries outside the United States can be less extensive than those in the United States.</w:t>
      </w:r>
    </w:p>
    <w:p>
      <w:pPr>
        <w:spacing w:after="0" w:line="92"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4"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spacing w:after="0" w:line="12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spacing w:after="0" w:line="12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may become involved in lawsuits to defend against third-party claims of infringement, misappropriation or other violations of intellectual property or to protect or enforce our intellectual property, any of which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expensive, time consuming and unsuccessful, and may prevent or delay our development and commercialization efforts.</w:t>
      </w:r>
    </w:p>
    <w:p>
      <w:pPr>
        <w:spacing w:after="0" w:line="171"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spacing w:after="0" w:line="114"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spacing w:after="0" w:line="92"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spacing w:after="0" w:line="110"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our competitors and others may have patents or may in the future obtain patents and may claim that use of our products infringes these patents. As we move into new markets and applications for our products, incumbent participants in such markets may assert their patents and other proprietary rights against us as a means of slowing or preventing our entry into such markets, or as a means to extract substantial license and royalty payments from 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our products could be found invalid or unenforceable if challenged.</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Our owned and any future licensed patents and 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our patents in this or any other proceeding could result in the unenforceability or invalidity of such patents, which may lead to increased competition to our business, which could have a material adverse effect on our business, financial condition, results of operations and prospects. In addition, if we or any future 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6" w:name="page27"/>
    <w:bookmarkEnd w:id="26"/>
    <w:p>
      <w:pPr>
        <w:spacing w:after="0" w:line="14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spacing w:after="0" w:line="12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may not be aware of all third-party intellectual property rights potentially relating to our products. Publications of discoveries in the scientific literature often lag behind the actual discoveries, and patent applications in the United States and other jurisdictions are typically not published until approximately</w:t>
      </w:r>
    </w:p>
    <w:p>
      <w:pPr>
        <w:spacing w:after="0" w:line="286" w:lineRule="auto"/>
        <w:rPr>
          <w:sz w:val="20"/>
          <w:szCs w:val="20"/>
          <w:color w:val="auto"/>
        </w:rPr>
      </w:pPr>
      <w:r>
        <w:rPr>
          <w:rFonts w:ascii="Arial" w:cs="Arial" w:eastAsia="Arial" w:hAnsi="Arial"/>
          <w:sz w:val="16"/>
          <w:szCs w:val="16"/>
          <w:color w:val="auto"/>
        </w:rPr>
        <w:t>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spacing w:after="0" w:line="11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could be harmed.</w:t>
      </w:r>
    </w:p>
    <w:p>
      <w:pPr>
        <w:spacing w:after="0" w:line="11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rely heavily on trade secrets and confidentiality agreements to protect our unpatented know-how, technology and other proprietary information, including parts of our Nautilus 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4"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In addition to pursuing patents on our technology, we takes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spacing w:after="0" w:line="131"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outcome would be unpredictable. In addition, courts outside the United States may be less willing to protect trade secrets.</w:t>
      </w:r>
    </w:p>
    <w:p>
      <w:pPr>
        <w:spacing w:after="0" w:line="17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also seek to preserve the integrity and confidentiality of our confidential proprietary information by maintaining physical security of our premises and physical and electronic security of our information technology systems, but it is possible that these 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important to our Nautilus 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spacing w:after="0" w:line="13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not be able to protect and enforce our trademarks and trade names or build name recognition in our markets of interest thereby harming our competitive position.</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Nautilus platform for an adequate amount of time.</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spacing w:after="0" w:line="12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spacing w:after="0" w:line="13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spacing w:after="0" w:line="11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spacing w:after="0" w:line="9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spacing w:after="0" w:line="1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line="144"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spacing w:after="0" w:line="12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Furthermore, we or any future licensor may in the future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cannot license rights to use technologies on reasonable terms, we may not be able to commercialize new products in the future.</w:t>
      </w:r>
    </w:p>
    <w:p>
      <w:pPr>
        <w:spacing w:after="0" w:line="18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may identify third-party technology that we may need to license or acquire in order to develop or commercialize our products or technologies, including our Nautilus 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4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Our use of open source software and failure to comply with the terms of the underlying open source software licenses could impose limitations on our ability to commercialize our products and provide third parties to our proprietary software.</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1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16" w:lineRule="exact"/>
        <w:rPr>
          <w:sz w:val="20"/>
          <w:szCs w:val="20"/>
          <w:color w:val="auto"/>
        </w:rPr>
      </w:pPr>
    </w:p>
    <w:p>
      <w:pPr>
        <w:ind w:left="660" w:right="2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products and technologies we may develop or may be able to utilize similar technologies that are not covered by the claims of the patents that we own or licenses now or in the future;</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make the inventions covered by the issued patent or pending patent application that we license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or any future licensor(s), might not have been the first to file patent applications covering certain of our or their inventions;</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our owned or future licensed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license or own in the future will not lead to issued patents;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issued patents that we hold rights to may be held invalid or unenforceable, including as a result of legal challenges by our competitors;</w:t>
      </w:r>
    </w:p>
    <w:p>
      <w:pPr>
        <w:spacing w:after="0" w:line="182" w:lineRule="exact"/>
        <w:rPr>
          <w:rFonts w:ascii="Arial" w:cs="Arial" w:eastAsia="Arial" w:hAnsi="Arial"/>
          <w:sz w:val="17"/>
          <w:szCs w:val="17"/>
          <w:color w:val="auto"/>
        </w:rPr>
      </w:pPr>
    </w:p>
    <w:p>
      <w:pPr>
        <w:ind w:left="660" w:right="16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44" w:lineRule="exact"/>
        <w:rPr>
          <w:sz w:val="20"/>
          <w:szCs w:val="20"/>
          <w:color w:val="auto"/>
        </w:rPr>
      </w:pPr>
    </w:p>
    <w:p>
      <w:pPr>
        <w:ind w:left="660" w:right="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choose not to file a patent for certain trade secrets or know-how, and a third party may independently derive, use, commercialize, publish or patent such intellectual property.</w:t>
      </w:r>
    </w:p>
    <w:p>
      <w:pPr>
        <w:spacing w:after="0" w:line="116" w:lineRule="exact"/>
        <w:rPr>
          <w:sz w:val="20"/>
          <w:szCs w:val="20"/>
          <w:color w:val="auto"/>
        </w:rPr>
      </w:pPr>
    </w:p>
    <w:p>
      <w:pPr>
        <w:ind w:right="1040"/>
        <w:spacing w:after="0" w:line="438" w:lineRule="auto"/>
        <w:rPr>
          <w:sz w:val="20"/>
          <w:szCs w:val="20"/>
          <w:color w:val="auto"/>
        </w:rPr>
      </w:pPr>
      <w:r>
        <w:rPr>
          <w:rFonts w:ascii="Arial" w:cs="Arial" w:eastAsia="Arial" w:hAnsi="Arial"/>
          <w:sz w:val="18"/>
          <w:szCs w:val="18"/>
          <w:color w:val="auto"/>
        </w:rPr>
        <w:t xml:space="preserve">Should any of these events occur, they could materially adversely affect our business, financial condition, results of operations and prospects. </w:t>
      </w:r>
      <w:r>
        <w:rPr>
          <w:rFonts w:ascii="Arial" w:cs="Arial" w:eastAsia="Arial" w:hAnsi="Arial"/>
          <w:sz w:val="18"/>
          <w:szCs w:val="18"/>
          <w:b w:val="1"/>
          <w:bCs w:val="1"/>
          <w:color w:val="auto"/>
        </w:rPr>
        <w:t>Risks Related to Litigation</w:t>
      </w:r>
    </w:p>
    <w:p>
      <w:pPr>
        <w:spacing w:after="0" w:line="1" w:lineRule="exact"/>
        <w:rPr>
          <w:sz w:val="20"/>
          <w:szCs w:val="20"/>
          <w:color w:val="auto"/>
        </w:rPr>
      </w:pPr>
    </w:p>
    <w:p>
      <w:pPr>
        <w:ind w:right="20"/>
        <w:spacing w:after="0" w:line="340" w:lineRule="auto"/>
        <w:rPr>
          <w:sz w:val="20"/>
          <w:szCs w:val="20"/>
          <w:color w:val="auto"/>
        </w:rPr>
      </w:pPr>
      <w:r>
        <w:rPr>
          <w:rFonts w:ascii="Arial" w:cs="Arial" w:eastAsia="Arial" w:hAnsi="Arial"/>
          <w:sz w:val="15"/>
          <w:szCs w:val="15"/>
          <w:b w:val="1"/>
          <w:bCs w:val="1"/>
          <w:i w:val="1"/>
          <w:iCs w:val="1"/>
          <w:color w:val="auto"/>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spacing w:after="0" w:line="7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may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spacing w:after="0" w:line="11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products could have unknown defects or errors, which may give rise to claims against us and adversely affect market adoption of our Nautilus platform.</w:t>
      </w:r>
    </w:p>
    <w:p>
      <w:pPr>
        <w:spacing w:after="0" w:line="116"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platform, these risks may increase. We expect to provide warranties that our Nautilus platform will meet performance expectations or be free from defects. The costs incurred in correcting any defects or errors may be substantial and could adversely affect our operating margins.</w:t>
      </w:r>
    </w:p>
    <w:p>
      <w:pPr>
        <w:spacing w:after="0" w:line="10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In manufacturing our Nautilus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If our products contain defects, we may experience:</w:t>
      </w:r>
    </w:p>
    <w:p>
      <w:pPr>
        <w:spacing w:after="0" w:line="171"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our product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increased cost of our warranty program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2" w:name="page33"/>
    <w:bookmarkEnd w:id="32"/>
    <w:p>
      <w:pPr>
        <w:spacing w:after="0" w:line="144"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resources from our manufacturing and research and development departments into our service department; and</w:t>
      </w:r>
    </w:p>
    <w:p>
      <w:pPr>
        <w:spacing w:after="0" w:line="171" w:lineRule="exact"/>
        <w:rPr>
          <w:rFonts w:ascii="Arial" w:cs="Arial" w:eastAsia="Arial" w:hAnsi="Arial"/>
          <w:sz w:val="18"/>
          <w:szCs w:val="18"/>
          <w:color w:val="auto"/>
        </w:rPr>
      </w:pPr>
    </w:p>
    <w:p>
      <w:pPr>
        <w:ind w:right="100" w:firstLine="332"/>
        <w:spacing w:after="0" w:line="464" w:lineRule="auto"/>
        <w:tabs>
          <w:tab w:leader="none" w:pos="643"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legal claims against us, including product liability claims, which could be costly and time consuming to defend and result in substantial damages. The occurrence of any one or more of the foregoing could negatively affect our business, financial condition and results of operations.</w:t>
      </w:r>
    </w:p>
    <w:p>
      <w:pPr>
        <w:spacing w:after="0"/>
        <w:rPr>
          <w:sz w:val="20"/>
          <w:szCs w:val="20"/>
          <w:color w:val="auto"/>
        </w:rPr>
      </w:pPr>
      <w:r>
        <w:rPr>
          <w:rFonts w:ascii="Arial" w:cs="Arial" w:eastAsia="Arial" w:hAnsi="Arial"/>
          <w:sz w:val="18"/>
          <w:szCs w:val="18"/>
          <w:b w:val="1"/>
          <w:bCs w:val="1"/>
          <w:i w:val="1"/>
          <w:iCs w:val="1"/>
          <w:color w:val="auto"/>
        </w:rPr>
        <w:t>If we are sued for product liability, we could face substantial liabilities that exceed our resources.</w:t>
      </w:r>
    </w:p>
    <w:p>
      <w:pPr>
        <w:spacing w:after="0" w:line="171" w:lineRule="exact"/>
        <w:rPr>
          <w:sz w:val="20"/>
          <w:szCs w:val="20"/>
          <w:color w:val="auto"/>
        </w:rPr>
      </w:pPr>
    </w:p>
    <w:p>
      <w:pPr>
        <w:ind w:right="200"/>
        <w:spacing w:after="0" w:line="271" w:lineRule="auto"/>
        <w:rPr>
          <w:sz w:val="20"/>
          <w:szCs w:val="20"/>
          <w:color w:val="auto"/>
        </w:rPr>
      </w:pPr>
      <w:r>
        <w:rPr>
          <w:rFonts w:ascii="Arial" w:cs="Arial" w:eastAsia="Arial" w:hAnsi="Arial"/>
          <w:sz w:val="17"/>
          <w:szCs w:val="17"/>
          <w:color w:val="auto"/>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i w:val="1"/>
          <w:iCs w:val="1"/>
          <w:color w:val="auto"/>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spacing w:after="0" w:line="103"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spacing w:after="0" w:line="10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(the “QSRs”), we would be subject to ongoing FDA “general controls,”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w:t>
      </w:r>
    </w:p>
    <w:p>
      <w:pPr>
        <w:spacing w:after="0" w:line="13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be required to obtain FDA approval. Even if the FDA agreed that a 510(k) was appropriate, FDA clearance can be expensive and time consuming. It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3" w:name="page34"/>
    <w:bookmarkEnd w:id="33"/>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spacing w:after="0" w:line="12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we sought and received regulatory clearance or approval for certain of our products, we would be subject to ongoing FDA obligations and continued regulatory oversight and review, including the general controls listed above and the FDA’s QSRs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spacing w:after="0" w:line="13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Once the Brexit transition period ends, for medical device products we intend to market in the U.K., we will be subject to regulatory requirements of the Medicines and Healthcare products Regulatory Agency (the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our ability to commercialize our products for diagnostic use outside of the United States.</w:t>
      </w:r>
    </w:p>
    <w:p>
      <w:pPr>
        <w:spacing w:after="0" w:line="127"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b w:val="1"/>
          <w:bCs w:val="1"/>
          <w:i w:val="1"/>
          <w:iCs w:val="1"/>
          <w:color w:val="auto"/>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8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do not currently expect our Nautilus platform to be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While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4" w:name="page35"/>
    <w:bookmarkEnd w:id="34"/>
    <w:p>
      <w:pPr>
        <w:spacing w:after="0" w:line="14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has traditionally exercised enforcement discretion with LDTs, the FDA could take the view that our sale of our RUO labeled products were made with the knowledge that the products will be used as medical devices, and could therefore subject our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spacing w:after="0" w:line="12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FDA has historically exercised enforcement discretion in not enforcing the medical device regulations against laboratories offering LDTs. In August 2020, as part of the Trump Administration’s efforts to combat COVID-19 and consistent with the President’s direction in Executive Orders 13771 and 13924, the Department of Health and Human Services (the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Although the Biden administration has not taken affirmative steps to rescind this August 2020 announcement, this 2020 policy statement is no longer posted on the HHS website. Legislative and administrative proposals to amend the FDA’s oversight of LDTs have been introduced in recent years, including the Verifying Accurate Leading-edge IVCT Development Act of 2021 (VALID Act). It is unclear how such action as well as future legislation by federal and state governments and changes in FDA regulation will impact the industry, including our business and that of our customers. Any restrictions on LDTs by the FDA, HHS, Congress, or state regulatory authorities may decrease the demand for our products.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spacing w:after="0" w:line="13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2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Even if the FDA does not modify its policy of enforcement discretion, whether due to changes in FDA policy or legislative action, the FDA may disagree with the marketing of our current products in the United States. We may also be required to conduct clinical studies to support our currently marketed products or planned product launches.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44"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If we are required to conduct such clinical trials or to obtain regulatory authorization, delays in the commencement of our product launches or our changes to our current marketing strategy could significantly increase our costs and delay our commercialization plans, which could harm our financial prospects.</w:t>
      </w:r>
    </w:p>
    <w:p>
      <w:pPr>
        <w:spacing w:after="0" w:line="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b w:val="1"/>
          <w:bCs w:val="1"/>
          <w:i w:val="1"/>
          <w:iCs w:val="1"/>
          <w:color w:val="auto"/>
        </w:rPr>
        <w:t>We are currently subject to, and may in the future become subject to additional, U.S. federal and state laws and regulations imposing obligations on how we collect, store and processes personal information. Our actual or perceived failure to comply with such obligations could harm our business. Ensuring compliance with such laws could also impair our efforts to maintain and expand our future customer base, and thereby decrease our revenue.</w:t>
      </w:r>
    </w:p>
    <w:p>
      <w:pPr>
        <w:spacing w:after="0" w:line="133"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ordinary course of our business, we currently, and, in the future, will, collect, store, transfer, use or process sensitive data, including personally identifiable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spacing w:after="0" w:line="124"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amends and expands the CCPA. While most of the substantive provisions in CPRA will not take effect until 2023 and although the CCPA includes exemptions for certain clinical trial data, the law may increase our compliance costs and potential liability with respect to other personal information we collect about California customers. It is possible that these consumer, health-related and data protection laws may be interpreted and applied in a manner that is inconsistent with our practices. If so, this could result in government-imposed fines or orders requiring that we change our practices, which could adversely affect our business. In addition to the CCPA, numerous other states’ legislatures are considering or have enacted similar data privacy laws that will require ongoing compliance efforts and investment, including Virginia and Colorado.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we would become subject if it is enacted.</w:t>
      </w:r>
    </w:p>
    <w:p>
      <w:pPr>
        <w:spacing w:after="0" w:line="12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(the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due to employee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44"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malfeasance or other malicious or inadvertent disruptions. Any such breach or interruption could compromise our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(the “HITECH”),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spacing w:after="0" w:line="12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are in the process of evaluating compliance needs but do not currently have in place formal policies and procedures related to the storage, collection and processing of information, and has not conducted any internal or external data privacy audits, to ensure our compliance with all applicable data protection laws and regulations. Additionally, we do not currently have policies and procedures in place for assessing our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and consultants to comply with any applicable federal, state or similar foreign laws and regulations relating to data privacy and security, or could result in damage to our reputation, as well as proceedings or litigation by governmental agencies or other third parties, including class action privacy litigation in certain jurisdictions, which would subject us to significant fines, sanctions, awards, penalties or judgments, all of which could have a material adverse effect on our business, financial condition, results of operations and prospects.</w:t>
      </w:r>
    </w:p>
    <w:p>
      <w:pPr>
        <w:spacing w:after="0" w:line="1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we commercialize our Nautilus platform outside of the United States, our international business could expose us to business, regulatory, political, operational, financial, and economic risks associated with doing business outside of the United States.</w:t>
      </w:r>
    </w:p>
    <w:p>
      <w:pPr>
        <w:spacing w:after="0" w:line="116"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If we commercialize our Nautilus platform outside of the United States, our international business may be adversely affected by changing economic, political and regulatory conditions in foreign countries. Engaging in international business inherently involves a number of difficulties and risks, including:</w:t>
      </w:r>
    </w:p>
    <w:p>
      <w:pPr>
        <w:spacing w:after="0" w:line="70"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71" w:lineRule="exact"/>
        <w:rPr>
          <w:rFonts w:ascii="Arial" w:cs="Arial" w:eastAsia="Arial" w:hAnsi="Arial"/>
          <w:sz w:val="18"/>
          <w:szCs w:val="18"/>
          <w:color w:val="auto"/>
        </w:rPr>
      </w:pPr>
    </w:p>
    <w:p>
      <w:pPr>
        <w:ind w:left="660" w:hanging="328"/>
        <w:spacing w:after="0" w:line="31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44"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one or more of these risks occurs, it could require us to dedicate significant resources to remedy such occurrence, and if we are unsuccessful in finding a solution, our financial results will suffer.</w:t>
      </w:r>
    </w:p>
    <w:p>
      <w:pPr>
        <w:spacing w:after="0" w:line="11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if we commercialize our Nautilus platform outside of the United States, we intend to rely on distributors for sales of our Nautilus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spacing w:after="0" w:line="141" w:lineRule="exact"/>
        <w:rPr>
          <w:sz w:val="20"/>
          <w:szCs w:val="20"/>
          <w:color w:val="auto"/>
        </w:rPr>
      </w:pPr>
    </w:p>
    <w:p>
      <w:pPr>
        <w:jc w:val="both"/>
        <w:ind w:right="360"/>
        <w:spacing w:after="0" w:line="340" w:lineRule="auto"/>
        <w:rPr>
          <w:sz w:val="20"/>
          <w:szCs w:val="20"/>
          <w:color w:val="auto"/>
        </w:rPr>
      </w:pPr>
      <w:r>
        <w:rPr>
          <w:rFonts w:ascii="Arial" w:cs="Arial" w:eastAsia="Arial" w:hAnsi="Arial"/>
          <w:sz w:val="15"/>
          <w:szCs w:val="15"/>
          <w:b w:val="1"/>
          <w:bCs w:val="1"/>
          <w:i w:val="1"/>
          <w:iCs w:val="1"/>
          <w:color w:val="auto"/>
        </w:rPr>
        <w:t>If we expand our development and commercialization activities outside of the United States, we will be subject to an increased risk of inadvertently conducting activities in a manner that violates the U.S. Foreign Corrupt Practices Act and similar laws. If that occurs, we may be subject to civil or criminal penalties which could have a material adverse effect on our business, financial condition, results of operations and growth prospects.</w:t>
      </w:r>
    </w:p>
    <w:p>
      <w:pPr>
        <w:spacing w:after="0" w:line="77" w:lineRule="exact"/>
        <w:rPr>
          <w:sz w:val="20"/>
          <w:szCs w:val="20"/>
          <w:color w:val="auto"/>
        </w:rPr>
      </w:pPr>
    </w:p>
    <w:p>
      <w:pPr>
        <w:ind w:right="420"/>
        <w:spacing w:after="0" w:line="279" w:lineRule="auto"/>
        <w:rPr>
          <w:sz w:val="20"/>
          <w:szCs w:val="20"/>
          <w:color w:val="auto"/>
        </w:rPr>
      </w:pPr>
      <w:r>
        <w:rPr>
          <w:rFonts w:ascii="Arial" w:cs="Arial" w:eastAsia="Arial" w:hAnsi="Arial"/>
          <w:sz w:val="17"/>
          <w:szCs w:val="17"/>
          <w:color w:val="auto"/>
        </w:rPr>
        <w:t>We are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Anti-Bribery Act, which prohibits both domestic and international bribery, as well as bribery across both public and private sectors.</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If we choose to establish and expand our commercial operations outside of the United States we will need to comply with non-U.S. regulatory requirements, will need to establish and expand business relationships with various third parties, and we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our business. Furthermore, any finding of a violation under one country’s laws may increase the likelihood that we will be prosecuted and be found to have violated another country’s laws. If our business practices outside the United States are found to be in violation of the FCPA, UK Anti-Bribery Act or other similar laws, we may be subject to significant civil and criminal penalties which could have a material adverse effect on our financial condition and results of operations.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our operations. Failure to comply with environmental laws and regulations could subject us to significant liability.</w:t>
      </w:r>
    </w:p>
    <w:p>
      <w:pPr>
        <w:spacing w:after="0" w:line="116"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spacing w:after="0" w:line="13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distributors and vendors may engage in misconduct or other improper activities, including noncompliance with regulatory standards and requirements.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Demand for our technology could be reduced by legal, social and ethical concerns surrounding the use of genetic information and biological materials.</w:t>
      </w:r>
    </w:p>
    <w:p>
      <w:pPr>
        <w:spacing w:after="0" w:line="20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experience a significant disruption in our information technology systems or breaches of data security, our business could be adversely affected.</w:t>
      </w:r>
    </w:p>
    <w:p>
      <w:pPr>
        <w:spacing w:after="0" w:line="20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rely, or will rely, on information technology systems to keep financial records, facilitate our research and development initiatives, manage our manufacturing operations, maintain quality control, fulfill customer orders, maintain corporate records, communicate with staff and external parties and operate other critical functions. Our information technology systems and those of our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9" w:name="page40"/>
    <w:bookmarkEnd w:id="39"/>
    <w:p>
      <w:pPr>
        <w:spacing w:after="0" w:line="144"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In addition, we have not finalized our information technology and data security procedures and therefore, our information technology systems may be more susceptible to cybersecurity attacks than if such security procedures were finalized. Despite any of our current or future efforts to protect against cybersecurity attacks and data security breaches, there is no guarantee that our efforts are adequate to safeguard against all such attacks and breaches. Moreover, it is possible that we may not be able to anticipate, detect, appropriately react and respond to, or implement effective preventative measures against, all cybersecurity incidents.</w:t>
      </w:r>
    </w:p>
    <w:p>
      <w:pPr>
        <w:spacing w:after="0" w:line="11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If our security measures, or those of our vendors and partners, are compromised due to any cybersecurity attacks or data security breaches, including as a result of third-party action, employee or customer error, malfeasance, stolen or fraudulently obtained log-in credentials or otherwise, our reputation could be damaged, our business and reputation may be harmed, we could become subject to litigation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if we are not capable of restoring functionality on an acceptable timeframe. In addition, our information technology systems, and those of our vendors and partners, are potentially vulnerable to data security breaches,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our employees, customers and others, any of which could have a material adverse effect on our business, reputation, financial condition and results of operations.</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our reputation. In addition, although we seek to detect and investigate data security incidents, security breaches and other incidents of unauthorized access to our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we take to respond to or remediate such incidents, and if securities analysts or investors perceive these announcements to be negative, it could, among other things, have a material adverse effect on the price of our Common Stock.</w:t>
      </w:r>
    </w:p>
    <w:p>
      <w:pPr>
        <w:spacing w:after="0" w:line="11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cost of protecting against, investigating, mitigating and responding to potential breaches of our information technology systems and data security breaches and complying with applicable breach notification obligations to individuals, regulators, partners and others can be significant. As cybersecurity incidents continue to evolve, we may be required to expend significant additional resources to continue to modify or enhance our protective measures or to investigate and remediate any information security vulnerabilities. The inability to implement, maintain and upgrade adequate safeguards could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manage our anticipated growth effectively.</w:t>
      </w:r>
    </w:p>
    <w:p>
      <w:pPr>
        <w:spacing w:after="0" w:line="17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2021, we had 113 employees. To execute our anticipated growth successfully, we must continue to attract and retain qualified personnel and manage and train them effectively. Developing and commercializing our Nautilus platform will require us to hire and retain scientific, sales and marketing, software, manufacturing, customer service, distribution and quality assurance personnel. In addition, we expect that we will need to hire additional accounting, finance and other personnel as a public company. As a public company, our management and other personnel will need to devote a substantial amount of time towards maintaining compliance with these requirements and effectively manage these growth activities. We may face challenges integrating, developing and motivating our rapidly growing employee base.</w:t>
      </w:r>
    </w:p>
    <w:p>
      <w:pPr>
        <w:spacing w:after="0" w:line="111"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spacing w:after="0" w:line="13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recruit and retain key executives and scientists, we may be unable to achieve our goals.</w:t>
      </w:r>
    </w:p>
    <w:p>
      <w:pPr>
        <w:spacing w:after="0" w:line="171"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Our performance is substantially dependent on the performance of our senior management and key scientific and technical personnel, particularly Sujal Patel, one of our founders and our Chief Executive Officer, and Parag Mallick, one of our founders and our Chief Scientist.</w:t>
      </w:r>
    </w:p>
    <w:p>
      <w:pPr>
        <w:spacing w:after="0" w:line="9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p>
    <w:p>
      <w:pPr>
        <w:spacing w:after="0" w:line="13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acquire other companies or technologies, which could divert our management’s attention, result in additional dilution to our stockholders and otherwise disrupt our operations and harm our operating results.</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may in the future seek to acquire or invest in businesses, applications or technologies that we believe could complement or expand our Nautilus platform or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spacing w:after="0" w:line="13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our business and operations.</w:t>
      </w:r>
    </w:p>
    <w:p>
      <w:pPr>
        <w:spacing w:after="0" w:line="11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COVID-19 pandemic has had, and is expected to continue to have, an adverse impact on our operations, particularly as a result of preventive and precautionary measures that we, other businesses, and governments are taking. Governmental mandates related to COVID-19 or other infectious diseases, or public health crises, have impacted, and we expect them to continue to impact, our personnel and personnel at our suppliers in the United States and other countries, and the availability or cost of materials, which would disrupt or delay our receipt of instruments, components and supplies from the third parties we rely on. For instance, “stay-at-home” orders were imposed in California, where our primary research and development facility is located, and in Washington state, where our primary corporate facility is located, that required reductions in capacity or shutdowns of businesses as well as the implementation of social distancing protocols and other plans and measures. During March and April of 2020, the volume of ongoing lab work was reduced, and only critical program work in the lab continued with staggered lab employee work shifts to minimize risk of exposure to COVID-19, which has and may continue to disrupt or delay our ability to conduct development activities. Additionally, our suppliers have also been impacted by the COVID-19 pandemic. For example,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25"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To the extent that any governmental authority imposes additional regulatory requirements or changes existing laws, regulations, and policies that apply to our business and operations, such as workplace safety measures, our product development may be delayed, and we may incur further costs in bringing our business and operations into compliance with changing or new laws, regulations, and policies.</w:t>
      </w:r>
    </w:p>
    <w:p>
      <w:pPr>
        <w:spacing w:after="0" w:line="13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While we are currently in the development stage, we expect that substantially all of our revenue will be derived from sales of our Nautilus platform, including our instruments and consumables, to biopharmaceutical companies and academic and research institutions. As we leave the development stage and enter the next stage of our commercialization plan, the research and development budgets of these customers, the ability of such customers to receive funding for research, and the ability of such customers to receive instrument installations and visitors to their facilities and to travel to our facilities, other laboratories and industry events, will become increasingly important to the adoption of our Nautilus platform. All of these considerations are impacted by factors beyond our control, such as:</w:t>
      </w:r>
    </w:p>
    <w:p>
      <w:pPr>
        <w:spacing w:after="0" w:line="138"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our Nautilus platform;</w:t>
      </w:r>
    </w:p>
    <w:p>
      <w:pPr>
        <w:spacing w:after="0" w:line="171" w:lineRule="exact"/>
        <w:rPr>
          <w:rFonts w:ascii="Arial" w:cs="Arial" w:eastAsia="Arial" w:hAnsi="Arial"/>
          <w:sz w:val="18"/>
          <w:szCs w:val="18"/>
          <w:color w:val="auto"/>
        </w:rPr>
      </w:pPr>
    </w:p>
    <w:p>
      <w:pPr>
        <w:ind w:left="660" w:right="120" w:hanging="328"/>
        <w:spacing w:after="0" w:line="286" w:lineRule="auto"/>
        <w:tabs>
          <w:tab w:leader="none" w:pos="655"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our instruments or consumables;</w:t>
      </w:r>
    </w:p>
    <w:p>
      <w:pPr>
        <w:spacing w:after="0" w:line="111" w:lineRule="exact"/>
        <w:rPr>
          <w:rFonts w:ascii="Arial" w:cs="Arial" w:eastAsia="Arial" w:hAnsi="Arial"/>
          <w:sz w:val="17"/>
          <w:szCs w:val="17"/>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left="660" w:right="80" w:hanging="328"/>
        <w:spacing w:after="0" w:line="263"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our customers and potential customers and their funding sources.</w:t>
      </w:r>
    </w:p>
    <w:p>
      <w:pPr>
        <w:spacing w:after="0" w:line="13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our liquidity, capital resources, operations and business and those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2" w:name="page43"/>
    <w:bookmarkEnd w:id="42"/>
    <w:p>
      <w:pPr>
        <w:spacing w:after="0" w:line="144"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third parties on which we rely and could worsen over time. The extent to which the COVID-19 pandemic impacts our results will depend on future developments, which are highly uncertain and cannot be predicted, including new information which may emerge concerning the severity of COVID-19 and the actions to contain COVID-19 or treat its impact, among others. While we do not yet know the full extent of potential impacts on our business, any of these occurrences could significantly harm our business, results of operations and financial condition.</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our ability to raise capital and our business, results of operations and financial condition.</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Nautilus platform and our ability to raise additional capital when needed on favorable terms, if at all. A weak or declining economy could strain our customers’ budgets or cause delays in their payments to us.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supply chain interruptions could adversely affect our ability to develop and commercialize our products.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We may be subject to supply chain interruptions. Current or future supply chain interruptions that could be exacerbated by global political tensions, such as the situation in Ukraine, could negatively impact our ability to further develop our products or to manufacture and deliver our products or services, which could negatively impact our timelines and business results.</w:t>
      </w:r>
    </w:p>
    <w:p>
      <w:pPr>
        <w:spacing w:after="0" w:line="13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our facilities become unavailable or inoperable, our research and development program and commercialization launch plan could be adversely impacted and manufacturing of our instruments and consumables could be interrupted.</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Seattle, Washington, facility houses our corporate executive team and our software development operations, while our San Carlos, California facility houses our research and development team.</w:t>
      </w:r>
    </w:p>
    <w:p>
      <w:pPr>
        <w:spacing w:after="0" w:line="11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Our facilities in Seattle and San Carlos are vulnerable to natural disasters, public health crises, including the impact of the COVID-19 pandemic, and catastrophic events. For example, our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spacing w:after="0" w:line="111"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If our research and development program or planned commercialization program were disrupted by a disaster or catastrophe, the launch of new products, including our Nautilus 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We use hazardous chemicals and biological materials in our business. Any claims relating to improper handling, storage or disposal of these materials could be time consuming and costly.</w:t>
      </w:r>
    </w:p>
    <w:p>
      <w:pPr>
        <w:spacing w:after="0" w:line="11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our Common Stock may never develop or be sustained.</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Prior to the Business Combination, there was no public trading market for Legacy Nautilus’ Common Stock. Although our Common Stock is listed on the Nasdaq Global Select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trading price of our Common Stock has been and may continue to be highly volatile and could be subject to wide fluctuations in response to various factors, some of which are beyond our control.</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may fluctuate due to a variety of factors, including:</w:t>
      </w:r>
    </w:p>
    <w:p>
      <w:pPr>
        <w:spacing w:after="0" w:line="171" w:lineRule="exact"/>
        <w:rPr>
          <w:sz w:val="20"/>
          <w:szCs w:val="20"/>
          <w:color w:val="auto"/>
        </w:rPr>
      </w:pPr>
    </w:p>
    <w:p>
      <w:pPr>
        <w:ind w:left="660" w:right="6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our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actual or anticipated fluctuations in our operating results, including fluctuations in our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failure or discontinuation of any of our product development and research programs;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our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our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us, our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4" w:name="page45"/>
    <w:bookmarkEnd w:id="44"/>
    <w:p>
      <w:pPr>
        <w:spacing w:after="0" w:line="144"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investor perceptions of us or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expenses related to any of our research and development programs or products;</w:t>
      </w:r>
    </w:p>
    <w:p>
      <w:pPr>
        <w:spacing w:after="0" w:line="171"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whether our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sales of our Common Stock by us or by our insiders or other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can be no assurance that we will be able to comply with the continued listing standards of Nasdaq</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If Nasdaq delists our shares of Common Stock from trading on its exchange for failure to meet Nasdaq’s listing standards, we and our stockholders could face significant material adverse consequences including:</w:t>
      </w:r>
    </w:p>
    <w:p>
      <w:pPr>
        <w:spacing w:after="0" w:line="116"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limited amount of new and analyst coverage;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Common Stock and will be able to exercise significant influence over matters subject to stockholder approval.</w:t>
      </w:r>
    </w:p>
    <w:p>
      <w:pPr>
        <w:spacing w:after="0" w:line="11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As of December 31, 2021, our directors, executive officers, holders of more than 5% of our outstanding shares of Common Stock and their respective affiliates beneficially owned, collectively, approximately 68.2% of the outstanding shares of Common Stock. As a result, these stockholders, if they act together, may significantly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spacing w:after="0" w:line="133"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A significant portion of our total outstanding shares of Common Stock were initially restricted from immediate resale in connection with the closing of the Business Combination but the restrictions have expired and such shares may now be sold into the market. This could cause the market price of our Common Stock to drop significantly, even if our business is doing well.</w:t>
      </w:r>
    </w:p>
    <w:p>
      <w:pPr>
        <w:spacing w:after="0" w:line="1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spacing w:after="0" w:line="11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of the completion of the Business Combination, (i) the Nautilus stockholders (excluding Perspective Life Sciences Master Fund Ltd, a Cayman Islands exempted company (the “Perceptive PIPE Investor”), and ARYA Sciences Holdings III, a Cayman Islands exempted limited company (the “Sponsor”)) owned, collectively, approximately 66.4% of our outstanding Common Stock, (ii) ARYA’s initial shareholders, the Sponsor and the Perceptive PIPE Investor owned approximately 10.2% of our outstanding Common Stock and (iii) the PIPE Investors other than the Perceptive PIPE Investor owned approximately 11.7% of our outstanding Common Stock.</w:t>
      </w:r>
    </w:p>
    <w:p>
      <w:pPr>
        <w:spacing w:after="0" w:line="134"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Pursuant to the Amended and Restated Registration Rights and Lock-Up Agreement (the “Registration Rights and Lock-Up Agreement”) and our Bylaws, subject to certain exceptions, ARYA’s initial shareholders, the Sponsor, the Perceptive PIPE Investor and the Nautilus stockholders were restricted from selling or transferring any shares of our Common Stock for a period of 180 days from the closing of the Business Combination. However, such restrictions expired on December 6, 2021, and these shares of Common Stock may now be sold into the market. Pursuant to the Registration Rights and Lock-Up Agreement and the Subscription Agreements entered into in connection with the PIPE Financing, we filed resale registration statements to provide for the resale of the shares issued in the PIPE Financing and the shares of our Common Stock held by the parties to the Registration Rights and Lock-Up Agreement. The market price of our Common Stock could decline if the holders of previously restricted shares and/or holders whose shares are registered under such registration statements sell their shares or are perceived by the market as intending to sell their shares.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expect to pay any dividends for the foreseeable future. Investors may never obtain a return on their investment.</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spacing w:after="0" w:line="138"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spacing w:after="0" w:line="117"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14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action asserting a claim arising under the Securities Act.</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spacing w:after="0" w:line="1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Delaware law and provisions in our certificate of incorporation and bylaws might discourage, delay or prevent a change in control of our company or changes in our management and, therefore, depress the trading price of our Common Stock.</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spacing w:after="0" w:line="134" w:lineRule="exact"/>
        <w:rPr>
          <w:sz w:val="20"/>
          <w:szCs w:val="20"/>
          <w:color w:val="auto"/>
        </w:rPr>
      </w:pPr>
    </w:p>
    <w:p>
      <w:pPr>
        <w:ind w:left="660" w:right="260" w:hanging="328"/>
        <w:spacing w:after="0" w:line="342"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spacing w:after="0" w:line="69" w:lineRule="exact"/>
        <w:rPr>
          <w:rFonts w:ascii="Arial" w:cs="Arial" w:eastAsia="Arial" w:hAnsi="Arial"/>
          <w:sz w:val="16"/>
          <w:szCs w:val="16"/>
          <w:color w:val="auto"/>
        </w:rPr>
      </w:pPr>
    </w:p>
    <w:p>
      <w:pPr>
        <w:ind w:left="660" w:right="38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certain amendments to our certificate of incorporation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our bylaws require the approval of stockholders holding two-thirds of the voting power of our then outstanding capital stock;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stockholders are only able to take action at a meeting of stockholders and are not able to take action by written consent for any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44"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vacancies on our board of directors are able to be filled only by our board of directors and not by stockholders;</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only the chair of our board of directors, our chief executive officer, our president or a majority of our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certain litigation against us can only be brought in Delaware;</w:t>
      </w:r>
    </w:p>
    <w:p>
      <w:pPr>
        <w:spacing w:after="0" w:line="171"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certificate of incorporation authorizes undesignated preferred stock, the terms of which may be established by our Board and shares of which may be issued, without the approval of the holders of our capital stock; and</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incur significant increased costs and management resources as a result of operating as a public company.</w:t>
      </w:r>
    </w:p>
    <w:p>
      <w:pPr>
        <w:spacing w:after="0" w:line="171"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color w:val="auto"/>
        </w:rPr>
        <w:t>As a public company, we will incur significant legal, accounting, compliance and other expenses that we did not incur as a private company and these expenses may increase even more after we are no longer an “emerging growth company.” Our management and other personnel will need to devote a substantial amount of time and incur significant expense in connection with compliance initiatives. As a public company, we will bear all of the internal and external costs of preparing and distributing periodic public reports in compliance with our obligations under the securities laws.</w:t>
      </w:r>
    </w:p>
    <w:p>
      <w:pPr>
        <w:spacing w:after="0" w:line="103"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broad discretion in the use of the net proceeds from the Business Combination and the PIPE Financing and may not use them effectively.</w:t>
      </w:r>
    </w:p>
    <w:p>
      <w:pPr>
        <w:spacing w:after="0" w:line="19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to offset future taxable income may be subject to certain limitations.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As of December 31, 2021, we had U.S. federal and state net operating loss carryforwards, or NOLs, of $0.5 million for federal and $9.1 million for state, which if not utilized will expire in 2037. Federal net operating loss carryforwards of $31.6 million that arose after the 2017 tax year will carryforward indefinitely. We may use these NOLs to offset against taxable income for U.S. federal and state income tax purposes. However, Section 382 of the Internal Revenue Code of 1986, as amended, may limit the NOLs we may use in any year for U.S. federal income tax purposes in the event of certain changes in our ownership.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382 study to determine whether the use of our NOLs is impaired. We may have previously undergone an “ownership change.” In addition, the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Any limitation on using NOLs could, depending on the extent of such limitation and the NOLs previously used, result in our retaining less cash after payment of U.S. federal and state income taxes during any year in which we have taxable income, rather than losses, than we would be entitled to retain if such NOLs were available as an offset against such income for U.S. federal and state income tax reporting purposes, which could adversely impact our operating results.</w:t>
      </w:r>
    </w:p>
    <w:p>
      <w:pPr>
        <w:spacing w:after="0" w:line="33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in a timely manner or prevent fraud, which would harm our business.</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 timely manner, or at all. In addition, any testing by us conducted in connection with Section 404(a) of the Sarbanes-Oxley Act of 2002 (“SOX”) or any subsequent testing by our independent registered public accounting firm in connection with Section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an “emerging growth company” under the Jumpstart Our Business Startups Act of 2012 (the “JOBS Act”), we will be required to include an attestation report on internal control over financial reporting issued by our independent registered public accounting firm. However, for as long as we are an “emerging growth company,” our independent registered public accounting firm will not be required to attest to the effectiveness of our internal controls over financial reporting pursuant to Section 404(b) of SOX.</w:t>
      </w:r>
    </w:p>
    <w:p>
      <w:pPr>
        <w:spacing w:after="0" w:line="1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An independent assessment of the effectiveness of our internal controls could detect problems that our management’s assessment might not identify.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Undetected material weaknesses in our internal controls could lead to financial statement restatements and require us to incur the expense of remediation.</w:t>
      </w:r>
    </w:p>
    <w:p>
      <w:pPr>
        <w:spacing w:after="0" w:line="18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Common Stock.</w:t>
      </w:r>
    </w:p>
    <w:p>
      <w:pPr>
        <w:spacing w:after="0" w:line="13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the reduced disclosure requirements applicable to emerging growth companies and smaller reporting companies may make our Common Stock less attractive to investors.</w:t>
      </w:r>
    </w:p>
    <w:p>
      <w:pPr>
        <w:spacing w:after="0" w:line="11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are an “emerging growth company,” as defined in the JOBS Act. For so long as we remain an emerging growth company, we are permitted by SEC rules and plan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we provide stockholders will be different than the information that is available with respect to other public companies that are not emerging growth companies. To the extent that we continue to qualify as a “smaller reporting company,” as such term is defined in Rule 12b-2 under the Securities Exchange Act of 1934, as amended (the “Exchange Act”), after we cease to qualify as an emerging growth company, we will continue to be permitted to make certain reduced disclosures in our periodic reports and other documents that we file with the SEC.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3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our actual results, could adversely affect the price and trading volume of our common shares.</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51" w:name="page52"/>
    <w:bookmarkEnd w:id="5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Certain statements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Business Combination and its expected benefits; our performance following the Business Combination; the success, cost, timing and progress of development of our proteomics platform (the “Nautilus platform”); the potential attributes and benefits of the Nautilus platform; our ability to successfully implement our three phase commercial launch plan; and our ability to obtain funding for our operations. Forward-looking statements include statements relating to our management team’s expectations, hopes, beliefs, intentions or strategies regarding the future, including those relating to the Business Combination and related transactions.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2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As a result of a number of known and unknown risks and uncertainties, our actual results or performance may be materially different from those expressed or implied by these forward-looking statements. Some factors that could cause actual results to differ include, but are not limited to, the following:</w:t>
      </w:r>
    </w:p>
    <w:p>
      <w:pPr>
        <w:spacing w:after="0" w:line="138" w:lineRule="exact"/>
        <w:rPr>
          <w:sz w:val="20"/>
          <w:szCs w:val="20"/>
          <w:color w:val="auto"/>
        </w:rPr>
      </w:pPr>
    </w:p>
    <w:p>
      <w:pPr>
        <w:ind w:left="660" w:right="48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dependence on the success of our proteomics platform (the “Nautilus platform”), which remains in the development stage and subject to scientific and technical validation;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regarding the timing and progress of the development of the Nautilus platform;</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estimates of our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regarding the rate and degree of market acceptance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manage and grow our business and commercialize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successfully implement our three phase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establish and maintain intellectual property protection for our products or avoid or defend claims of infringement;</w:t>
      </w:r>
    </w:p>
    <w:p>
      <w:pPr>
        <w:spacing w:after="0" w:line="171"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ability to recognize the anticipated benefits of the Business Combination, which may be affected by, among other things, competition, our ability to grow and manage future growth effectively, and our ability to retain our key employees;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expectations regarding the use of proceeds from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4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or other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expectations about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impact of local, regional,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effect of COVID-19 on the foregoing;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other factors including but not limited to those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3" w:name="page54"/>
    <w:bookmarkEnd w:id="5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All of the Securities offered by the selling securityholders pursuant to this prospectus will be sold by the selling securityholders for their respective accounts. We will not receive any of the proceeds from the sale of the Securities hereunder.</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With respect to the registration of shares of our Common Stock offered by the selling securityholders pursuant to this prospectus, the selling securityholders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Securities covered by this prospectus, including, without limitation, all registration and filing fees, Nasdaq listing fees, and fees of our counsel and our independent registered public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40" w:lineRule="exact"/>
        <w:rPr>
          <w:sz w:val="20"/>
          <w:szCs w:val="20"/>
          <w:color w:val="auto"/>
        </w:rPr>
      </w:pPr>
    </w:p>
    <w:p>
      <w:pPr>
        <w:ind w:right="200" w:firstLine="255"/>
        <w:spacing w:after="0" w:line="440" w:lineRule="auto"/>
        <w:rPr>
          <w:sz w:val="20"/>
          <w:szCs w:val="20"/>
          <w:color w:val="auto"/>
        </w:rPr>
      </w:pPr>
      <w:r>
        <w:rPr>
          <w:rFonts w:ascii="Arial" w:cs="Arial" w:eastAsia="Arial" w:hAnsi="Arial"/>
          <w:sz w:val="18"/>
          <w:szCs w:val="18"/>
          <w:b w:val="1"/>
          <w:bCs w:val="1"/>
          <w:color w:val="auto"/>
        </w:rPr>
        <w:t xml:space="preserve">MARKET PRICE OF AND DIVIDENDS ON THE REGISTRANT’S COMMON EQUITY AND RELATED STOCKHOLDER MATTERS </w:t>
      </w:r>
      <w:r>
        <w:rPr>
          <w:rFonts w:ascii="Arial" w:cs="Arial" w:eastAsia="Arial" w:hAnsi="Arial"/>
          <w:sz w:val="18"/>
          <w:szCs w:val="18"/>
          <w:b w:val="1"/>
          <w:bCs w:val="1"/>
          <w:i w:val="1"/>
          <w:iCs w:val="1"/>
          <w:color w:val="auto"/>
        </w:rPr>
        <w:t>Market Information and Holders</w:t>
      </w:r>
    </w:p>
    <w:p>
      <w:pPr>
        <w:spacing w:after="0" w:line="1"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Our Common Stock is currently listed on The Nasdaq Global Select Market (“Nasdaq”) under the symbol “NAUT.” Prior to the consummation of the Business Consummation, our Common Stock was historically quoted on The Nasdaq Capital Market under the symbol “ARYA.”</w:t>
      </w:r>
    </w:p>
    <w:p>
      <w:pPr>
        <w:spacing w:after="0" w:line="92" w:lineRule="exact"/>
        <w:rPr>
          <w:sz w:val="20"/>
          <w:szCs w:val="20"/>
          <w:color w:val="auto"/>
        </w:rPr>
      </w:pPr>
    </w:p>
    <w:p>
      <w:pPr>
        <w:ind w:right="960"/>
        <w:spacing w:after="0" w:line="438" w:lineRule="auto"/>
        <w:rPr>
          <w:sz w:val="20"/>
          <w:szCs w:val="20"/>
          <w:color w:val="auto"/>
        </w:rPr>
      </w:pPr>
      <w:r>
        <w:rPr>
          <w:rFonts w:ascii="Arial" w:cs="Arial" w:eastAsia="Arial" w:hAnsi="Arial"/>
          <w:sz w:val="18"/>
          <w:szCs w:val="18"/>
          <w:color w:val="auto"/>
        </w:rPr>
        <w:t xml:space="preserve">As of January 31, 2022, there were 124,425,923 shares of Common Stock issued and outstanding held of record by approximately 44 holders. </w:t>
      </w:r>
      <w:r>
        <w:rPr>
          <w:rFonts w:ascii="Arial" w:cs="Arial" w:eastAsia="Arial" w:hAnsi="Arial"/>
          <w:sz w:val="18"/>
          <w:szCs w:val="18"/>
          <w:b w:val="1"/>
          <w:bCs w:val="1"/>
          <w:i w:val="1"/>
          <w:iCs w:val="1"/>
          <w:color w:val="auto"/>
        </w:rPr>
        <w:t>Dividend Policy</w:t>
      </w:r>
    </w:p>
    <w:p>
      <w:pPr>
        <w:spacing w:after="0" w:line="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3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5" w:name="page56"/>
    <w:bookmarkEnd w:id="5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the financial statements and related notes appearing elsewhere in this prospectus. Some of the information in this discussion and analysis contains forward-looking statements reflecting our current expectations and involves risk and uncertainties. For example, statements regarding our expectations as to our plans and strategy for our business, future financial performance, expense levels and liquidity sources are forward-looking statements. Our actual results and the timing of events could differ materially from those discussed in our forward-looking statements as a result of many factors, including those set forth under the “Risk Factors” section and elsewhere in this prospectus. Please also see the section entitled “Cautionary Note Regarding Forward-Looking Statements.”</w:t>
      </w:r>
    </w:p>
    <w:p>
      <w:pPr>
        <w:spacing w:after="0" w:line="11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i w:val="1"/>
          <w:iCs w:val="1"/>
          <w:color w:val="auto"/>
        </w:rPr>
        <w:t>Unless otherwise indicated or the context otherwise requires, references in this “Management’s Discussion and Analysis of Financial Condition and Results of Operations” section to “Nautilus,” “we,” “us,” “our” and other similar terms refer to the business and operations of Legacy Nautilus prior to the Business Combination and to New Nautilus and its consolidated subsidiary following the Business Combination.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2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consumable production capacity internally or find one or more suitable manufacturing or production partners, or both, to meet the volume and quality requirements necessary to be successful in the proteomics market.</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have entered into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early access program partners with broad-scale analysis and profiling of samples analyzed in its facility and shared via a cloud platform. We do not anticipate that these activities will result in any material revenue. During this phase, we expect to work closely with early access customers to demonstrate a unique value proposition for our Nautilus platform. We expect this second phase to lead into the third phase of broad commercialization by the end of 2023. We do not expect to realize any material revenue prior to the second half of 2023.</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0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December 31, 2021, we had cash, cash equivalents and short-term investments of $345.7 million. Based on this, we believe that our existing cash, cash equivalents, and short-term investments will enable us to fund our planned operating expenses and capital expenditures through at least the next 12 months.</w:t>
      </w:r>
    </w:p>
    <w:p>
      <w:pPr>
        <w:spacing w:after="0" w:line="1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incurred significant losses since the commencement of our operations. Our net loss was $50.3 million during the year ended December 31, 2021, and we expect to continue to incur significant losses for the foreseeable future as we continue our research and development activities and planned commercialization of our proteomics platform. As of December 31, 2021, we had an accumulated deficit of $80.6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44" w:lineRule="exact"/>
        <w:rPr>
          <w:sz w:val="20"/>
          <w:szCs w:val="20"/>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continued with staggered lab employee work shifts to minimize risk of exposure to COVID-19, which disrupted and delayed our ability to conduct development activities. While we were broadly able to resume normal operations in August 2021, if any resurgence or worsening of the COVID-19 pandemic causes us to reinstitute these measures we may experience additional disruption and/or delays in our ability to conduct development activities.</w:t>
      </w:r>
    </w:p>
    <w:p>
      <w:pPr>
        <w:spacing w:after="0" w:line="128"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07"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fully or intermittently as able from March 2020 until August 2021.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8" w:name="page59"/>
    <w:bookmarkEnd w:id="5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Recapitalization Transaction</w:t>
      </w:r>
    </w:p>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(the “Company”),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2"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2"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par value $0.0001 per share (“Common Stock”), and (ii) all vested and unvested options to purchase shares of Legacy Nautilus were exchanged for comparable options to purchase shares of Common Stock, in each case, based on an implied Legacy Nautilus equity value of $900,000,000.</w:t>
      </w:r>
    </w:p>
    <w:p>
      <w:pPr>
        <w:spacing w:after="0" w:line="10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As of the open of trading on June 10, 2021, the Common Stock of the Company, formerly those of ARYA, began trading on the Nasdaq Global Select Market (“Nasdaq”) under the symbol “NAUT.”</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conjunction with the consummation of the Business Combination with ARYA, we received gross proceeds of approximately $345.5 million from PIPE Investors and the Business Combination, offset by approximately $18.2 million of transaction costs and underwriters’ fees relating to the closing of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3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expenses consist of salaries and benefits, and stock-based compensation expense for personnel in executive, operations, legal, human resources, finance, marketing, commercial, IT personnel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133"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We expect that our general and administrative expenses will increase substantially over the next several years as we hire additional personnel to support the continued research and development of our products and growth of our business.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Other income (expense), net consists primarily of interest income on our cash, cash equivalents and investments and other miscellaneous nonrecurring expenses such as loss on disposal of property and equipment.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Fiscal Year Ended December 31, 2021 to Fiscal Year Ended December 31,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our consolidated statements of operations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6"/>
                <w:szCs w:val="16"/>
                <w:color w:val="auto"/>
              </w:rPr>
            </w:pPr>
          </w:p>
        </w:tc>
        <w:tc>
          <w:tcPr>
            <w:tcW w:w="1700" w:type="dxa"/>
            <w:vAlign w:val="bottom"/>
            <w:gridSpan w:val="3"/>
          </w:tcPr>
          <w:p>
            <w:pPr>
              <w:ind w:left="880"/>
              <w:spacing w:after="0"/>
              <w:rPr>
                <w:sz w:val="20"/>
                <w:szCs w:val="20"/>
                <w:color w:val="auto"/>
              </w:rPr>
            </w:pPr>
            <w:r>
              <w:rPr>
                <w:rFonts w:ascii="Arial" w:cs="Arial" w:eastAsia="Arial" w:hAnsi="Arial"/>
                <w:sz w:val="14"/>
                <w:szCs w:val="14"/>
                <w:b w:val="1"/>
                <w:bCs w:val="1"/>
                <w:color w:val="auto"/>
                <w:w w:val="96"/>
              </w:rPr>
              <w:t>2021 to 2020</w:t>
            </w:r>
          </w:p>
        </w:tc>
        <w:tc>
          <w:tcPr>
            <w:tcW w:w="1100" w:type="dxa"/>
            <w:vAlign w:val="bottom"/>
          </w:tcPr>
          <w:p>
            <w:pPr>
              <w:spacing w:after="0"/>
              <w:rPr>
                <w:sz w:val="16"/>
                <w:szCs w:val="16"/>
                <w:color w:val="auto"/>
              </w:rPr>
            </w:pPr>
          </w:p>
        </w:tc>
      </w:tr>
      <w:tr>
        <w:trPr>
          <w:trHeight w:val="196"/>
        </w:trPr>
        <w:tc>
          <w:tcPr>
            <w:tcW w:w="512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700" w:type="dxa"/>
            <w:vAlign w:val="bottom"/>
            <w:tcBorders>
              <w:top w:val="single" w:sz="8" w:color="auto"/>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Change</w:t>
            </w: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Change</w:t>
            </w:r>
          </w:p>
        </w:tc>
      </w:tr>
      <w:tr>
        <w:trPr>
          <w:trHeight w:val="201"/>
        </w:trPr>
        <w:tc>
          <w:tcPr>
            <w:tcW w:w="5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w:t>
            </w:r>
          </w:p>
        </w:tc>
      </w:tr>
      <w:tr>
        <w:trPr>
          <w:trHeight w:val="211"/>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512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29,352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12,432</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16,920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30"/>
        </w:trPr>
        <w:tc>
          <w:tcPr>
            <w:tcW w:w="5120" w:type="dxa"/>
            <w:vAlign w:val="bottom"/>
            <w:shd w:val="clear" w:color="auto" w:fill="CCEEFF"/>
          </w:tcPr>
          <w:p>
            <w:pPr>
              <w:jc w:val="right"/>
              <w:ind w:right="2890"/>
              <w:spacing w:after="0"/>
              <w:rPr>
                <w:sz w:val="20"/>
                <w:szCs w:val="20"/>
                <w:color w:val="auto"/>
              </w:rPr>
            </w:pPr>
            <w:r>
              <w:rPr>
                <w:rFonts w:ascii="Arial" w:cs="Arial" w:eastAsia="Arial" w:hAnsi="Arial"/>
                <w:sz w:val="18"/>
                <w:szCs w:val="18"/>
                <w:color w:val="auto"/>
                <w:w w:val="98"/>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538 %</w:t>
            </w:r>
          </w:p>
        </w:tc>
      </w:tr>
      <w:tr>
        <w:trPr>
          <w:trHeight w:val="223"/>
        </w:trPr>
        <w:tc>
          <w:tcPr>
            <w:tcW w:w="5120" w:type="dxa"/>
            <w:vAlign w:val="bottom"/>
            <w:tcBorders>
              <w:bottom w:val="single" w:sz="8" w:color="CCEEFF"/>
            </w:tcBorders>
          </w:tcPr>
          <w:p>
            <w:pPr>
              <w:jc w:val="right"/>
              <w:ind w:right="2890"/>
              <w:spacing w:after="0"/>
              <w:rPr>
                <w:sz w:val="20"/>
                <w:szCs w:val="20"/>
                <w:color w:val="auto"/>
              </w:rPr>
            </w:pPr>
            <w:r>
              <w:rPr>
                <w:rFonts w:ascii="Arial" w:cs="Arial" w:eastAsia="Arial" w:hAnsi="Arial"/>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221 %</w:t>
            </w: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r>
      <w:tr>
        <w:trPr>
          <w:trHeight w:val="223"/>
        </w:trPr>
        <w:tc>
          <w:tcPr>
            <w:tcW w:w="51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222 %</w:t>
            </w:r>
          </w:p>
        </w:tc>
      </w:tr>
      <w:tr>
        <w:trPr>
          <w:trHeight w:val="20"/>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Research and development expenses were $29.4 million for the year ended December 31, 2021, compared to $12.4 million for the year ended December 31, 2020, an increase of $16.9 million, or 136%. The increase was primarily due to a $8.4 million increase in salaries, related benefits, and stock-based compensation due to an increase in headcount to support on-going development of our products, a $4.2 million increase in laboratory supplies and equipment expense, a $2.2 million increase in costs for development services and a $1.4 million increase in facilities cost.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General and administrative expenses were $21.1 million for the year ended December 31, 2021, compared to $3.3 million for the year ended December 31, 2020, an increase of $17.8 million, or 538%. The increase was primarily due to a $9.1 million increase in salaries, related benefits, and stock-based compensation, a $4.1 million increase in professional services, primarily related to audit, legal, and accounting service expenses, a $1.8 million increase in insurance costs and a $0.8 million increase in facilities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Other income (expense), net for the year ended December 31, 2021 as compared to the year ended December 31, 2020 changed primarily due to net investment accretion offset by loss on disposal of assets incurred in the year ended December 31, 2021.</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Since our inception, we have not generated any revenue from product sales and have incurred significant operating losses and negative cash flows from our operations. Our net loss was $50.3 million for the year ended December 31, 2021. As of December 31, 2021, we had an accumulated deficit of $80.6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December 31, 2021, we had cash, cash equivalents and short-term investments of $345.7 million.</w:t>
      </w:r>
    </w:p>
    <w:p>
      <w:pPr>
        <w:spacing w:after="0" w:line="112" w:lineRule="exact"/>
        <w:rPr>
          <w:sz w:val="20"/>
          <w:szCs w:val="20"/>
          <w:color w:val="auto"/>
        </w:rPr>
      </w:pPr>
    </w:p>
    <w:p>
      <w:pPr>
        <w:ind w:right="840"/>
        <w:spacing w:after="0" w:line="342" w:lineRule="auto"/>
        <w:rPr>
          <w:sz w:val="20"/>
          <w:szCs w:val="20"/>
          <w:color w:val="auto"/>
        </w:rPr>
      </w:pPr>
      <w:r>
        <w:rPr>
          <w:rFonts w:ascii="Arial" w:cs="Arial" w:eastAsia="Arial" w:hAnsi="Arial"/>
          <w:sz w:val="16"/>
          <w:szCs w:val="16"/>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To date, we have not generated any revenue and we may not generate any revenue from the sale of products or from other sources in the near future. We expect our expenses and capital requirements will increase substantially in connection with our ongoing activities as we:</w:t>
      </w:r>
    </w:p>
    <w:p>
      <w:pPr>
        <w:spacing w:after="0" w:line="92" w:lineRule="exact"/>
        <w:rPr>
          <w:sz w:val="20"/>
          <w:szCs w:val="20"/>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Based on our planned operations,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4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Fiscal Years Ended December 31, 2021 and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0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2020</w:t>
            </w:r>
          </w:p>
        </w:tc>
      </w:tr>
      <w:tr>
        <w:trPr>
          <w:trHeight w:val="183"/>
        </w:trPr>
        <w:tc>
          <w:tcPr>
            <w:tcW w:w="8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(39,241)</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center"/>
              <w:ind w:left="294"/>
              <w:spacing w:after="0"/>
              <w:rPr>
                <w:sz w:val="20"/>
                <w:szCs w:val="20"/>
                <w:color w:val="auto"/>
              </w:rPr>
            </w:pPr>
            <w:r>
              <w:rPr>
                <w:rFonts w:ascii="Arial" w:cs="Arial" w:eastAsia="Arial" w:hAnsi="Arial"/>
                <w:sz w:val="18"/>
                <w:szCs w:val="18"/>
                <w:color w:val="auto"/>
                <w:w w:val="92"/>
              </w:rPr>
              <w:t>(13,996)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(138,964)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center"/>
              <w:ind w:left="294"/>
              <w:spacing w:after="0"/>
              <w:rPr>
                <w:sz w:val="20"/>
                <w:szCs w:val="20"/>
                <w:color w:val="auto"/>
              </w:rPr>
            </w:pPr>
            <w:r>
              <w:rPr>
                <w:rFonts w:ascii="Arial" w:cs="Arial" w:eastAsia="Arial" w:hAnsi="Arial"/>
                <w:sz w:val="18"/>
                <w:szCs w:val="18"/>
                <w:color w:val="auto"/>
                <w:w w:val="92"/>
              </w:rPr>
              <w:t>(25,279)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327,447</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87"/>
              </w:rPr>
              <w:t>75,899</w:t>
            </w:r>
          </w:p>
        </w:tc>
      </w:tr>
      <w:tr>
        <w:trPr>
          <w:trHeight w:val="223"/>
        </w:trPr>
        <w:tc>
          <w:tcPr>
            <w:tcW w:w="8020" w:type="dxa"/>
            <w:vAlign w:val="bottom"/>
          </w:tcPr>
          <w:p>
            <w:pPr>
              <w:ind w:left="180"/>
              <w:spacing w:after="0"/>
              <w:rPr>
                <w:sz w:val="20"/>
                <w:szCs w:val="20"/>
                <w:color w:val="auto"/>
              </w:rPr>
            </w:pPr>
            <w:r>
              <w:rPr>
                <w:rFonts w:ascii="Arial" w:cs="Arial" w:eastAsia="Arial" w:hAnsi="Arial"/>
                <w:sz w:val="18"/>
                <w:szCs w:val="18"/>
                <w:color w:val="auto"/>
              </w:rPr>
              <w:t>Net increase in cash, cash equivalents and restricted cash</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149,242</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center"/>
              <w:ind w:left="314"/>
              <w:spacing w:after="0"/>
              <w:rPr>
                <w:sz w:val="20"/>
                <w:szCs w:val="20"/>
                <w:color w:val="auto"/>
              </w:rPr>
            </w:pPr>
            <w:r>
              <w:rPr>
                <w:rFonts w:ascii="Arial" w:cs="Arial" w:eastAsia="Arial" w:hAnsi="Arial"/>
                <w:sz w:val="18"/>
                <w:szCs w:val="18"/>
                <w:color w:val="auto"/>
                <w:w w:val="87"/>
              </w:rPr>
              <w:t>36,624</w:t>
            </w:r>
          </w:p>
        </w:tc>
      </w:tr>
      <w:tr>
        <w:trPr>
          <w:trHeight w:val="20"/>
        </w:trPr>
        <w:tc>
          <w:tcPr>
            <w:tcW w:w="8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During the year ended December 31, 2021, net cash used in operating activities was $39.2 million, primarily resulting from our operating loss of $50.3 million and a $2.8 million increase in prepaid expenses and other assets, partially offset by a $7.9 million of stock-based compensation, a $2.3 million increase in accrued expenses and other liabilities, $1.8 million amortization of operating lease right-of-use assets, a $1.3 million increase in accounts payable and a $1.0 million in depreciation.</w:t>
      </w:r>
    </w:p>
    <w:p>
      <w:pPr>
        <w:spacing w:after="0" w:line="13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year ended December 31, 2020, net cash used in operating activities was $14.0 million, primarily resulting from our operating loss of $15.6 million, $1.6 million decrease in operating lease liability, $0.6 million increase in prepaid expenses and other assets, partially offset by $1.6 million amortization of operating lease right-of-use assets, $0.7 million in depreciation, $0.7 million increase in accrued expenses and other liabilities, $0.3 million amortization of premiums on securities and $0.4 million of stock-based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During the year ended December 31, 2021, net cash used in investing activities was $139.0 million, resulting from $221.8 million in purchases of securities and $2.3 million in purchases of property and equipment, partially offset by $85.1 million in proceeds from sale and maturities of securities.</w:t>
      </w:r>
    </w:p>
    <w:p>
      <w:pPr>
        <w:spacing w:after="0" w:line="92"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During the year ended December 31, 2020, net cash used in investing activities was $25.3 million, primarily resulting from $68.4 million in purchases of securities and $0.9 million in purchases of property and equipment, offset by $44.0 million in proceeds from maturities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During the year ended December 31, 2021, net cash provided by financing activities was $327.4, primarily from $335.4 million in proceeds from reverse recapitalization and PIPE financing, partially offset by $8.1 million in payments of offering costs.</w:t>
      </w:r>
    </w:p>
    <w:p>
      <w:pPr>
        <w:spacing w:after="0" w:line="116"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$75.9 million, primarily from proceeds from issuance of convertible preferred stock.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a discussion of our contractual obligations and commitments, refer to Part II, Item 8, Note 10, “Commitments and Contingencies” to the consolidated financial statements in this prospectus.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Our discussion and analysis of financial condition results of operations are based upon our financial statements included elsewhere in this prospectus. The preparation of our financial statements in accordance with GAAP requires us to make estimates and assumptions that affect the reported amounts of assets, liabilities, and expenses.</w:t>
      </w:r>
    </w:p>
    <w:p>
      <w:pPr>
        <w:spacing w:after="0" w:line="13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base our estimates on past experience and other assumptions that we believe are reasonable under the circumstances, and we evaluate these estimates on an ongoing basis. Actual results may differ from those estimates.</w:t>
      </w:r>
    </w:p>
    <w:p>
      <w:pPr>
        <w:spacing w:after="0" w:line="116"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9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Compensation</w:t>
      </w:r>
    </w:p>
    <w:p>
      <w:pPr>
        <w:spacing w:after="0" w:line="171" w:lineRule="exact"/>
        <w:rPr>
          <w:sz w:val="20"/>
          <w:szCs w:val="20"/>
          <w:color w:val="auto"/>
        </w:rPr>
      </w:pPr>
    </w:p>
    <w:p>
      <w:pPr>
        <w:jc w:val="both"/>
        <w:ind w:right="300"/>
        <w:spacing w:after="0" w:line="286" w:lineRule="auto"/>
        <w:rPr>
          <w:sz w:val="20"/>
          <w:szCs w:val="20"/>
          <w:color w:val="auto"/>
        </w:rPr>
      </w:pPr>
      <w:r>
        <w:rPr>
          <w:rFonts w:ascii="Arial" w:cs="Arial" w:eastAsia="Arial" w:hAnsi="Arial"/>
          <w:sz w:val="17"/>
          <w:szCs w:val="17"/>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 Our stock-based compensation programs include shares issued under our 2021 Equity Incentive Plan and 2021 Employee Stock Purchase Plan.</w:t>
      </w:r>
    </w:p>
    <w:p>
      <w:pPr>
        <w:spacing w:after="0" w:line="11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achievement of any such performance-based milestone is probable based on the relative satisfaction of the performance conditions as of the reporting date.</w:t>
      </w:r>
    </w:p>
    <w:p>
      <w:pPr>
        <w:spacing w:after="0" w:line="11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116"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the subsection titled “Common Stock Valuations” below.</w:t>
      </w:r>
    </w:p>
    <w:p>
      <w:pPr>
        <w:spacing w:after="0" w:line="171"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16" w:lineRule="exact"/>
        <w:rPr>
          <w:rFonts w:ascii="Arial" w:cs="Arial" w:eastAsia="Arial" w:hAnsi="Arial"/>
          <w:sz w:val="18"/>
          <w:szCs w:val="18"/>
          <w:color w:val="auto"/>
        </w:rPr>
      </w:pPr>
    </w:p>
    <w:p>
      <w:pPr>
        <w:ind w:left="660" w:right="280" w:hanging="328"/>
        <w:spacing w:after="0" w:line="301" w:lineRule="auto"/>
        <w:tabs>
          <w:tab w:leader="none" w:pos="655"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Historically, we have been a private company and lacked company-specific historical and implied volatility information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common stock. Therefore, the expected volatility of our common stock was determined by using an average of historical volatilities of selected industry peers deemed to be comparable to our business corresponding to the expected term of the equity awards and we expect to continue to do so until such time we have adequate historical data regarding the volatility of our traded common stock price.</w:t>
      </w:r>
    </w:p>
    <w:p>
      <w:pPr>
        <w:spacing w:after="0" w:line="103" w:lineRule="exact"/>
        <w:rPr>
          <w:rFonts w:ascii="Arial" w:cs="Arial" w:eastAsia="Arial" w:hAnsi="Arial"/>
          <w:sz w:val="16"/>
          <w:szCs w:val="16"/>
          <w:color w:val="auto"/>
        </w:rPr>
      </w:pPr>
    </w:p>
    <w:p>
      <w:pPr>
        <w:ind w:left="660" w:hanging="328"/>
        <w:spacing w:after="0" w:line="259" w:lineRule="auto"/>
        <w:tabs>
          <w:tab w:leader="none" w:pos="655"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stock options represents the weighted-average period that the stock-based awards are expected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We do not have sufficient historical exercise and post-vesting termination activity to provide accurate data for estimating the expected term of options and have opted to use the “simplified method,” whereby the expected term equals the arithmetic average of the vesting term and the original contractual term of the option.</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6"/>
          <w:szCs w:val="16"/>
          <w:color w:val="auto"/>
        </w:rPr>
      </w:pPr>
      <w:r>
        <w:rPr>
          <w:rFonts w:ascii="Arial" w:cs="Arial" w:eastAsia="Arial" w:hAnsi="Arial"/>
          <w:sz w:val="16"/>
          <w:szCs w:val="16"/>
          <w:i w:val="1"/>
          <w:iCs w:val="1"/>
          <w:color w:val="auto"/>
        </w:rPr>
        <w:t>Expected Dividend Yield</w:t>
      </w:r>
      <w:r>
        <w:rPr>
          <w:rFonts w:ascii="Arial" w:cs="Arial" w:eastAsia="Arial" w:hAnsi="Arial"/>
          <w:sz w:val="16"/>
          <w:szCs w:val="16"/>
          <w:color w:val="auto"/>
        </w:rPr>
        <w:t>. The expected dividend rate is zero as we have no history or expectation of declaring dividends on our common stock.</w:t>
      </w:r>
    </w:p>
    <w:p>
      <w:pPr>
        <w:spacing w:after="0" w:line="194"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Prior to the closing of the Business Combination, there had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7"/>
          <w:szCs w:val="17"/>
          <w:i w:val="1"/>
          <w:iCs w:val="1"/>
          <w:color w:val="auto"/>
        </w:rPr>
        <w:t>Valuation of Privately-Held-Company Equity Securities Issued as Compensation,</w:t>
      </w:r>
      <w:r>
        <w:rPr>
          <w:rFonts w:ascii="Arial" w:cs="Arial" w:eastAsia="Arial" w:hAnsi="Arial"/>
          <w:sz w:val="17"/>
          <w:szCs w:val="17"/>
          <w:color w:val="auto"/>
        </w:rPr>
        <w:t xml:space="preserve"> and our board of directors’ assessment of additional objective and subjective factors that it believed were relevant, and factors that may have changed from the date of the most recent valuation through the date of the grant. These factors included, but were not limited to:</w:t>
      </w:r>
    </w:p>
    <w:p>
      <w:pPr>
        <w:spacing w:after="0" w:line="123" w:lineRule="exact"/>
        <w:rPr>
          <w:sz w:val="20"/>
          <w:szCs w:val="20"/>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71" w:lineRule="exact"/>
        <w:rPr>
          <w:rFonts w:ascii="Arial" w:cs="Arial" w:eastAsia="Arial" w:hAnsi="Arial"/>
          <w:sz w:val="18"/>
          <w:szCs w:val="18"/>
          <w:color w:val="auto"/>
        </w:rPr>
      </w:pPr>
    </w:p>
    <w:p>
      <w:pPr>
        <w:ind w:left="660" w:right="100" w:hanging="328"/>
        <w:spacing w:after="0" w:line="311" w:lineRule="auto"/>
        <w:tabs>
          <w:tab w:leader="none" w:pos="655"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market value of stock or equity interests in similar corporations and other entities engaged in trades or businesses substantially similar to ours, the value of which could be readily determined through nondiscretionary, objective means (such as through trading prices on an established securities market or an amount paid in an arm’s length transaction), as well as recently completed mergers and acquisitions of peer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44"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 and the terms and prices of other arm’s length transactions involving the sale or transfer of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trends and developments in our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as applicable, the implied equity value of Legacy Nautilus as contemplated by the Business Combination Agreement.</w:t>
      </w:r>
    </w:p>
    <w:p>
      <w:pPr>
        <w:spacing w:after="0" w:line="17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92"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Option Pricing Method. Under the option pricing method (“OPM”), shares are valued by creating a series of call options with exercise prices based on the liquidation preferences and conversion terms of each equity class. The estimated fair values of the preferred and common stock are inferred by analyzing these options.</w:t>
      </w:r>
    </w:p>
    <w:p>
      <w:pPr>
        <w:spacing w:after="0" w:line="13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Probability-Weighted Expected Return Method. The probability-weighted expected return method (“PWERM”) is a scenario-based analysis that estimates value per share based on the probability-weighted present value of expected future investment returns, considering each of the possible outcomes available to us, as well as the economic and control rights of each share class.</w:t>
      </w:r>
    </w:p>
    <w:p>
      <w:pPr>
        <w:spacing w:after="0" w:line="130"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For our valuation performed in May 2020, we utilized the OPM Backsolve approach to estimate the total equity value based on the recently completed Series B redeemable convertible preferred round of financing. Under this method the OPM allocation model is constructed based on our capital structure and reasonable option model inputs (term, volatility, etc.) are assumed. The total equity value in the model is then iterated until the model output for the Series B redeemable convertible preferred stock is equal to its original issue price. We utilized the Hybrid Methodology as the primary allocation method.</w:t>
      </w:r>
    </w:p>
    <w:p>
      <w:pPr>
        <w:spacing w:after="0" w:line="103"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For the valuations performed in December 2020, we used a hybrid method utilizing a combination of the OPM and the PWERM. We utilized two different scenarios: (a) a transaction with a SPAC and (b) an acquisition by another company. Under the hybrid method, we used the OPM to allocate the equity value of the business among the various classes of stock. The if-converted method presumes that all shares of our redeemable convertible preferred stock convert into Common Stock based upon their conversion terms and differences in the rights and preferences of the shares of our redeemable convertible preferred stock are ignored. The liquidation method presumes payment of proceeds in accordance with the liquidation terms of each class of stock.</w:t>
      </w:r>
    </w:p>
    <w:p>
      <w:pPr>
        <w:spacing w:after="0" w:line="107"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For awards granted in late January 2021, these were granted at the grant date fair value on the date of grant. Our board of directors made a determination of the fair market value of our common stock which contemplated the implied equity value of the Legacy Nautilus per the Business Combination agreement that was executed on February 7, 2021.</w:t>
      </w:r>
    </w:p>
    <w:p>
      <w:pPr>
        <w:spacing w:after="0" w:line="13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65" w:name="page66"/>
    <w:bookmarkEnd w:id="65"/>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average expected time to liquidity. The estimated fair value of our common stock at each grant date reflected a non-marketability discount partially based on the anticipated likelihood and timing of a future liquidity event.</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Following the closing of the Business Combination, our board of directors determine the fair market value of our common stock based on its closing price as reported on the date of grant on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For a description of recent accounting pronouncements, including the expected dates of adoption and estimated effects, if any, on our consolidated financial statements, see Part II, Item 8, Note 2, “Significant Accounting Policies” to the consolidated financial statements in this prospectus.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1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ARYA’s initial public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13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66" w:name="page67"/>
    <w:bookmarkEnd w:id="6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BUSINESS COMBINATION</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June 9, 2021 (the “Closing Date”), Nautilus Biotechnology, Inc., a Delaware corporation (f/k/a ARYA Sciences Acquisition Corp III, a Cayman Islands exempted company and our predecessor company (“ARYA”)), consummated its previously announced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w:t>
      </w:r>
    </w:p>
    <w:p>
      <w:pPr>
        <w:spacing w:after="0" w:line="12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Pursuant to the terms of the Business Combination Agreement, on the Closing Date, (i) ARYA changed its jurisdiction of incorporation by deregistering as a Cayman Islands exempted company and continuing and domesticating as a corporation incorporated under the laws of the State of Delaware (the “Domestication”), upon which ARYA changed its name to “Nautilus Biotechnology, Inc.” (together with its consolidated subsidiary, the “Company” “New Nautilus” or “Nautilus”) and (ii) Mako Merger Sub merged with and into Legacy Nautilus (the “Merger”), with Legacy Nautilus as the surviving company in the Merger and, after giving effect to such Merger, Legacy Nautilus becoming a wholly-owned subsidiary of New Nautilus.</w:t>
      </w:r>
    </w:p>
    <w:p>
      <w:pPr>
        <w:spacing w:after="0" w:line="122"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Upon the Domestication, all of the outstanding Class A and Class B ordinary shares of ARYA were exchanged for an equivalent number of shares of common stock of New Nautilus, par value $0.0001 per share (“Common Stock”). In accordance with the terms and subject to the conditions of the Business Combination Agreement, at the effective time of the Merger (the “Effective Time”), (i) each share of Legacy Nautilus outstanding as of immediately prior to the Effective Time was exchanged for shares of Common Stock of New Nautilus, and (ii) all vested and unvested options to purchase shares of Legacy Nautilus were exchanged for comparable options to purchase shares of Common Stock of New Nautilus.</w:t>
      </w:r>
    </w:p>
    <w:p>
      <w:pPr>
        <w:spacing w:after="0" w:line="12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immediately prior to the Effective Time, an aggregate of 20,000,000 shares of New Nautilus Common Stock at a price of $10.00 per share (the “PIPE Shares”), for aggregate gross proceeds of $200,000,000 (the “PIPE Financing”). ARYA granted the PIPE Investors certain registration rights in connection with the PIPE Financing. Also concurrently with the execution of the Business Combination Agreement, ARYA entered into the Amended and Restated Registration Rights and Lock-Up Agreement with certain stockholders of ARYA and Legacy Nautilus, which obligated the Company to register the resale of certain shares of our Common Stock issued in connection with the Domestication and the Business Combination.</w:t>
      </w:r>
    </w:p>
    <w:p>
      <w:pPr>
        <w:spacing w:after="0" w:line="1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the open of trading on June 10, 2021, the Common Stock of the Company began trading on the Nasdaq Global Select Market (“Nasdaq”) under the symbol “NAUT.”</w:t>
      </w:r>
    </w:p>
    <w:p>
      <w:pPr>
        <w:spacing w:after="0" w:line="1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Unless expressly indicated or the context requires otherwise, the terms “Nautilus,” “New Nautilus,” the “Company,” the “Registrant,” “we,” “us” and “our” in this prospectus refer to Nautilus Biotechnology, Inc., the parent entity formerly named ARYA Sciences Acquisition Corp III, after giving effect to the Domestication and the Business Combination, and as renamed Nautilus Biotechnology, Inc., and where appropriate, our wholly-owned subsidiaries (including Legacy Nautilus).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 development stage life sciences company creating a platform technology for quantifying and unlocking the complexity of the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commercialize a proteome analysis platform of extreme sensitivity and scale. To accomplish this, we have built a prototype of our proteome analysis system, an instrument to perform massively parallel single protein molecule measurements which will be further developed to deliver the speed, simplicity, accuracy, and versatility that we believe is necessary to establish a new gold standard in the field.</w:t>
      </w:r>
    </w:p>
    <w:p>
      <w:pPr>
        <w:spacing w:after="0" w:line="13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1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By leveraging our novel design coupled with advanced machine learning software, we believe our Nautilus platform, which includes our end-to-end solution comprised of the proteome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0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complexity of the human proteome were as simple and easy as detecting an entire human genome, we believe a new set of questions could be asked:</w:t>
      </w:r>
    </w:p>
    <w:p>
      <w:pPr>
        <w:spacing w:after="0" w:line="130"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What specific patterns of protein modifications are present in disease, and why?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7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68" w:name="page69"/>
    <w:bookmarkEnd w:id="68"/>
    <w:p>
      <w:pPr>
        <w:spacing w:after="0" w:line="14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3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As of the date of filing this prospectus, we have partnerships with Genentech, Amgen, and The University of Texas MD Anderson Cancer Research Center.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proteome analysis system, which is an integrated fluidics and optics system for massively parallel single protein molecule detection, accompanied by consumable reagents and analysis software, in direct sales to customers across academia and industry. The launch of our proteome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28"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December 31, 2021 we were comprised of approximately 113 employees, with 36 of such employees holding a Ph.D. Our organization is driven by the pursuit of deep, hard science, and our Scientific Advisory Board is comprised of world-renowned scientific leaders that support our vision.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5" w:lineRule="exact"/>
        <w:rPr>
          <w:sz w:val="20"/>
          <w:szCs w:val="20"/>
          <w:color w:val="auto"/>
        </w:rPr>
      </w:pPr>
    </w:p>
    <w:p>
      <w:pPr>
        <w:ind w:left="660" w:right="20" w:hanging="328"/>
        <w:spacing w:after="0" w:line="290" w:lineRule="auto"/>
        <w:tabs>
          <w:tab w:leader="none" w:pos="655" w:val="left"/>
        </w:tabs>
        <w:numPr>
          <w:ilvl w:val="0"/>
          <w:numId w:val="4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disruptive proteomics technology. </w:t>
      </w:r>
      <w:r>
        <w:rPr>
          <w:rFonts w:ascii="Arial" w:cs="Arial" w:eastAsia="Arial" w:hAnsi="Arial"/>
          <w:sz w:val="16"/>
          <w:szCs w:val="16"/>
          <w:color w:val="auto"/>
        </w:rPr>
        <w:t>Our Nautilus proteome analysis platform is designed to be a disruptive, single protein molecule analysis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of extreme sensitivity, scale, and ease-of-use. Leveraging a novel system architecture, advanced machine learning and algorithms, we believe our Nautilus platform has the potential to identify substantially all proteins in a sample from almost any organism. We have designed our Nautilus platform technology by substantially reimagining methods of protein analysis, rather than an incremental or evolutionary advancement. We refer to Nautilus’ framework for what we believe to be a fundamentally different approach to protein analysis as Protein Identification by Short-epitope Mapping (PrISM). We believe that the prototype of our Nautilus proteome analysis system has also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w:t>
      </w:r>
    </w:p>
    <w:p>
      <w:pPr>
        <w:spacing w:after="0" w:line="111" w:lineRule="exact"/>
        <w:rPr>
          <w:rFonts w:ascii="Arial" w:cs="Arial" w:eastAsia="Arial" w:hAnsi="Arial"/>
          <w:sz w:val="16"/>
          <w:szCs w:val="16"/>
          <w:color w:val="auto"/>
        </w:rPr>
      </w:pPr>
    </w:p>
    <w:p>
      <w:pPr>
        <w:ind w:left="660" w:right="200" w:hanging="328"/>
        <w:spacing w:after="0" w:line="257" w:lineRule="auto"/>
        <w:tabs>
          <w:tab w:leader="none" w:pos="655"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Novel end-to-end proteomics detection platform of extreme sensitivity. </w:t>
      </w:r>
      <w:r>
        <w:rPr>
          <w:rFonts w:ascii="Arial" w:cs="Arial" w:eastAsia="Arial" w:hAnsi="Arial"/>
          <w:sz w:val="18"/>
          <w:szCs w:val="18"/>
          <w:color w:val="auto"/>
        </w:rPr>
        <w:t>We aim to be the first commercially available proteomics detection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platform technology and end-to-end solution to decode and quantify virtually the entire proteome, including the variations and modifications of proteins. Our Nautilus platform consists of instruments, reagents and software that we believe has the potential to deliver broad proteomic profiling to the market and potentially unlock the vast, dynamic, and valuable biological information contained in the proteome. Not only would this enable us to have a significant technical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44" w:lineRule="exact"/>
        <w:rPr>
          <w:sz w:val="20"/>
          <w:szCs w:val="20"/>
          <w:color w:val="auto"/>
        </w:rPr>
      </w:pPr>
    </w:p>
    <w:p>
      <w:pPr>
        <w:ind w:left="328" w:right="560"/>
        <w:spacing w:after="0" w:line="263" w:lineRule="auto"/>
        <w:rPr>
          <w:sz w:val="20"/>
          <w:szCs w:val="20"/>
          <w:color w:val="auto"/>
        </w:rPr>
      </w:pPr>
      <w:r>
        <w:rPr>
          <w:rFonts w:ascii="Arial" w:cs="Arial" w:eastAsia="Arial" w:hAnsi="Arial"/>
          <w:sz w:val="18"/>
          <w:szCs w:val="18"/>
          <w:color w:val="auto"/>
        </w:rPr>
        <w:t>advantage, but we believe it may also allow us to leverage a diversified revenue model that could be highly recurring in nature. With each instrument sale, there is expected to be an accompanying recurring stream of consumable sales, in addition to service, support and software creating a comprehensive proteomics solution.</w:t>
      </w:r>
    </w:p>
    <w:p>
      <w:pPr>
        <w:spacing w:after="0" w:line="130" w:lineRule="exact"/>
        <w:rPr>
          <w:sz w:val="20"/>
          <w:szCs w:val="20"/>
          <w:color w:val="auto"/>
        </w:rPr>
      </w:pPr>
    </w:p>
    <w:p>
      <w:pPr>
        <w:ind w:left="328" w:hanging="328"/>
        <w:spacing w:after="0" w:line="272" w:lineRule="auto"/>
        <w:tabs>
          <w:tab w:leader="none" w:pos="323"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Open and customizable technology platform. </w:t>
      </w:r>
      <w:r>
        <w:rPr>
          <w:rFonts w:ascii="Arial" w:cs="Arial" w:eastAsia="Arial" w:hAnsi="Arial"/>
          <w:sz w:val="17"/>
          <w:szCs w:val="17"/>
          <w:color w:val="auto"/>
        </w:rPr>
        <w:t>Our Nautilus platform is designed to be compatible with a wide variety of affinity binding reagents.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believe that this flexibility allows the system to be ‘tuned’ in response to the profile of binding reagents introduced. With a labeling kit, our system is designed to be able to use a wide range of reagents that have been created by biopharma, academia, or leading commercial affinity reagent manufacturers. It also creates the opportunity to partner with third-parties on the development and supply of affinity reagents. To that end, in the fourth quarter of 2021 we initiated a strategic partnership with Abcam, a world leader in the design and production of assay kits, reagents, and antibodies. This type of development and supply agreement is expected to provide Nautilus with antibodies additive to the affinity reagents we are creating internally and serves to highlight the flexible nature of our technology.</w:t>
      </w:r>
    </w:p>
    <w:p>
      <w:pPr>
        <w:spacing w:after="0" w:line="123" w:lineRule="exact"/>
        <w:rPr>
          <w:rFonts w:ascii="Arial" w:cs="Arial" w:eastAsia="Arial" w:hAnsi="Arial"/>
          <w:sz w:val="17"/>
          <w:szCs w:val="17"/>
          <w:color w:val="auto"/>
        </w:rPr>
      </w:pPr>
    </w:p>
    <w:p>
      <w:pPr>
        <w:ind w:left="328" w:right="80" w:hanging="328"/>
        <w:spacing w:after="0" w:line="291" w:lineRule="auto"/>
        <w:tabs>
          <w:tab w:leader="none" w:pos="323"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Immense data production capacity coupled with machine learning can unlock new proteomic insights. </w:t>
      </w:r>
      <w:r>
        <w:rPr>
          <w:rFonts w:ascii="Arial" w:cs="Arial" w:eastAsia="Arial" w:hAnsi="Arial"/>
          <w:sz w:val="16"/>
          <w:szCs w:val="16"/>
          <w:color w:val="auto"/>
        </w:rPr>
        <w:t>We have designed the Nautilus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12" w:lineRule="exact"/>
        <w:rPr>
          <w:rFonts w:ascii="Arial" w:cs="Arial" w:eastAsia="Arial" w:hAnsi="Arial"/>
          <w:sz w:val="16"/>
          <w:szCs w:val="16"/>
          <w:color w:val="auto"/>
        </w:rPr>
      </w:pPr>
    </w:p>
    <w:p>
      <w:pPr>
        <w:ind w:left="328" w:right="40" w:hanging="328"/>
        <w:spacing w:after="0" w:line="270" w:lineRule="auto"/>
        <w:tabs>
          <w:tab w:leader="none" w:pos="323" w:val="left"/>
        </w:tabs>
        <w:numPr>
          <w:ilvl w:val="0"/>
          <w:numId w:val="4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Commercial model with clear market entry point, designed to support a wide variety of customers and applications. </w:t>
      </w:r>
      <w:r>
        <w:rPr>
          <w:rFonts w:ascii="Arial" w:cs="Arial" w:eastAsia="Arial" w:hAnsi="Arial"/>
          <w:sz w:val="17"/>
          <w:szCs w:val="17"/>
          <w:color w:val="auto"/>
        </w:rPr>
        <w:t>Many successful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or ASP,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 These customer segments were estimated to spend approximately $195 billion in 2021 in R&amp;D activities across a variety of settings, from basic sciences to translational and clinical research.</w:t>
      </w:r>
    </w:p>
    <w:p>
      <w:pPr>
        <w:spacing w:after="0" w:line="126" w:lineRule="exact"/>
        <w:rPr>
          <w:rFonts w:ascii="Arial" w:cs="Arial" w:eastAsia="Arial" w:hAnsi="Arial"/>
          <w:sz w:val="17"/>
          <w:szCs w:val="17"/>
          <w:color w:val="auto"/>
        </w:rPr>
      </w:pPr>
    </w:p>
    <w:p>
      <w:pPr>
        <w:ind w:left="328" w:right="20" w:hanging="328"/>
        <w:spacing w:after="0" w:line="254" w:lineRule="auto"/>
        <w:tabs>
          <w:tab w:leader="none" w:pos="323"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Nautilus platform technology could position us as a leader in a large initial life sciences research market and provide a path to the clinical diagnostics. </w:t>
      </w:r>
      <w:r>
        <w:rPr>
          <w:rFonts w:ascii="Arial" w:cs="Arial" w:eastAsia="Arial" w:hAnsi="Arial"/>
          <w:sz w:val="18"/>
          <w:szCs w:val="18"/>
          <w:color w:val="auto"/>
        </w:rPr>
        <w:t>The global proteomics market is estimated to be approximately $25 billion annually as of 2021 and is expected to grow at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12% CAGR from 2021 to 2027. Furthermore, we believe our Nautilus platform has the potential to facilitate a broader transformation across life sciences and healthcare, and therefore significantly augment our total addressable market over time. We believe there are multiple high-value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spacing w:after="0" w:line="137" w:lineRule="exact"/>
        <w:rPr>
          <w:rFonts w:ascii="Arial" w:cs="Arial" w:eastAsia="Arial" w:hAnsi="Arial"/>
          <w:sz w:val="18"/>
          <w:szCs w:val="18"/>
          <w:color w:val="auto"/>
        </w:rPr>
      </w:pPr>
    </w:p>
    <w:p>
      <w:pPr>
        <w:ind w:left="328" w:right="160" w:hanging="328"/>
        <w:spacing w:after="0" w:line="340" w:lineRule="auto"/>
        <w:tabs>
          <w:tab w:leader="none" w:pos="323" w:val="left"/>
        </w:tabs>
        <w:numPr>
          <w:ilvl w:val="0"/>
          <w:numId w:val="4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Our experienced, multidisciplinary team brings together a group of individuals with diverse backgrounds to disrupt the field of proteomics. </w:t>
      </w:r>
      <w:r>
        <w:rPr>
          <w:rFonts w:ascii="Arial" w:cs="Arial" w:eastAsia="Arial" w:hAnsi="Arial"/>
          <w:sz w:val="15"/>
          <w:szCs w:val="15"/>
          <w:color w:val="auto"/>
        </w:rPr>
        <w:t>Nautilus’ leadership team represents a unique and valuable hybrid of technology and biotech experience. Several members of the executive team and board of directors held leadership roles at Illumina and Isilon, and helped to guide strategy and manage execution both before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1440" w:right="339" w:bottom="1440" w:gutter="0" w:footer="0" w:header="0"/>
        </w:sectPr>
      </w:pPr>
    </w:p>
    <w:bookmarkStart w:id="70" w:name="page71"/>
    <w:bookmarkEnd w:id="70"/>
    <w:p>
      <w:pPr>
        <w:spacing w:after="0" w:line="144" w:lineRule="exact"/>
        <w:rPr>
          <w:sz w:val="20"/>
          <w:szCs w:val="20"/>
          <w:color w:val="auto"/>
        </w:rPr>
      </w:pPr>
    </w:p>
    <w:p>
      <w:pPr>
        <w:ind w:left="660" w:right="160"/>
        <w:spacing w:after="0" w:line="255" w:lineRule="auto"/>
        <w:rPr>
          <w:sz w:val="20"/>
          <w:szCs w:val="20"/>
          <w:color w:val="auto"/>
        </w:rPr>
      </w:pPr>
      <w:r>
        <w:rPr>
          <w:rFonts w:ascii="Arial" w:cs="Arial" w:eastAsia="Arial" w:hAnsi="Arial"/>
          <w:sz w:val="18"/>
          <w:szCs w:val="18"/>
          <w:color w:val="auto"/>
        </w:rPr>
        <w:t>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left="660" w:hanging="328"/>
        <w:spacing w:after="0" w:line="271"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Drive adoption of our Nautilus platform by providing the life sciences industry with access to the proteome. </w:t>
      </w:r>
      <w:r>
        <w:rPr>
          <w:rFonts w:ascii="Arial" w:cs="Arial" w:eastAsia="Arial" w:hAnsi="Arial"/>
          <w:sz w:val="17"/>
          <w:szCs w:val="17"/>
          <w:color w:val="auto"/>
        </w:rPr>
        <w:t>We believe our Nautilus platform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has 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clinical diagnostic market segments. We intend to drive adoption of our Nautilus platform through a three-phase commercial strategy that begins with an initial partnership and collaboration phase with biopharma companies (such as our existing relationships with Genentech and Amgen), academic institutions (such as our existing relationship with The University of Texas MD Anderson Cancer Center and others) and research organizations where we aim to jointly publish data and validate our Nautilus platform, followed by a pre-sales or early access program to drive awareness and demand, and finally culminating in a full commercial launch.</w:t>
      </w:r>
    </w:p>
    <w:p>
      <w:pPr>
        <w:spacing w:after="0" w:line="124" w:lineRule="exact"/>
        <w:rPr>
          <w:rFonts w:ascii="Arial" w:cs="Arial" w:eastAsia="Arial" w:hAnsi="Arial"/>
          <w:sz w:val="17"/>
          <w:szCs w:val="17"/>
          <w:color w:val="auto"/>
        </w:rPr>
      </w:pPr>
    </w:p>
    <w:p>
      <w:pPr>
        <w:ind w:left="660" w:right="160" w:hanging="328"/>
        <w:spacing w:after="0" w:line="255"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Continuously innovate and scale our Nautilus platform’s capabilities to enable further advancement of proteomic research. </w:t>
      </w:r>
      <w:r>
        <w:rPr>
          <w:rFonts w:ascii="Arial" w:cs="Arial" w:eastAsia="Arial" w:hAnsi="Arial"/>
          <w:sz w:val="18"/>
          <w:szCs w:val="18"/>
          <w:color w:val="auto"/>
        </w:rPr>
        <w:t>Through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138" w:lineRule="exact"/>
        <w:rPr>
          <w:rFonts w:ascii="Arial" w:cs="Arial" w:eastAsia="Arial" w:hAnsi="Arial"/>
          <w:sz w:val="18"/>
          <w:szCs w:val="18"/>
          <w:color w:val="auto"/>
        </w:rPr>
      </w:pPr>
    </w:p>
    <w:p>
      <w:pPr>
        <w:ind w:left="660" w:right="40" w:hanging="328"/>
        <w:spacing w:after="0" w:line="254"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b w:val="1"/>
          <w:bCs w:val="1"/>
          <w:i w:val="1"/>
          <w:iCs w:val="1"/>
          <w:color w:val="auto"/>
        </w:rPr>
        <w:t>Multiple pathways to build and expand our manufacturing capacity to support our commercial launch and the sustained growth of our business</w:t>
      </w:r>
      <w:r>
        <w:rPr>
          <w:rFonts w:ascii="Arial" w:cs="Arial" w:eastAsia="Arial" w:hAnsi="Arial"/>
          <w:sz w:val="18"/>
          <w:szCs w:val="18"/>
          <w:color w:val="auto"/>
        </w:rPr>
        <w:t>. Our technology is comprised of many off the shelf component parts that help to create efficient sourcing and manufacturing processes.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w:t>
      </w:r>
    </w:p>
    <w:p>
      <w:pPr>
        <w:spacing w:after="0" w:line="140" w:lineRule="exact"/>
        <w:rPr>
          <w:rFonts w:ascii="Arial" w:cs="Arial" w:eastAsia="Arial" w:hAnsi="Arial"/>
          <w:sz w:val="18"/>
          <w:szCs w:val="18"/>
          <w:color w:val="auto"/>
        </w:rPr>
      </w:pPr>
    </w:p>
    <w:p>
      <w:pPr>
        <w:ind w:left="660" w:right="120" w:hanging="328"/>
        <w:spacing w:after="0" w:line="293" w:lineRule="auto"/>
        <w:tabs>
          <w:tab w:leader="none" w:pos="655" w:val="left"/>
        </w:tabs>
        <w:numPr>
          <w:ilvl w:val="0"/>
          <w:numId w:val="4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long-term value by leveraging the open design of our Nautilus platform to create an ecosystem of products and services based on our core technology. </w:t>
      </w:r>
      <w:r>
        <w:rPr>
          <w:rFonts w:ascii="Arial" w:cs="Arial" w:eastAsia="Arial" w:hAnsi="Arial"/>
          <w:sz w:val="16"/>
          <w:szCs w:val="16"/>
          <w:color w:val="auto"/>
        </w:rPr>
        <w:t>Our Nautilus platform is compatible with a wide variety of protein affinity binding reagents, which we believe will allow us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 a 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110" w:lineRule="exact"/>
        <w:rPr>
          <w:rFonts w:ascii="Arial" w:cs="Arial" w:eastAsia="Arial" w:hAnsi="Arial"/>
          <w:sz w:val="16"/>
          <w:szCs w:val="16"/>
          <w:color w:val="auto"/>
        </w:rPr>
      </w:pPr>
    </w:p>
    <w:p>
      <w:pPr>
        <w:ind w:left="660" w:hanging="328"/>
        <w:spacing w:after="0" w:line="286" w:lineRule="auto"/>
        <w:tabs>
          <w:tab w:leader="none" w:pos="655" w:val="left"/>
        </w:tabs>
        <w:numPr>
          <w:ilvl w:val="0"/>
          <w:numId w:val="4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adoption of our Nautilus platform into new markets. </w:t>
      </w:r>
      <w:r>
        <w:rPr>
          <w:rFonts w:ascii="Arial" w:cs="Arial" w:eastAsia="Arial" w:hAnsi="Arial"/>
          <w:sz w:val="17"/>
          <w:szCs w:val="17"/>
          <w:color w:val="auto"/>
        </w:rPr>
        <w:t>Our market entry strategy involves identifying markets that are constrained by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inability to access comprehensive proteomic information, which we believe can be addressed by our Nautilus platform. We recognize that these opportunities extend into ancillary markets across life sciences, including clinical and translational research, and clinical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1" w:name="page72"/>
    <w:bookmarkEnd w:id="71"/>
    <w:p>
      <w:pPr>
        <w:spacing w:after="0" w:line="144"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diagnostics, 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PRIMER ON PROTEOMICS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3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Molecular profiling techniques, such as NGS, have led to widespread genomic characterization and sequencing. While this information has augmented our knowledge of biological systems, the detail at the protein level remains largely unknown. Proteomics seeks to address this gap, and is an emerging scientific field that involves the identification, characterization, and quantification of proteins in whole cells, tissues, or body fluids.</w:t>
      </w:r>
    </w:p>
    <w:p>
      <w:pPr>
        <w:spacing w:after="0" w:line="11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are highlighted below.</w:t>
      </w:r>
    </w:p>
    <w:p>
      <w:pPr>
        <w:spacing w:after="0" w:line="122" w:lineRule="exact"/>
        <w:rPr>
          <w:sz w:val="20"/>
          <w:szCs w:val="20"/>
          <w:color w:val="auto"/>
        </w:rPr>
      </w:pPr>
    </w:p>
    <w:p>
      <w:pPr>
        <w:ind w:left="660" w:right="12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Better understanding of biology</w:t>
      </w:r>
      <w:r>
        <w:rPr>
          <w:rFonts w:ascii="Arial" w:cs="Arial" w:eastAsia="Arial" w:hAnsi="Arial"/>
          <w:sz w:val="18"/>
          <w:szCs w:val="18"/>
          <w:color w:val="auto"/>
        </w:rPr>
        <w:t>. Protein research contributes to a better understanding of how molecular information controls and influences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physiology.</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Identification of novel drug targets. </w:t>
      </w:r>
      <w:r>
        <w:rPr>
          <w:rFonts w:ascii="Arial" w:cs="Arial" w:eastAsia="Arial" w:hAnsi="Arial"/>
          <w:sz w:val="18"/>
          <w:szCs w:val="18"/>
          <w:color w:val="auto"/>
        </w:rPr>
        <w:t>Cellular function and dysfunction is driven by our proteins; increasing our ability to directly measure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rarest proteins involved in disease may increase the likelihood of identifying new drug targets.</w:t>
      </w:r>
    </w:p>
    <w:p>
      <w:pPr>
        <w:spacing w:after="0" w:line="116"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Patient stratification</w:t>
      </w:r>
      <w:r>
        <w:rPr>
          <w:rFonts w:ascii="Arial" w:cs="Arial" w:eastAsia="Arial" w:hAnsi="Arial"/>
          <w:sz w:val="18"/>
          <w:szCs w:val="18"/>
          <w:color w:val="auto"/>
        </w:rPr>
        <w:t>. The separation of patients into groups with similar molecular features that may be more likely to respond to specific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treatments.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Prediction of disease and treatment outcome. </w:t>
      </w:r>
      <w:r>
        <w:rPr>
          <w:rFonts w:ascii="Arial" w:cs="Arial" w:eastAsia="Arial" w:hAnsi="Arial"/>
          <w:sz w:val="18"/>
          <w:szCs w:val="18"/>
          <w:color w:val="auto"/>
        </w:rPr>
        <w:t>The identification of biomarkers that can assist in the early diagnosis of diseases, inform prognosis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monitor the efficacy and safety of ongoing treatments.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Wellness: from health to disease. </w:t>
      </w:r>
      <w:r>
        <w:rPr>
          <w:rFonts w:ascii="Arial" w:cs="Arial" w:eastAsia="Arial" w:hAnsi="Arial"/>
          <w:sz w:val="18"/>
          <w:szCs w:val="18"/>
          <w:color w:val="auto"/>
        </w:rPr>
        <w:t>Biomarkers can monitor and guide individuals to tailor lifestyle choices to maximize health and avoid the onset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diseases before they develop.</w:t>
      </w:r>
    </w:p>
    <w:p>
      <w:pPr>
        <w:spacing w:after="0" w:line="116"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believe that our Nautilus platform has the potential to be uniquely positioned in the proteomics market. In our mission to democratize proteomics, we see initial applications in precision and personalized medicine, clinical diagnostics, as well as in machine-learning powered drug discovery. However, we believe that the opportunity could extend far beyond this.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Environment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At Nautilus, we recognize the need for a radical breakthrough in proteomics.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72" w:name="page73"/>
    <w:bookmarkEnd w:id="72"/>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Since 2002, global R&amp;D expenditure has increased close to three-fold and is expected to reach approximately $230 billion by 2026 according to EvaluatePharma’s 2020 report.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2020 report by the Deloitte Center for Health Solutions.</w:t>
      </w:r>
    </w:p>
    <w:p>
      <w:pPr>
        <w:spacing w:after="0" w:line="107"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9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100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A breakthrough increase in throughput will enable researchers to more deeply measure large cohorts, thereby powering studies at the scale required to quickly and cost-effectively discover new critically important biomarkers.</w:t>
      </w:r>
    </w:p>
    <w:p>
      <w:pPr>
        <w:spacing w:after="0" w:line="131" w:lineRule="exact"/>
        <w:rPr>
          <w:sz w:val="20"/>
          <w:szCs w:val="20"/>
          <w:color w:val="auto"/>
        </w:rPr>
      </w:pPr>
    </w:p>
    <w:p>
      <w:pPr>
        <w:ind w:right="640"/>
        <w:spacing w:after="0" w:line="259" w:lineRule="auto"/>
        <w:rPr>
          <w:sz w:val="20"/>
          <w:szCs w:val="20"/>
          <w:color w:val="auto"/>
        </w:rPr>
      </w:pPr>
      <w:r>
        <w:rPr>
          <w:rFonts w:ascii="Arial" w:cs="Arial" w:eastAsia="Arial" w:hAnsi="Arial"/>
          <w:sz w:val="18"/>
          <w:szCs w:val="18"/>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Missing Piece: The Proteome</w:t>
      </w:r>
    </w:p>
    <w:p>
      <w:pPr>
        <w:spacing w:after="0" w:line="17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34"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4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pacing w:after="0" w:line="1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284607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34924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 significant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growth phase. We are of the firm belief that every scientist should have access to the proteome, including proteoforms, in the same way that access to the genome has been made broadly available over recent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4174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49240"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Due to the extensive applications and broad potential, we believe that the proteomics market represents one of the largest untapped opportunities in the biological sciences today. According to Allied Market Research, the global proteomics market was valued at approximately $25 billion as of 2021. This encompasses only the fraction of the proteomics market that is currently available to us via mass spectrometry and other quantification methods and does not include diagnostics. The overall proteomics market is projected to reach approximately $50 billion in 2027, representing a CAGR of 12% for the six-year period.</w:t>
      </w:r>
    </w:p>
    <w:p>
      <w:pPr>
        <w:spacing w:after="0" w:line="13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75" w:name="page76"/>
    <w:bookmarkEnd w:id="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1108075</wp:posOffset>
            </wp:positionH>
            <wp:positionV relativeFrom="page">
              <wp:posOffset>1014730</wp:posOffset>
            </wp:positionV>
            <wp:extent cx="5340350" cy="27514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5340350" cy="2751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Proteomics Technologies and Shortfalls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 Spectrometry-based Approaches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6" w:name="page77"/>
    <w:bookmarkEnd w:id="76"/>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its importance in biology and drug development, and the proteomics research marketplace is estimated to have over 16,000 installed mass spectrometry systems today.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with Affinity-based Approaches</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 protein molecule level today.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NAUTILUS APPROACH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Guiding Principles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 protein 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 a unique architecture and advanced machine learning software, we believe our Nautilus platform has the potential to identify substantially all proteins in a sample from almost any organism.</w:t>
      </w:r>
    </w:p>
    <w:p>
      <w:pPr>
        <w:spacing w:after="0" w:line="13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Nautilus Platform Design Criteria</w:t>
      </w:r>
    </w:p>
    <w:p>
      <w:pPr>
        <w:spacing w:after="0" w:line="171"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proteoforms. As such, we designed the Nautilus platform – from the ground up – to accomplish the following objectives: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Nautilus Platform Attribute:</w:t>
            </w:r>
          </w:p>
        </w:tc>
        <w:tc>
          <w:tcPr>
            <w:tcW w:w="2120" w:type="dxa"/>
            <w:vAlign w:val="bottom"/>
          </w:tcPr>
          <w:p>
            <w:pPr>
              <w:spacing w:after="0"/>
              <w:rPr>
                <w:sz w:val="20"/>
                <w:szCs w:val="20"/>
                <w:color w:val="auto"/>
              </w:rPr>
            </w:pPr>
          </w:p>
        </w:tc>
        <w:tc>
          <w:tcPr>
            <w:tcW w:w="4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i w:val="1"/>
                <w:iCs w:val="1"/>
                <w:color w:val="auto"/>
              </w:rPr>
              <w:t>Nautilus Platform Benefit:</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Easy-to-Use</w:t>
            </w: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i w:val="1"/>
                <w:iCs w:val="1"/>
                <w:color w:val="auto"/>
              </w:rPr>
              <w:t>è</w:t>
            </w:r>
          </w:p>
        </w:tc>
        <w:tc>
          <w:tcPr>
            <w:tcW w:w="4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Any Lab Can Run It</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Sensitivity and Dynamic Range</w:t>
            </w: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i w:val="1"/>
                <w:iCs w:val="1"/>
                <w:color w:val="auto"/>
              </w:rPr>
              <w:t>è</w:t>
            </w:r>
          </w:p>
        </w:tc>
        <w:tc>
          <w:tcPr>
            <w:tcW w:w="4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Comprehensive Measurement</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Rapid Run Time</w:t>
            </w: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i w:val="1"/>
                <w:iCs w:val="1"/>
                <w:color w:val="auto"/>
              </w:rPr>
              <w:t>è</w:t>
            </w:r>
          </w:p>
        </w:tc>
        <w:tc>
          <w:tcPr>
            <w:tcW w:w="4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Days Not Weeks</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Reproducible and Robust</w:t>
            </w: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i w:val="1"/>
                <w:iCs w:val="1"/>
                <w:color w:val="auto"/>
              </w:rPr>
              <w:t>è</w:t>
            </w:r>
          </w:p>
        </w:tc>
        <w:tc>
          <w:tcPr>
            <w:tcW w:w="4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Path to the Clinic</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Scalable and Flexible</w:t>
            </w: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i w:val="1"/>
                <w:iCs w:val="1"/>
                <w:color w:val="auto"/>
              </w:rPr>
              <w:t>è</w:t>
            </w:r>
          </w:p>
        </w:tc>
        <w:tc>
          <w:tcPr>
            <w:tcW w:w="4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Accommodates Low &amp; High Throughput</w:t>
            </w:r>
          </w:p>
        </w:tc>
      </w:tr>
      <w:tr>
        <w:trPr>
          <w:trHeight w:val="270"/>
        </w:trPr>
        <w:tc>
          <w:tcPr>
            <w:tcW w:w="420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Complete</w:t>
            </w:r>
          </w:p>
        </w:tc>
        <w:tc>
          <w:tcPr>
            <w:tcW w:w="2120" w:type="dxa"/>
            <w:vAlign w:val="bottom"/>
          </w:tcPr>
          <w:p>
            <w:pPr>
              <w:jc w:val="right"/>
              <w:ind w:right="930"/>
              <w:spacing w:after="0"/>
              <w:rPr>
                <w:sz w:val="20"/>
                <w:szCs w:val="20"/>
                <w:color w:val="auto"/>
              </w:rPr>
            </w:pPr>
            <w:r>
              <w:rPr>
                <w:rFonts w:ascii="Arial" w:cs="Arial" w:eastAsia="Arial" w:hAnsi="Arial"/>
                <w:sz w:val="18"/>
                <w:szCs w:val="18"/>
                <w:b w:val="1"/>
                <w:bCs w:val="1"/>
                <w:i w:val="1"/>
                <w:iCs w:val="1"/>
                <w:color w:val="auto"/>
              </w:rPr>
              <w:t>è</w:t>
            </w:r>
          </w:p>
        </w:tc>
        <w:tc>
          <w:tcPr>
            <w:tcW w:w="492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No Missing Data</w:t>
            </w:r>
          </w:p>
        </w:tc>
      </w:tr>
    </w:tbl>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core design criterion was that the Nautilus platform needed to be sufficiently easy-to-use so that virtually any lab could benefit from using it, not just labs that are explicitly focused on proteomics or analytical chemistry.</w:t>
      </w:r>
    </w:p>
    <w:p>
      <w:pPr>
        <w:spacing w:after="0" w:line="116" w:lineRule="exact"/>
        <w:rPr>
          <w:sz w:val="20"/>
          <w:szCs w:val="20"/>
          <w:color w:val="auto"/>
        </w:rPr>
      </w:pPr>
    </w:p>
    <w:p>
      <w:pPr>
        <w:jc w:val="both"/>
        <w:ind w:right="760"/>
        <w:spacing w:after="0" w:line="263" w:lineRule="auto"/>
        <w:rPr>
          <w:sz w:val="20"/>
          <w:szCs w:val="20"/>
          <w:color w:val="auto"/>
        </w:rPr>
      </w:pPr>
      <w:r>
        <w:rPr>
          <w:rFonts w:ascii="Arial" w:cs="Arial" w:eastAsia="Arial" w:hAnsi="Arial"/>
          <w:sz w:val="18"/>
          <w:szCs w:val="18"/>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3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the process needed to be reproducible and robust, maximizing the chance that the results derived in one experiment are the same as the results derived in subsequent experiments.</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It must also be complete. One of the largest challenges with existing “shotgun” proteomics technologies is that replicate analyses are likely to sample different subsets of the proteome.</w:t>
      </w:r>
    </w:p>
    <w:p>
      <w:pPr>
        <w:spacing w:after="0" w:line="11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order to fully support the wide-ranging needs of our future customers, the platform can also support multiple run configurations. Our design accommodates both low throughput and high throughput run configurations, and will also employ in-lane sample multiplexing to enable our customers to meet the high-volume data production needs of large-scale studies or core facilities.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Importantly, the Nautilus platform needed to be fast and able to analyze tens of thousands of samples in a reasonable time period.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It also needed to be integrated, allowing a biologist to put a sample in the instrument and get data out without additional intervention.</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Single Protein Molecule Flow Cell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Proteome Analysis System: An Integrated Multi-cycle Optical and Fluidics Instrument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Machine Learning Protein Decoding Analytics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Innovations</w:t>
      </w:r>
    </w:p>
    <w:p>
      <w:pPr>
        <w:spacing w:after="0" w:line="171" w:lineRule="exact"/>
        <w:rPr>
          <w:sz w:val="20"/>
          <w:szCs w:val="20"/>
          <w:color w:val="auto"/>
        </w:rPr>
      </w:pPr>
    </w:p>
    <w:p>
      <w:pPr>
        <w:ind w:left="340" w:hanging="332"/>
        <w:spacing w:after="0"/>
        <w:tabs>
          <w:tab w:leader="none" w:pos="34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Single Protein Molecule Flow Cell</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vast majority of protein analysis tools, such as affinity-based methods like an ELISA (Enzyme-Linked Immunosorbent Assay), typically measure proteins in bulk. This approach works well for measuring small numbers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44" w:lineRule="exact"/>
        <w:rPr>
          <w:sz w:val="20"/>
          <w:szCs w:val="20"/>
          <w:color w:val="auto"/>
        </w:rPr>
      </w:pPr>
    </w:p>
    <w:p>
      <w:pPr>
        <w:ind w:right="180"/>
        <w:spacing w:after="0" w:line="272" w:lineRule="auto"/>
        <w:rPr>
          <w:sz w:val="20"/>
          <w:szCs w:val="20"/>
          <w:color w:val="auto"/>
        </w:rPr>
      </w:pPr>
      <w:r>
        <w:rPr>
          <w:rFonts w:ascii="Arial" w:cs="Arial" w:eastAsia="Arial" w:hAnsi="Arial"/>
          <w:sz w:val="17"/>
          <w:szCs w:val="17"/>
          <w:color w:val="auto"/>
        </w:rPr>
        <w:t>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 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23"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 protein molecule detection approach would be required to overcome a problem that has long been a barrier to major advancement in the field. Additionally, transitioning from bulk protein measurements to single protein 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 protein molecule counters are by definition the most sensitive detection modalities available.</w:t>
      </w:r>
    </w:p>
    <w:p>
      <w:pPr>
        <w:spacing w:after="0" w:line="12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To break through these barriers, we have designed our Nautilus platform to measure billions of individual protein molecules at a time, in a massively parallel and efficient workflow. We refer to Nautilus’ framework for what we believe to be a fundamentally different approach to protein analysis as Protein Identification by Short-epitope Mapping (PrISM). Our internal testing has demonstrated that our hyper-dense single 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80645</wp:posOffset>
            </wp:positionV>
            <wp:extent cx="5323205" cy="2040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323205"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 protein molecule array (as seen in the below illustration). The attachment between the scaffold and the nanoarray surface is extremely robust, enabling scaffolds to persist through extensive reagent washing across many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Nautilus Single Protein Molecule Flow Cell Designed to Capture One Individual Scaffold-Protein Complex per Landing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904875</wp:posOffset>
            </wp:positionH>
            <wp:positionV relativeFrom="paragraph">
              <wp:posOffset>117475</wp:posOffset>
            </wp:positionV>
            <wp:extent cx="5340350" cy="25374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340350" cy="2537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discussed above, our flow cell is designed with the capability to capture up to tens of billions of individual, intact protein molecules. The single protein 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proteome analysis system for the analysis and quantitation of the captured protein library.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Nautilus Single Protein Molecule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82550</wp:posOffset>
            </wp:positionV>
            <wp:extent cx="3857625" cy="30086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57625" cy="3008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Proteome Analysis System: An Integrated Multi-cycle Optical and Fluidics Instrument</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the whole proteome.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81" w:name="page82"/>
    <w:bookmarkEnd w:id="8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Nautilus Platform Multi-Cycle Affinity Reagent Probing, Imaging, Washing, and Re-Probing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117475</wp:posOffset>
            </wp:positionV>
            <wp:extent cx="5254625" cy="30435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254625"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To achieve extreme sensitivity and scale, we have designed a novel instrument that integrates reagent fluidics with a sensitive high-resolution optical imaging system to cyclically measure all single protein molecules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2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full scale proteome run will generate approximately 20 terabytes of data, which is then compressed to a digital binding matrix for downstream analysis by our cloud-based software-as-a-service, SaaS, analytics suite.</w:t>
      </w:r>
    </w:p>
    <w:p>
      <w:pPr>
        <w:spacing w:after="0" w:line="133"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Nautilus platform technology is designed with fundamentally different principles of how to use and exploit the properties of affinity binding reagents compared to prior methods. Historically, affinity binding reagents have 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spacing w:after="0" w:line="13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2" w:name="page83"/>
    <w:bookmarkEnd w:id="82"/>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Using reagents that target very specific locations and features of proteins will allow the Nautilus platform to detect and quantify the different patterns and varieties of post-translational modifications (i.e. the proteoforms).</w:t>
      </w:r>
    </w:p>
    <w:p>
      <w:pPr>
        <w:spacing w:after="0" w:line="1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a highly innovative and counterintuitive way, our Nautilus platform has also been designed to exploit low specificity affinity reagents. Identifying the tens-of-thousands of different proteins in a proteome would require a prohibitively large number of traditional highly specific affinity reagents. We therefore explored the possibility of using affinity reagents that bind short, linear epitopes (e.g., target protein sequences of 3-4 amino acids each) with moderate specificity, such that each affinity reagent binds many proteins that contain the short linear epitope target, each a “multi-affinity reagent”. While the binding of a single multi-affinity reagent is not sufficient to identify a given protein, sequential binding events using a series of multi-affinity reagents can create enough information that it is sufficiently powerful to accurately identify an exceptionally broad number of proteins present in a sample. In this approach, each new affinity reagent that is introduced in a cycle of binding and imaging provides additional evidence and gradually narrows the list of possible protein identities. Hereafter, we refer to our proposed approach as Protein Identification by Short-epitope Mapping (PrISM). Our Nautilus platform technology is estimated to achieve the detection of the vast majority of proteins in the proteome using a combination of approximately 300 unique multi-affinity reagents.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Nautilus Platform Technology Protein Identification with Increasing Multi-Affinity Reagent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451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49240" cy="2451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Source: A theoretical framework for proteome-scale single-molecule protein identification using multi-affinity protein binding reagents. Jarrett 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Egertson, Dan DiPasquo, Alana Killeen, Vadim Lobanov, Sujal Patel, Parag Mallick bioRxiv 2021.10.11.463967.</w:t>
      </w:r>
    </w:p>
    <w:p>
      <w:pPr>
        <w:spacing w:after="0" w:line="157"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Machine Learning Protein Identification Software</w:t>
      </w:r>
    </w:p>
    <w:p>
      <w:pPr>
        <w:spacing w:after="0" w:line="17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 an exceedingly large number of cycles to measure every protein in the proteome. To enable broad protein identification on our system, we instead use our multi-affinity probes that can bind to hundreds or even thousands of individual proteins in a given cycle.</w:t>
      </w:r>
    </w:p>
    <w:p>
      <w:pPr>
        <w:spacing w:after="0" w:line="12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proprietary algorithm is thereby trained using experimental data from our probe development process that provides a baseline estimate of how likely each probe is to bind to each protein in a reference proteome database.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biding events to uniquely identify a protein. Prior to 15 cycles, there is a lot of variability in which the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color w:val="auto"/>
        </w:rPr>
        <w:t>Nautilus Platform Technology Can Identify a Protein by Analyzing Data from Multiple Cycles of Multi-Affinity Reagent Probing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125095</wp:posOffset>
            </wp:positionV>
            <wp:extent cx="5357495" cy="28371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357495"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 Internal Data</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Technology Workflow</w:t>
      </w:r>
    </w:p>
    <w:p>
      <w:pPr>
        <w:spacing w:after="0" w:line="17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84" w:name="page85"/>
    <w:bookmarkEnd w:id="84"/>
    <w:p>
      <w:pPr>
        <w:spacing w:after="0" w:line="14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82550</wp:posOffset>
            </wp:positionV>
            <wp:extent cx="5358130" cy="7200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35813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1 – Sample Preparation</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Nautilus sample preparation process attaches a label to extracted proteins and then attaches them to a proprietary scaffold to isolate them individually, thereby creating a library of single protein molecules. This process was designed to be simple, robust, and rapid. Internal tests demonstrate that substantially all of the proteins are attached to the scaffold within two hours, creating the prepared protein library.</w:t>
      </w:r>
    </w:p>
    <w:p>
      <w:pPr>
        <w:spacing w:after="0" w:line="130"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2 – Sample Deposition onto the Flow Cell</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111"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3 – Integrated Imaging and Fluidics System using Multi-Cycle Affinity Reagents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Once the proteins are deposited onto the flow cell, it is then loaded into the proteome analysis system to measure each individual molecule in a multi-cycle system run. The process entails introducing affinity reagents into the flow cell, rinsing out the unbound fraction, imaging the surface area, and then stripping and washing the affinity reagent away. This step is then repeated sequentially to collect data on the desired number of cycles.</w:t>
      </w:r>
    </w:p>
    <w:p>
      <w:pPr>
        <w:spacing w:after="0" w:line="111"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4 – Processing of Digitalized Proteomic Data</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After the proteins on the flow cell have been iteratively imaged over the determined number of cycles, the resulting raw images are converted into a coordinate map with corresponding illumination signals indicating positive affinity reagent binding events, effectively digitizing up to approximately 20 terabytes of raw image analyzed proteomic data.</w:t>
      </w:r>
    </w:p>
    <w:p>
      <w:pPr>
        <w:spacing w:after="0" w:line="130" w:lineRule="exact"/>
        <w:rPr>
          <w:sz w:val="20"/>
          <w:szCs w:val="20"/>
          <w:color w:val="auto"/>
        </w:rPr>
      </w:pPr>
    </w:p>
    <w:p>
      <w:pPr>
        <w:ind w:left="660" w:hanging="328"/>
        <w:spacing w:after="0"/>
        <w:tabs>
          <w:tab w:leader="none" w:pos="66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Step 5 – Machine Learning Analytics - Decoding, Protein Identification, and Quantity</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 the final step of the workflow, the digital proteomic data is analyzed by our cloud-based machine learning protein identification analysis software. The data is converted to protein identities during this analysis, evaluating the characteristics of each affinity reagent binding event at each location to determine protein identity and quantity.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Platform Technology Performance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Simple and Robust Sample Handling</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our forthcoming sample protein library preparation instrument is expected to further simplify the workflow by introducing automation. Also, unlike existing shotgun proteomics methods, no sample protein digestion is required in our method which in turn makes the workflow very simple.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5" w:name="page86"/>
    <w:bookmarkEnd w:id="85"/>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result is a process that is expected to effectively prepare a sample into a library ready to load on the flow cell in approximately 2 hours.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117475</wp:posOffset>
            </wp:positionV>
            <wp:extent cx="2571750" cy="25717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57175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Flow Cell Loading Demonstrates Approximately 97% of Flow Cell is Occupied with Protein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117475</wp:posOffset>
            </wp:positionV>
            <wp:extent cx="4714875" cy="29743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714875" cy="297434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86" w:name="page87"/>
    <w:bookmarkEnd w:id="86"/>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Platform Stability in Multi-Cycle Experiments</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proteome analysis system run. In our studies evaluating stability over numerous cycles, we observed substantially less than 1% of proteins were lost from the flow cell as seen on the panel below on the left. As shown on the right figure, to examine both the effectiveness of our wash buffer and the ability of proteins to be probed after being washed, we first examined the detection ability of the protein on a first cycle (blue). We next demonstrated that our wash buffer successfully eliminated remaining signal (yellow). Last, we demonstrated that after extended exposure to washing, and rinsing, that the protein detection remained nearly identical to the initial measurement (red). These results suggest that our wash conditions are highly effective and that our process of reagent cycling does not significantly damage the protein and thereby interfere with the probability of its measurement accuracy.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Protein Library Remains Bound to Flow Cell During Repetitive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117475</wp:posOffset>
            </wp:positionV>
            <wp:extent cx="5486400" cy="23228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86400"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Platform Sensitivity</w:t>
      </w:r>
    </w:p>
    <w:p>
      <w:pPr>
        <w:spacing w:after="0" w:line="171" w:lineRule="exact"/>
        <w:rPr>
          <w:sz w:val="20"/>
          <w:szCs w:val="20"/>
          <w:color w:val="auto"/>
        </w:rPr>
      </w:pPr>
    </w:p>
    <w:p>
      <w:pPr>
        <w:ind w:right="40"/>
        <w:spacing w:after="0" w:line="244" w:lineRule="auto"/>
        <w:rPr>
          <w:sz w:val="20"/>
          <w:szCs w:val="20"/>
          <w:color w:val="auto"/>
        </w:rPr>
      </w:pPr>
      <w:r>
        <w:rPr>
          <w:rFonts w:ascii="Arial" w:cs="Arial" w:eastAsia="Arial" w:hAnsi="Arial"/>
          <w:sz w:val="18"/>
          <w:szCs w:val="18"/>
          <w:color w:val="auto"/>
        </w:rPr>
        <w:t>Our Nautilus platform is designed both to be extremely sensitive (by virtue of being a single protein molecule platform) and to have an extremely wide dynamic range of detection (by virtue of measuring a very large number of molecules). In single protein 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The figure below shows a limit of detection experiment performed on the Nautilus platform, approaching attomolar sensitivity (1 out of 10</w:t>
      </w:r>
      <w:r>
        <w:rPr>
          <w:rFonts w:ascii="Arial" w:cs="Arial" w:eastAsia="Arial" w:hAnsi="Arial"/>
          <w:sz w:val="23"/>
          <w:szCs w:val="23"/>
          <w:color w:val="auto"/>
          <w:vertAlign w:val="superscript"/>
        </w:rPr>
        <w:t>16</w:t>
      </w:r>
      <w:r>
        <w:rPr>
          <w:rFonts w:ascii="Arial" w:cs="Arial" w:eastAsia="Arial" w:hAnsi="Arial"/>
          <w:sz w:val="18"/>
          <w:szCs w:val="18"/>
          <w:color w:val="auto"/>
        </w:rPr>
        <w:t>). We are also able to use this sensitivity in flexible way, for example we can perform an extremely deep analysis of a single protein library sample across all lanes of a flow cell, or we can perform a multiplexed analysis by processing a batch of samples together (each sample protein library individually barcoded) during one proteome analysis system run.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7" w:name="page88"/>
    <w:bookmarkEnd w:id="87"/>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Extreme Sensitivity Quantified by 10</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LOD (Limit of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2199640</wp:posOffset>
            </wp:positionH>
            <wp:positionV relativeFrom="paragraph">
              <wp:posOffset>84455</wp:posOffset>
            </wp:positionV>
            <wp:extent cx="2743200" cy="248602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4320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Mapping Proteoforms</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 protein 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57495" cy="22117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357495" cy="2211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On our Nautilus platform, we are able to use existing commercially available affinity reagents to perform detailed mapping of proteoform patterns at the single protein molecule level. We do this by measuring individual proteins at each specific post-translational modification site over multiple cycles, each cycle targeting a different</w:t>
      </w:r>
    </w:p>
    <w:p>
      <w:pPr>
        <w:sectPr>
          <w:pgSz w:w="11900" w:h="16838" w:orient="portrait"/>
          <w:cols w:equalWidth="0" w:num="1">
            <w:col w:w="11100"/>
          </w:cols>
          <w:pgMar w:left="320" w:top="1440"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88" w:name="page89"/>
    <w:bookmarkEnd w:id="88"/>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specific site or feature of the protein. For example in the diagram below, during the first cycle we use an EGFR affinity reagent to identify all of the EGFR proteins present on the flow cell. Then over the next 4 cycles we detect each EGFR molecule again, only now with a slightly different affinity reagent that targets each different location of a phosphorylation modification on the EGFR protein. Looking at this data together over 5 cycles, our technology is potentially able to distinguish up to 16 different proteoforms (in this case, different phosphorylated patterns) of the same EGFR protein and the quantity of each proteoform in a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-170815</wp:posOffset>
            </wp:positionV>
            <wp:extent cx="2857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93980</wp:posOffset>
            </wp:positionV>
            <wp:extent cx="5357495" cy="13455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357495"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We demonstrated this principle of proteoform detection by looking at three samples on our Nautilus platform. These three samples were designed from purified protein to detect different proteoforms of the same basic protein. The first sample was primarily a protein in Proteoform 1 form. The second sample was primarily a protein in a mix of Proteoform 1 and Proteoform 2 forms. The third sample was primarily a protein in Proteoform 2 form. As shown in the figure below, the Nautilus platform is not only able to both differentiate between these forms, but is also able to do so quantitatively and therefore determine how much of each proteoform is in each sample.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Nautilus Platform Proteoform Pattern Detection and Quantitation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117475</wp:posOffset>
            </wp:positionV>
            <wp:extent cx="3429000" cy="24003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0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Platform Development Plan Key Areas of Focus</w:t>
      </w:r>
    </w:p>
    <w:p>
      <w:pPr>
        <w:spacing w:after="0" w:line="175"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In order to achieve our goal of broad commercialization by the end of 2023 or beginning of 2024, we plan to advance the development of our Nautilus platform across all components including chemistries, reagents, consumables, instrumentation and analysis software. The prototype of our proteome analysis system has generated all of our internal data to date, and we are continuing the development process to optimize, improve upon, and validate the final designs, formulations, protocols, manufacturing processes, and software code comprising our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89" w:name="page90"/>
    <w:bookmarkEnd w:id="89"/>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 protein molecule landing pads, we plan to further optimize the landing pad spacing, density, manufacturing process and chemistries of the first commercially available flow cells. We also intend to focus on the completion of the final engineering design of our proteome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proteome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proteome analysis system performance.</w:t>
      </w:r>
    </w:p>
    <w:p>
      <w:pPr>
        <w:spacing w:after="0" w:line="125"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Assuming the completion of our development across these focal areas on our currently anticipated timeline, as well as additional related development activities, we believe we will be in position to achieve our goal of broad commercialization by the end of 2023 or beginning of 2024.</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APPLICATIONS OF OUR TECHNOLOGY</w:t>
      </w:r>
    </w:p>
    <w:p>
      <w:pPr>
        <w:spacing w:after="0" w:line="17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Nautilus platform technology is an open platform that is designed to leverage a wide variety of reagents to read and quantify the proteome and proteoforms</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believe that our Nautilus platform technology is designed to represent one of the first truly novel technologies for the detection and quantitation of proteins and proteoforms by leveraging the creation of our single protein 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57495" cy="23145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35749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On one end of the spectrum (above left), our technology is designed to harness the power of low specificity multi-affinity binding reagents that will potentially allow us to detect substantially all of the proteome. On the other end of the spectrum (above right), we believe we can apply high specificity affinity binding reagents that detect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0" w:name="page91"/>
    <w:bookmarkEnd w:id="90"/>
    <w:p>
      <w:pPr>
        <w:spacing w:after="0" w:line="14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 creation of new and unforeseen applications, in a similar market expansion and innovation trend that was experienced in the years following the launch of open and flexible NGS platform technologies.</w:t>
      </w:r>
    </w:p>
    <w:p>
      <w:pPr>
        <w:spacing w:after="0" w:line="13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open nature of the Nautilus platform creates the opportunity to partner with third-parties on the development and supply of affinity reagents. To that end, in the fourth quarter of 2021, we initiated a strategic partnership with Abcam, a world leader in the design and production of assay kits, reagents, and antibodies. This type of development and supply agreement is expected to provide us with antibodies additive to the affinity reagents we are creating internally and serves to highlight the flexible nature of our technology.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Discovery Potential of Our Nautilus Platform</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13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Further, we believe speed, scale, and single protein 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3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broad protein detection method to enhance the output of our analyses.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Multi-Omic Systems Biology and Proteogenomics</w:t>
      </w:r>
    </w:p>
    <w:p>
      <w:pPr>
        <w:spacing w:after="0" w:line="17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44"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 protein 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Translational Research and Discovery Applications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Biomarker Discovery</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has been published that approximately 95% of FDA-approved drug targets are proteins. Currently, FDA-approved drugs are targeting 812 separate human proteins and there are 4,514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Proteoform Patterns as Biomarkers and Mechanism of Action Studies</w:t>
      </w:r>
    </w:p>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Longitudinal Monitoring of Proteome Dynamics</w:t>
      </w:r>
    </w:p>
    <w:p>
      <w:pPr>
        <w:spacing w:after="0" w:line="17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2" w:name="page93"/>
    <w:bookmarkEnd w:id="92"/>
    <w:p>
      <w:pPr>
        <w:spacing w:after="0" w:line="14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Diagnostics, Clinical Research and Drug Development Applications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Transitioning from Discovery into Clinical Application</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11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Precision Medicine Development &amp; Clinical Trial Support</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34"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3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3" w:name="page94"/>
    <w:bookmarkEnd w:id="93"/>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Our primary business model is anticipated to be focused on the commercialization of our Nautilus platform through the sale of instrumentation, consumables, and software. Our proteome analysis system is our detection instrument at the center of our product suite, supported by reagent consumables for the preparation and analysis of proteins, and followed by sophisticated machine learning software architecture for the analysis of our data in the cloud.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Proteome Analysis System &amp; Reagent Kits</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Our proteome analysis system is a high-resolution optical imaging sub-system coupled with an integrated fluidics sub-system in order to process multi-cycle labeled affinity reagent binding and imaging runs. System run reagent kits are comprised of two main components: the flow cell(s), and the affinity binding reagents used to perform multi-cycle analysis runs.</w:t>
      </w:r>
    </w:p>
    <w:p>
      <w:pPr>
        <w:spacing w:after="0" w:line="130"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initial flow cell design includes 4 physically separated and independent fluid channels, or “lanes”, such that a customer can introduce a unique biological sample in to each lane for multi-cycle analysis. Our proteome analysis system is designed to hold and concurrently analyze up to three flow cells in a single system run, for a total of 12 lanes. Additional sample throughput may also be achieved by the use of a molecular barcode in our reagent kits that will enable the multiplexing of more than one barcoded sample library together within a single lane for analysis. Our high-throughput multiplexed reagent kits are expected to support up to 24 samples per run, and may be further scaled in the future.</w:t>
      </w:r>
    </w:p>
    <w:p>
      <w:pPr>
        <w:spacing w:after="0" w:line="12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Affinity binding reagents will also be included within each system run reagent kit. Reagent kits will be offered in configurations that cover a catalog of proteomic content desired by our customers by supplying different combinations of reagents together within a given kit. We intend to supply a standardized set of affinity binding reagents for the broad-scale detection of proteins, or “proteome kits”, as well as protein-specific or proteoform-specific reagent content sets, or “targeted proteoform kits”, focused on high interest areas of disease research. Additionally, custom affinity reagent labeling kits are expected to be supplied to enable customers to label their own in-house developed affinity reagents to be compatible with Nautilus chemistry for use on the system.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Sample Preparation Kits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proprietary sample preparation kits are expected to be intended for the isolation and library preparation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proteome analysis system, it is not expected that additional protein sample enrichment, enhancement or pre-treatments of samples will be required for processing, but we do intend to be compatible with such input materials. We also expect our customers and partners may intend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&amp; Analysis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machine learning protein identification analysis software suite also is expected to be utilized as the secondary analysis engine to decode the proteome analysis system raw data. Our software is expected to be a SaaS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4" w:name="page95"/>
    <w:bookmarkEnd w:id="94"/>
    <w:p>
      <w:pPr>
        <w:spacing w:after="0" w:line="144"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based service, utilizing Nautilus’ machine learning computational algorithms required to identify and quantify the proteins or proteoforms present on the system run. Our software is a learning and evolving system, which we are designing to improve in accuracy over time as the protein feature profiles are refined and trained across a growing database and our software has demonstrated this potential ability in our internal tests. We expect our software enhancements in performance will also be accessible to customers who wish to re-analyze prior run data with later versions to deliver new insight and discovery value.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primary business model we intend to implement is to directly commercialize our entire end-to-end Nautilus platform technology solution through the sale and installation of our proteome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 protein molecule quantitation, sensitivity, and reproducibility.</w:t>
      </w:r>
    </w:p>
    <w:p>
      <w:pPr>
        <w:spacing w:after="0" w:line="138"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These customers represent a segment of the greater than 16,000 system install base of mass spectrometry detection systems already in use, many of which are dedicated to proteomic 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12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proteome analysis system is expected to be priced in-line with mass spectrometry peptide detection equipment, or high-throughput NGS equipment, making the capital expense for our system within the budget for our initial customers. Our consumables are expected be priced at a level that provides comparable market value for full proteome analysis. The use of multiplexed run configurations will continue to grow over time, which we believe will help to reduce our costs and the price-per-sample of our reagent kits such that we are able to support customers with very high-throughput applications of our systems. We expect these high-throughput run configurations and economics to accelerate the initiation of large-scale proteomics and multi-omics research projects, and also to be much more compatible with centralized core lab facility operations with requirements for proteomic data generation that can support an entire organization or user base.</w:t>
      </w:r>
    </w:p>
    <w:p>
      <w:pPr>
        <w:spacing w:after="0" w:line="14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proteome analysis system. We further believe that once our proteome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pre-and post- proteome analysis system launch.</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Go-To-Market Strategy</w:t>
      </w:r>
    </w:p>
    <w:p>
      <w:pPr>
        <w:spacing w:after="0" w:line="17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We expect our proteome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that engaging with the market early is a critically important activity in building confidence and awareness of our technology and its capabilities.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Our planned go-to-market strategy is organized into 3 phases:</w:t>
      </w:r>
    </w:p>
    <w:p>
      <w:pPr>
        <w:spacing w:after="0" w:line="171" w:lineRule="exact"/>
        <w:rPr>
          <w:sz w:val="20"/>
          <w:szCs w:val="20"/>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Collaborations &amp; Partnerships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Early Access Program</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Proteome Analysis System Launch &amp; Commercial Scale Up</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 of the milestones on our development plan are potentially new and unprecedented advancements we can leverage to build commercial momentum.</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Aligning Go-to-Market Strategy with Research and Development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7343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34924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Collaborations &amp; Partnerships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have launched a formal partnering program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6" w:name="page97"/>
    <w:bookmarkEnd w:id="96"/>
    <w:p>
      <w:pPr>
        <w:spacing w:after="0" w:line="144" w:lineRule="exact"/>
        <w:rPr>
          <w:sz w:val="20"/>
          <w:szCs w:val="20"/>
          <w:color w:val="auto"/>
        </w:rPr>
      </w:pPr>
    </w:p>
    <w:p>
      <w:pPr>
        <w:ind w:right="1240"/>
        <w:spacing w:after="0" w:line="438" w:lineRule="auto"/>
        <w:rPr>
          <w:sz w:val="20"/>
          <w:szCs w:val="20"/>
          <w:color w:val="auto"/>
        </w:rPr>
      </w:pPr>
      <w:r>
        <w:rPr>
          <w:rFonts w:ascii="Arial" w:cs="Arial" w:eastAsia="Arial" w:hAnsi="Arial"/>
          <w:sz w:val="18"/>
          <w:szCs w:val="18"/>
          <w:color w:val="auto"/>
        </w:rPr>
        <w:t xml:space="preserve">product applications, which we expect will further aid in the rapid adoption of such applications once directly commercialized as products. </w:t>
      </w:r>
      <w:r>
        <w:rPr>
          <w:rFonts w:ascii="Arial" w:cs="Arial" w:eastAsia="Arial" w:hAnsi="Arial"/>
          <w:sz w:val="18"/>
          <w:szCs w:val="18"/>
          <w:i w:val="1"/>
          <w:iCs w:val="1"/>
          <w:color w:val="auto"/>
        </w:rPr>
        <w:t>Early Access Program</w:t>
      </w:r>
    </w:p>
    <w:p>
      <w:pPr>
        <w:spacing w:after="0" w:line="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Following the important Collaboration and Partnership work necessary to lay a foundation of publications describing our technology and the initial product applications, we believe we will have a body of scientific evidence sufficient to start building demand for our technology and the single-molecule proteomic data it generates. We then intend to initiate our pre-sales activities, which include the launch of an Early Access Program comprised of a service offering that will generate data on customer biological samples using our prototype systems run by Nautilus staff in our facilities. Using this Early Access Program, we intend to begin building a pipeline of customer engagements, supporting their evaluations of our technology through proof of concept and pilot studies, and giving them access to our data to begin establishing interest in our proteome analysis system leading up to launch.</w:t>
      </w:r>
    </w:p>
    <w:p>
      <w:pPr>
        <w:spacing w:after="0" w:line="11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further intend to build on the momentum of our Early Access Program by expanding it to include a small group of target customers for the sales and subsequent testing of our first generation proteome analysis system on site at their facilities. Our goal in the planned proteome analysis system Early Access Program is to establish this influential group of customers as reference sites ahead of our broader commercial launch, and to integrate the learnings from our system performance outside of our own laboratories to improve the performance and robustness of our system and process design.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Proteome Analysis System Launch and Commercial Scale Up</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At full commercial proteome analysis system launch, we expect to continue offering our Proteomic Data Early Access Program, and to maintain the laboratory services to continue supporting POC and pilot projects for an extended period of time to continue building our sales funnel. Our proteome analysis system launch is expected to be coupled with a substantial scale up of our commercial sales and marketing 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proteome analysis system commercial launch, we expect future system upgrades and enhancements periodically over time that will further drive discovery potential and our business with each incremental advancement.</w:t>
      </w:r>
    </w:p>
    <w:p>
      <w:pPr>
        <w:spacing w:after="0" w:line="11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92" w:lineRule="exact"/>
        <w:rPr>
          <w:sz w:val="20"/>
          <w:szCs w:val="20"/>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Being first to market with a novel protein and proteoform detection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Demonstrating the ability to unlock new sources of primary biological information with proteoform mapping and rare protein detection;</w:t>
      </w:r>
    </w:p>
    <w:p>
      <w:pPr>
        <w:spacing w:after="0" w:line="182" w:lineRule="exact"/>
        <w:rPr>
          <w:rFonts w:ascii="Arial" w:cs="Arial" w:eastAsia="Arial" w:hAnsi="Arial"/>
          <w:sz w:val="17"/>
          <w:szCs w:val="17"/>
          <w:color w:val="auto"/>
        </w:rPr>
      </w:pPr>
    </w:p>
    <w:p>
      <w:pPr>
        <w:ind w:left="660" w:right="320" w:hanging="328"/>
        <w:spacing w:after="0" w:line="277"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Providing immense data production capacity, driving discovery by enabling large scale studies and building our database to become a strategic asset;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Implementing a proven commercial model with an efficient direct salesforce;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Expanding our impact into clinical applications, precision medicine and diagnostics.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Partnerships</w:t>
      </w:r>
    </w:p>
    <w:p>
      <w:pPr>
        <w:spacing w:after="0" w:line="171"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In December of 2020, we signed a research collaboration agreement with Genentech to engage in a pilot study using our technology. This partnership is consistent with our objectives in Phase I of our commercial go-to-market strategy to build external collaborations and relationships that produce data and publications based on the application of our Nautilus platform technology to deliver a meaningful biological insight. We are collaborating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4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Genentech using our proteome analysis system to analyze and map the proteoform landscape of a Genentech protein target of interest. We aim to submit results for publication in early 2022.</w:t>
      </w:r>
    </w:p>
    <w:p>
      <w:pPr>
        <w:spacing w:after="0" w:line="116"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 October 2021, we entered into a research collaboration agreement with Amgen in which the Nautilus platform will be used across a number of projects to investigate proteins and proteoforms of interest to the Company. Also in October 2021, we signed a research agreement with The University of Texas MD Anderson Cancer Center. The Nautilus platform will be applied in measuring the quantity and patterns of post-translational modifications on specific oncology protein targets of interest across different settings, such as pre- and post treatment.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Reagent and Flow Cell Consumables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Arial" w:cs="Arial" w:eastAsia="Arial" w:hAnsi="Arial"/>
          <w:sz w:val="17"/>
          <w:szCs w:val="17"/>
          <w:i w:val="1"/>
          <w:iCs w:val="1"/>
          <w:color w:val="auto"/>
        </w:rPr>
        <w:t>Risk Factors— Risks Related to our Business.</w:t>
      </w:r>
      <w:r>
        <w:rPr>
          <w:rFonts w:ascii="Arial" w:cs="Arial" w:eastAsia="Arial" w:hAnsi="Arial"/>
          <w:sz w:val="17"/>
          <w:szCs w:val="17"/>
          <w:color w:val="auto"/>
        </w:rPr>
        <w: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Instrumentation</w:t>
      </w:r>
    </w:p>
    <w:p>
      <w:pPr>
        <w:spacing w:after="0" w:line="17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proteome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Quantum-Si;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developing their technologies for the life sciences market which may lead to products that rival or replace our products.</w:t>
      </w:r>
    </w:p>
    <w:p>
      <w:pPr>
        <w:spacing w:after="0" w:line="17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However, we believe we are substantially differentiated from our competitors for many reasons, including our novel approach to high throughput and massively parallel proteomic technology, the unique and proprietary nature of our technologies, the novel detail of protein modification mapping our platform can achieve,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1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1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12"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44"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30"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2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8"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0" w:name="page101"/>
    <w:bookmarkEnd w:id="100"/>
    <w:p>
      <w:pPr>
        <w:spacing w:after="0" w:line="14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1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As part of the Trump Administration’s efforts to combat COVID-19 and consistent with President Trump’s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Although the Biden administration has not taken affirmative steps to rescind this announcement issued by the previous administration, this 2020 HHS policy statement is no longer posted on the HHS website. Further, Congress has recently proposed legislation to create a new LDT and in vitro diagnostic regulatory framework for all in vitro clinical tests that would be separate and distinct from the existing medical device regulatory framework. In June 2021, members of the U.S. House of Representatives formally introduced the VALID Act (Verifying Accurate Leading-edge IVCT Development Act of 2021) and an identical version of the bill was introduced in the U.S. Senate. If passed, the VALID Act would create a new category of medical products separate from medical devices called “in vitro clinical tests,” or IVCTs, and bring all such products within the scope of FDA’s oversight. It is unclear whether the VALID Act or any other legislative proposals would be passed by Congress or signed into law by the President.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2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1" w:name="page102"/>
    <w:bookmarkEnd w:id="101"/>
    <w:p>
      <w:pPr>
        <w:spacing w:after="0" w:line="14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our Business—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and Legal Compliance Matters.</w:t>
      </w:r>
      <w:r>
        <w:rPr>
          <w:rFonts w:ascii="Arial" w:cs="Arial" w:eastAsia="Arial" w:hAnsi="Arial"/>
          <w:sz w:val="18"/>
          <w:szCs w:val="18"/>
          <w:color w:val="auto"/>
        </w:rPr>
        <w:t>”</w:t>
      </w:r>
    </w:p>
    <w:p>
      <w:pPr>
        <w:spacing w:after="0" w:line="11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2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3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our Business— Risks Related to</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and Legal Compliance Matters.</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1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December 31, 2021, we owned four issued U.S. patents, approximately twenty pending U.S. non-provisional patent applications, approximately fourteen pending U.S. provisional patent applications, and approximately forty-two pending foreign patent applications, including four international patent applications filed under the Patent Cooperation Treaty (PCT application). Our owned patents and patent applications, if issued, are expected to expire between 2037 and 2042, in each case absent any patent term adjustments or extensions and assuming payment of all appropriate maintenance, renewal, annuity, or other governmental fees.</w:t>
      </w:r>
    </w:p>
    <w:p>
      <w:pPr>
        <w:spacing w:after="0" w:line="134"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sample preparation; and high throughput decoding algorithms amongst other things.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December 31, 2021, we owned approximately six registered trademarks in China, the United Kingdom, and Europe. In addition, we have three pending trademark applications in the U.S., China and Canada.</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7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have entered into research collaboration agreements with Genentech in December 2020, with Amgen in October 2021, and with The University of Texas MD Anderson Cancer Center in October 2021. Under each of these agreements, respective research collaboration teams are using the Nautilus platform to analyze and map proteoforms of interest to the specific collaborator. These agreements are for research only and we will not generate any revenue under the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3" w:name="page104"/>
    <w:bookmarkEnd w:id="103"/>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Ruedi Aebersold, Ph.D.</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Lee Hartwell, Ph.D.</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Joshua LaBaer, MD, Ph.D.</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Emma Lundberg, Ph.D.</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Dr. Lundberg is a Professor in cell biology proteomics at KTH Royal Institute of Technology, Sweden, and Director of the Cell Atlas of the Human Protein Atlas, an international proteomics and cell mapping project. Dr. Lundberg also holds the positions of Director of the Cell Profiling facility at the Science for Life Laboratory (SciLifeLab) in Sweden.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December 31, 2021, we had 113 employees, all based in the United States, many of whom hold doctorate degrees. Of these employees, 83 were engaged in research and development activities, and 30 were engaged in general and administrative activities. None of our employees are represented by a labor union or covered under a collective bargaining agreement.</w:t>
      </w:r>
    </w:p>
    <w:p>
      <w:pPr>
        <w:spacing w:after="0" w:line="13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Available Information</w:t>
      </w:r>
    </w:p>
    <w:p>
      <w:pPr>
        <w:spacing w:after="0" w:line="17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Our principal executive offices are located at 2701 Eastlake Avenue East Seattle, Washington, 98102, and our telephone number is (206) 333-2001. Our investor relations website is located at http://www.nautilus.bio/investors/. Information contained on the website is not incorporated by reference into this prospectus or any other filings we make with the SEC.</w:t>
      </w:r>
    </w:p>
    <w:p>
      <w:pPr>
        <w:spacing w:after="0" w:line="13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names, ages, and positions of our executive officers and directors as of January 31,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7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Age</w:t>
            </w:r>
          </w:p>
        </w:tc>
        <w:tc>
          <w:tcPr>
            <w:tcW w:w="6040" w:type="dxa"/>
            <w:vAlign w:val="bottom"/>
          </w:tcPr>
          <w:p>
            <w:pPr>
              <w:ind w:left="276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1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auto"/>
            </w:tcBorders>
            <w:shd w:val="clear" w:color="auto" w:fill="CCEEFF"/>
          </w:tcPr>
          <w:p>
            <w:pPr>
              <w:spacing w:after="0"/>
              <w:rPr>
                <w:sz w:val="19"/>
                <w:szCs w:val="19"/>
                <w:color w:val="auto"/>
              </w:rPr>
            </w:pP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Sujal Patel</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47</w:t>
            </w:r>
          </w:p>
        </w:tc>
        <w:tc>
          <w:tcPr>
            <w:tcW w:w="1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Executive Officer, President, Secretary, and Director</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Parag Mallick</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45</w:t>
            </w:r>
          </w:p>
        </w:tc>
        <w:tc>
          <w:tcPr>
            <w:tcW w:w="120" w:type="dxa"/>
            <w:vAlign w:val="bottom"/>
            <w:shd w:val="clear" w:color="auto" w:fill="CCEEFF"/>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Scientist, Director</w:t>
            </w: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Anna Mowry</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1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Nick Nelson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39</w:t>
            </w:r>
          </w:p>
        </w:tc>
        <w:tc>
          <w:tcPr>
            <w:tcW w:w="120" w:type="dxa"/>
            <w:vAlign w:val="bottom"/>
            <w:shd w:val="clear" w:color="auto" w:fill="CCEEFF"/>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Business Officer, Senior Vice President, Business Development</w:t>
            </w: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Subra Sankar</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62</w:t>
            </w:r>
          </w:p>
        </w:tc>
        <w:tc>
          <w:tcPr>
            <w:tcW w:w="1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Senior Vice President, Product Development</w:t>
            </w: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 Murphy</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57</w:t>
            </w:r>
          </w:p>
        </w:tc>
        <w:tc>
          <w:tcPr>
            <w:tcW w:w="120" w:type="dxa"/>
            <w:vAlign w:val="bottom"/>
            <w:shd w:val="clear" w:color="auto" w:fill="CCEEFF"/>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w:t>
            </w:r>
          </w:p>
        </w:tc>
      </w:tr>
      <w:tr>
        <w:trPr>
          <w:trHeight w:val="229"/>
        </w:trPr>
        <w:tc>
          <w:tcPr>
            <w:tcW w:w="444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40" w:type="dxa"/>
            <w:vAlign w:val="bottom"/>
          </w:tcPr>
          <w:p>
            <w:pPr>
              <w:spacing w:after="0"/>
              <w:rPr>
                <w:sz w:val="19"/>
                <w:szCs w:val="19"/>
                <w:color w:val="auto"/>
              </w:rPr>
            </w:pPr>
          </w:p>
        </w:tc>
      </w:tr>
      <w:tr>
        <w:trPr>
          <w:trHeight w:val="229"/>
        </w:trPr>
        <w:tc>
          <w:tcPr>
            <w:tcW w:w="4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Altman</w:t>
            </w:r>
            <w:r>
              <w:rPr>
                <w:rFonts w:ascii="Arial" w:cs="Arial" w:eastAsia="Arial" w:hAnsi="Arial"/>
                <w:sz w:val="23"/>
                <w:szCs w:val="23"/>
                <w:color w:val="auto"/>
                <w:vertAlign w:val="superscript"/>
              </w:rPr>
              <w:t>(2)</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40</w:t>
            </w:r>
          </w:p>
        </w:tc>
        <w:tc>
          <w:tcPr>
            <w:tcW w:w="120" w:type="dxa"/>
            <w:vAlign w:val="bottom"/>
            <w:shd w:val="clear" w:color="auto" w:fill="CCEEFF"/>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4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(1)</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44</w:t>
            </w:r>
          </w:p>
        </w:tc>
        <w:tc>
          <w:tcPr>
            <w:tcW w:w="1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4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(1)(3)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56</w:t>
            </w:r>
          </w:p>
        </w:tc>
        <w:tc>
          <w:tcPr>
            <w:tcW w:w="120" w:type="dxa"/>
            <w:vAlign w:val="bottom"/>
            <w:shd w:val="clear" w:color="auto" w:fill="CCEEFF"/>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444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(2)</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60</w:t>
            </w:r>
          </w:p>
        </w:tc>
        <w:tc>
          <w:tcPr>
            <w:tcW w:w="120" w:type="dxa"/>
            <w:vAlign w:val="bottom"/>
          </w:tcPr>
          <w:p>
            <w:pPr>
              <w:spacing w:after="0"/>
              <w:rPr>
                <w:sz w:val="19"/>
                <w:szCs w:val="19"/>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44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(3)</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51</w:t>
            </w:r>
          </w:p>
        </w:tc>
        <w:tc>
          <w:tcPr>
            <w:tcW w:w="120" w:type="dxa"/>
            <w:vAlign w:val="bottom"/>
            <w:shd w:val="clear" w:color="auto" w:fill="CCEEFF"/>
          </w:tcPr>
          <w:p>
            <w:pPr>
              <w:spacing w:after="0"/>
              <w:rPr>
                <w:sz w:val="19"/>
                <w:szCs w:val="19"/>
                <w:color w:val="auto"/>
              </w:rPr>
            </w:pPr>
          </w:p>
        </w:tc>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04"/>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Matthew L. Posard</w:t>
            </w:r>
            <w:r>
              <w:rPr>
                <w:rFonts w:ascii="Arial" w:cs="Arial" w:eastAsia="Arial" w:hAnsi="Arial"/>
                <w:sz w:val="23"/>
                <w:szCs w:val="23"/>
                <w:color w:val="auto"/>
                <w:vertAlign w:val="superscript"/>
              </w:rPr>
              <w:t>(1)(2)</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54</w:t>
            </w:r>
          </w:p>
        </w:tc>
        <w:tc>
          <w:tcPr>
            <w:tcW w:w="120" w:type="dxa"/>
            <w:vAlign w:val="bottom"/>
          </w:tcPr>
          <w:p>
            <w:pPr>
              <w:spacing w:after="0"/>
              <w:rPr>
                <w:sz w:val="24"/>
                <w:szCs w:val="24"/>
                <w:color w:val="auto"/>
              </w:rPr>
            </w:pPr>
          </w:p>
        </w:tc>
        <w:tc>
          <w:tcPr>
            <w:tcW w:w="60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of the audit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b w:val="1"/>
          <w:bCs w:val="1"/>
          <w:i w:val="1"/>
          <w:iCs w:val="1"/>
          <w:color w:val="auto"/>
        </w:rPr>
        <w:t xml:space="preserve">Sujal Patel </w:t>
      </w:r>
      <w:r>
        <w:rPr>
          <w:rFonts w:ascii="Arial" w:cs="Arial" w:eastAsia="Arial" w:hAnsi="Arial"/>
          <w:sz w:val="16"/>
          <w:szCs w:val="16"/>
          <w:color w:val="auto"/>
        </w:rPr>
        <w:t>has served as our Chief Executive Officer, President, Secretary and a member of our board of directors since June 2021. Mr. Patel co-founded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Legacy Nautilus and served as its Chief Executive Officer and a member of its board of directors from January 2017 through the closing of the Business Combination. Previously, 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currently serves on the board of directors of Qumulo, Inc. Mr. Patel holds a B.S. in Computer Science from the University of Maryland, College Park.</w:t>
      </w:r>
    </w:p>
    <w:p>
      <w:pPr>
        <w:spacing w:after="0" w:line="11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Mr. Patel is qualified to serve on our board of directors because of his deep knowledge of our business, and strategy, and his extensive executive leadership and operational experience.</w:t>
      </w:r>
    </w:p>
    <w:p>
      <w:pPr>
        <w:spacing w:after="0" w:line="116" w:lineRule="exact"/>
        <w:rPr>
          <w:sz w:val="20"/>
          <w:szCs w:val="20"/>
          <w:color w:val="auto"/>
        </w:rPr>
      </w:pPr>
    </w:p>
    <w:p>
      <w:pPr>
        <w:jc w:val="both"/>
        <w:ind w:right="380"/>
        <w:spacing w:after="0" w:line="287" w:lineRule="auto"/>
        <w:rPr>
          <w:sz w:val="20"/>
          <w:szCs w:val="20"/>
          <w:color w:val="auto"/>
        </w:rPr>
      </w:pPr>
      <w:r>
        <w:rPr>
          <w:rFonts w:ascii="Arial" w:cs="Arial" w:eastAsia="Arial" w:hAnsi="Arial"/>
          <w:sz w:val="16"/>
          <w:szCs w:val="16"/>
          <w:b w:val="1"/>
          <w:bCs w:val="1"/>
          <w:i w:val="1"/>
          <w:iCs w:val="1"/>
          <w:color w:val="auto"/>
        </w:rPr>
        <w:t xml:space="preserve">Parag Mallick </w:t>
      </w:r>
      <w:r>
        <w:rPr>
          <w:rFonts w:ascii="Arial" w:cs="Arial" w:eastAsia="Arial" w:hAnsi="Arial"/>
          <w:sz w:val="16"/>
          <w:szCs w:val="16"/>
          <w:color w:val="auto"/>
        </w:rPr>
        <w:t>has served as our Chief Scientist and a member of our board of directors since June 2021. Dr, Mallick co-founded Legacy Nautilus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its Chief Scientist and a member of its board of directors from December 2016 through the closing of the Business Combination. Dr. Mallick served as Assistant Professor at Stanford University from 2011 to 2017 and as Associate Professor at Stanford University from 2017 to the present.</w:t>
      </w:r>
    </w:p>
    <w:p>
      <w:pPr>
        <w:spacing w:after="0" w:line="2" w:lineRule="exact"/>
        <w:rPr>
          <w:sz w:val="20"/>
          <w:szCs w:val="20"/>
          <w:color w:val="auto"/>
        </w:rPr>
      </w:pPr>
    </w:p>
    <w:p>
      <w:pPr>
        <w:ind w:right="260"/>
        <w:spacing w:after="0" w:line="295" w:lineRule="auto"/>
        <w:rPr>
          <w:sz w:val="20"/>
          <w:szCs w:val="20"/>
          <w:color w:val="auto"/>
        </w:rPr>
      </w:pPr>
      <w:r>
        <w:rPr>
          <w:rFonts w:ascii="Arial" w:cs="Arial" w:eastAsia="Arial" w:hAnsi="Arial"/>
          <w:sz w:val="16"/>
          <w:szCs w:val="16"/>
          <w:color w:val="auto"/>
        </w:rPr>
        <w:t>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4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believe Dr. Mallick is qualified to serve on our board of directors because of his scientific expertise and his deep understanding of our business, operations and strategy.</w:t>
      </w:r>
    </w:p>
    <w:p>
      <w:pPr>
        <w:spacing w:after="0" w:line="116"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 xml:space="preserve">Anna Mowry </w:t>
      </w:r>
      <w:r>
        <w:rPr>
          <w:rFonts w:ascii="Arial" w:cs="Arial" w:eastAsia="Arial" w:hAnsi="Arial"/>
          <w:sz w:val="17"/>
          <w:szCs w:val="17"/>
          <w:color w:val="auto"/>
        </w:rPr>
        <w:t>has served as our Chief Financial Officer and Treasurer since June 2021. Ms. Mowry served as Legacy Nautilus’ Chief Financial Officer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Treasurer from January 2021 through the closing of the Business Combination. Previously, Ms. Mowry served as Vice President of 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spacing w:after="0" w:line="13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b w:val="1"/>
          <w:bCs w:val="1"/>
          <w:i w:val="1"/>
          <w:iCs w:val="1"/>
          <w:color w:val="auto"/>
        </w:rPr>
        <w:t xml:space="preserve">Nick Nelson </w:t>
      </w:r>
      <w:r>
        <w:rPr>
          <w:rFonts w:ascii="Arial" w:cs="Arial" w:eastAsia="Arial" w:hAnsi="Arial"/>
          <w:sz w:val="16"/>
          <w:szCs w:val="16"/>
          <w:color w:val="auto"/>
        </w:rPr>
        <w:t>has served as our Chief Business Officer and Senior Vice President, Business Development since June 2021. Mr Nelson served as Legacy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Nautilus’ Chief Business Officer and Senior Vice President, Business Development from October 2020 through the closing of the Business Combination. Previously, Mr. 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spacing w:after="0" w:line="11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b w:val="1"/>
          <w:bCs w:val="1"/>
          <w:i w:val="1"/>
          <w:iCs w:val="1"/>
          <w:color w:val="auto"/>
        </w:rPr>
        <w:t xml:space="preserve">Subra Sankar </w:t>
      </w:r>
      <w:r>
        <w:rPr>
          <w:rFonts w:ascii="Arial" w:cs="Arial" w:eastAsia="Arial" w:hAnsi="Arial"/>
          <w:sz w:val="17"/>
          <w:szCs w:val="17"/>
          <w:color w:val="auto"/>
        </w:rPr>
        <w:t>has served as our Senior Vice President, Product Development since June 2021. Dr. Sankar served as Legacy Nautilus’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Product Development from December 2020 through the closing of the Business Combination. Previously, Dr. Sankar served at GenapSys 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spacing w:after="0" w:line="124"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 xml:space="preserve">Matt Murphy </w:t>
      </w:r>
      <w:r>
        <w:rPr>
          <w:rFonts w:ascii="Arial" w:cs="Arial" w:eastAsia="Arial" w:hAnsi="Arial"/>
          <w:sz w:val="16"/>
          <w:szCs w:val="16"/>
          <w:color w:val="auto"/>
        </w:rPr>
        <w:t>has served as our General Counsel since June 2021. Mr. Murphy served as Legacy Nautilus’ General Counsel from April 2021 through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closing of the Business Combination. Prior to joining us, from August 2020 to March 2021, Mr. Murphy provided advisory services to various life sciences companies and, from July 2018 to August 2020, Mr. Murphy served as a Strategic Consultant and Consulting General Counsel to various life 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 xml:space="preserve">Matthew L. Posard </w:t>
      </w:r>
      <w:r>
        <w:rPr>
          <w:rFonts w:ascii="Arial" w:cs="Arial" w:eastAsia="Arial" w:hAnsi="Arial"/>
          <w:sz w:val="18"/>
          <w:szCs w:val="18"/>
          <w:color w:val="auto"/>
        </w:rPr>
        <w:t>has served on our board of directors and as Chairperson since June 2021 and served on the Legacy Nautilus board of directors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2019 through the closing of the Business Combination. Mr.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06" w:name="page107"/>
    <w:bookmarkEnd w:id="106"/>
    <w:p>
      <w:pPr>
        <w:spacing w:after="0" w:line="1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Posard currently serves as Founding Partner at Explore-DNA, 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 executive leadership roles at Illumina, Inc., a biotechnology company, from 2006 to 2015. Mr. Posard currently serves on multiple boards including Halozyme Therapeutics (NASDAQ: HALO), Talis Biomedical (NASDAQ: TLIS), DermTech (NASDAQ CM: DMTK), GALT Inc., Stemson Therapeutics, Geneyx Inc. and Vizgen Corp. Mr. Posard holds a B.A. in Management Science from the University of California, San Diego.</w:t>
      </w:r>
    </w:p>
    <w:p>
      <w:pPr>
        <w:spacing w:after="0" w:line="14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believe Mr. Posard is qualified to serve on our board of directors because of his extensive experience as an executive and serving on various boards of directors of companies in the life sciences industry.</w:t>
      </w:r>
    </w:p>
    <w:p>
      <w:pPr>
        <w:spacing w:after="0" w:line="1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Michael Altman, CFA</w:t>
      </w:r>
      <w:r>
        <w:rPr>
          <w:rFonts w:ascii="Arial" w:cs="Arial" w:eastAsia="Arial" w:hAnsi="Arial"/>
          <w:sz w:val="16"/>
          <w:szCs w:val="16"/>
          <w:color w:val="auto"/>
        </w:rPr>
        <w:t>, has served on our board of directors since June 2021 and served on the ARYA board of directors from inception until the closing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Business Combination. Mr. Altman also served as ARYA’s Chief Financial Officer from inception until the closing of the Business Combination. Mr. Altman has served as a Managing Director on the investment team of Perceptive Advisors since 2007,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graduated from the University of Vermont with a BS in Business Administration.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We believe Mr. Altman is qualified to serve on our board of directors because of his broad operational and transactional experience.</w:t>
      </w:r>
    </w:p>
    <w:p>
      <w:pPr>
        <w:spacing w:after="0" w:line="171"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i w:val="1"/>
          <w:iCs w:val="1"/>
          <w:color w:val="auto"/>
        </w:rPr>
        <w:t xml:space="preserve">Melissa Epperly </w:t>
      </w:r>
      <w:r>
        <w:rPr>
          <w:rFonts w:ascii="Arial" w:cs="Arial" w:eastAsia="Arial" w:hAnsi="Arial"/>
          <w:sz w:val="16"/>
          <w:szCs w:val="16"/>
          <w:color w:val="auto"/>
        </w:rPr>
        <w:t>has served on our board of directors since June 2021 and served on the Legacy Nautilus board of directors from January 2021 through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closing of the Business Combination. Ms. Epperly currently serves as Chief Financial Officer of Zentalis Pharmaceuticals, Inc. (NASDAQ: ZNTL), a clinical-stage cancer company, a position she has held since 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serves on the board of directors of Kinnate Biopharma Inc. (NASDAQ: KNTE). Ms. Epperly holds a B.A. in Biochemisty and Economics from the University of Virginia and an M.B.A from Harvard Business School.</w:t>
      </w:r>
    </w:p>
    <w:p>
      <w:pPr>
        <w:spacing w:after="0" w:line="11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believe Ms. Epperly is qualified to serve on our board of directors because of her extensive experience as a senior financing executive in the life sciences industry.</w:t>
      </w:r>
    </w:p>
    <w:p>
      <w:pPr>
        <w:spacing w:after="0" w:line="116"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Matthew McIlwain </w:t>
      </w:r>
      <w:r>
        <w:rPr>
          <w:rFonts w:ascii="Arial" w:cs="Arial" w:eastAsia="Arial" w:hAnsi="Arial"/>
          <w:sz w:val="17"/>
          <w:szCs w:val="17"/>
          <w:color w:val="auto"/>
        </w:rPr>
        <w:t>has served on our board of directors since June 2021 and served on the Legacy Nautilus board of directors from January 2021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closing of the Business Combination. Mr. McIlwain currently serves as a Managing Director at Madrona Venture Group, a venture capital firm, a position he has held since June 2002, and joined as a Venture Partner in June 2000. Prior to joining Madrona Venture Group, Mr. McIlwain served as Vice President of Business Operations at Genuine Parts Company from January 1996 to May 2000, a consultant at McKinsey &amp; Company from August 1992 to December 1995, and in investment banking at Credit Suisse First Boston from July 1987 to July 1989. Mr. McIlwain currently serves as a director on the boards of organizations including Smartsheet Inc. (NYSE: SMAR), Fred Hutchinson Cancer Research Center (past Chair), and the Washington Policy Center. Mr. McIlwain holds a B.A. in Government and Economics from Dartmouth College, an M.P.P. in Public Policy from Harvard University’s Kennedy School of Government, and an M.B.A.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7" w:name="page108"/>
    <w:bookmarkEnd w:id="107"/>
    <w:p>
      <w:pPr>
        <w:spacing w:after="0" w:line="144"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We believe Mr. McIlwain is qualified to serve on our board of directors due to his extensive industry background and experience investing in the technology and life sciences industry.</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Farzad Nazem </w:t>
      </w:r>
      <w:r>
        <w:rPr>
          <w:rFonts w:ascii="Arial" w:cs="Arial" w:eastAsia="Arial" w:hAnsi="Arial"/>
          <w:sz w:val="18"/>
          <w:szCs w:val="18"/>
          <w:color w:val="auto"/>
        </w:rPr>
        <w:t>has served on our board of directors since June 2021 and served on the Legacy Nautilus board of directors from June 2017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of the Business Combination. Mr. Nazem spent over 11 years at Yahoo! Inc., a web services provider, where he served as Chief Technology Officer, and over 10 years at Oracle Corporation, a database management company, where he spent time as Vice President of the Web and Media Server Division. Mr. Nazem has served on the board of directors of Skydance Media, LLC, since June 2019, and previously served as a member of the board of directors and an advisor to Apixio, Inc. and NextBio Inc. Mr. Nazem holds a B.S. in Computer Science from California Polytechnic State University–San Luis Obispo.</w:t>
      </w:r>
    </w:p>
    <w:p>
      <w:pPr>
        <w:spacing w:after="0" w:line="13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believe Mr. Nazem is qualified to serve on our board of directors because of his technical expertise, extensive industry background and management experience.</w:t>
      </w:r>
    </w:p>
    <w:p>
      <w:pPr>
        <w:spacing w:after="0" w:line="1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i w:val="1"/>
          <w:iCs w:val="1"/>
          <w:color w:val="auto"/>
        </w:rPr>
        <w:t xml:space="preserve">Vijay Pande </w:t>
      </w:r>
      <w:r>
        <w:rPr>
          <w:rFonts w:ascii="Arial" w:cs="Arial" w:eastAsia="Arial" w:hAnsi="Arial"/>
          <w:sz w:val="18"/>
          <w:szCs w:val="18"/>
          <w:color w:val="auto"/>
        </w:rPr>
        <w:t>has served on our board of directors since June 2021, and served on the Legacy Nautilus board of directors from May 2018 through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closing of the Business Combination. Since September 2015, Dr. Pande has served as a general partner at Andreessen Horowitz, a venture capital fund, where he focuses on investments in biopharma and healthcare companies. From October 1999 to February 2019, Dr. Pande served as founding director of Folding@home, a distributed computing project for disease research. Since 2014, Dr. Pande has served as a member of the scientific advisory boards of Schrödinger, Inc. and Globavir Biosciences, Inc. Dr. Pande holds a B.S. in Physics from Princeton University and a Ph.D. in Physics from Massachusetts Institute of Technology.</w:t>
      </w:r>
    </w:p>
    <w:p>
      <w:pPr>
        <w:spacing w:after="0" w:line="13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We believe Dr. Pande is qualified to serve on our board of directors because of his extensive industry experience and board experience with healthcare companies.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among any of our directors and executive officers.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w:t>
      </w:r>
    </w:p>
    <w:p>
      <w:pPr>
        <w:spacing w:after="0" w:line="17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Our business and affairs are organized under the direction of the board of directors. Our board of directors currently consists of eight (8) members. Mr. Posard serves as Chairperson of our board of directors. The primary responsibilities of the board of directors are to provide oversight, strategic guidance, counseling and direction to our management. The board of directors will meet on a regular basis and additionally as required.</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In accordance with the terms of our Certificate of Incorporation and our Bylaws, our board of directors is divided into three staggered classes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Class I, Class II and Class III, with members of each class serving staggered three-year terms. Our board of directors is divided into the following classes:</w:t>
      </w:r>
    </w:p>
    <w:p>
      <w:pPr>
        <w:spacing w:after="0" w:line="180"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Class I, which consists of Sujal Patel, Vijay Pande and Michael Altman, whose terms expire at our annual meeting of stockholders in 2022;</w:t>
      </w:r>
    </w:p>
    <w:p>
      <w:pPr>
        <w:spacing w:after="0" w:line="182" w:lineRule="exact"/>
        <w:rPr>
          <w:rFonts w:ascii="Arial" w:cs="Arial" w:eastAsia="Arial" w:hAnsi="Arial"/>
          <w:sz w:val="17"/>
          <w:szCs w:val="17"/>
          <w:color w:val="auto"/>
        </w:rPr>
      </w:pPr>
    </w:p>
    <w:p>
      <w:pPr>
        <w:ind w:left="660" w:right="260" w:hanging="328"/>
        <w:spacing w:after="0" w:line="277" w:lineRule="auto"/>
        <w:tabs>
          <w:tab w:leader="none" w:pos="655"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Class II, which consists of Parag Mallick, Farzad Nazem and Matthew McIllwain, whose terms expire at our annual meeting of stockholders in 2023;</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Class III, which consists of Melissa Epperly and Matthew Posard, whose terms expire at our annual meeting of stockholders in 2024;</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the board of directors may have the effect of delaying or preventing changes in our control or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8" w:name="page109"/>
    <w:bookmarkEnd w:id="10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Our board of directors has determined that each of our directors other than Mr. Patel and Dr. Mallick qualify as independent directors, as defined under the rules of the Nasdaq listing standards, and our board of directors consists of a majority of “independent directors,” as defined under the rules of the SEC and Nasdaq relating to the membership, qualifications, and operations of the audit committee, as discussed below.</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Our Board of Directors in Risk Oversight</w:t>
      </w:r>
    </w:p>
    <w:p>
      <w:pPr>
        <w:spacing w:after="0" w:line="17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One of the key functions of our board of directors is informed oversight of the risk management process. Our board of directors does not have a standing risk management committee, but rather administers this oversight function directly through our board of directors as a whole, as well as through various standing committees of our board of directors that address risks inherent in their respective areas of oversight. In particular our board of directors is responsible for monitoring and assessing strategic risk exposure and our audit committee has the responsibility to consider and discuss major financial risk exposures and the steps our management takes to monitor and control such exposures, including guidelines and policies to govern the process by which risk assessment and management is undertaken. The audit committee also monitors compliance with legal and regulatory requirements. Our compensation committee is responsible for overseeing the management of risks relating to executive compensation plans and arrangements. The compensation committee also assesses and monitors whether compensation plans, policies and programs comply with applicable legal and regulatory requirements.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board of directors has three standing committees: an audit committee, a compensation committee, and a nominating and corporate governance committee.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members of our audit committee are Matthew McIlwain, Matthew Posard, and Melissa Epperly, and Ms. Epperly serves as the chairperson of the audit committee. Under the Nasdaq listing rules and applicable SEC rules, we are required to have at least three members of the audit committee. The rules of Nasdaq and Rule 10A-3 of the Exchange Act require that the audit committee of a listed company be composed solely of independent directors for audit committee purposes, and each member qualifies as an independent director for audit committee purposes under applicable rules. Each of Matthew McIlwain, Matthew Posard, and Melissa Epperly is financially literate and each of Matthew McIlwain and Melissa Epperly qualifies as an “audit committee financial expert” as defined in applicable SEC rules.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our audit committee include, among other things, to:</w:t>
      </w:r>
    </w:p>
    <w:p>
      <w:pPr>
        <w:spacing w:after="0" w:line="171" w:lineRule="exact"/>
        <w:rPr>
          <w:sz w:val="20"/>
          <w:szCs w:val="20"/>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select, retain, compensate, evaluate, oversee and, where appropriate, terminate our independent registered public accounting firm;</w:t>
      </w:r>
    </w:p>
    <w:p>
      <w:pPr>
        <w:spacing w:after="0" w:line="171" w:lineRule="exact"/>
        <w:rPr>
          <w:rFonts w:ascii="Arial" w:cs="Arial" w:eastAsia="Arial" w:hAnsi="Arial"/>
          <w:sz w:val="18"/>
          <w:szCs w:val="18"/>
          <w:color w:val="auto"/>
        </w:rPr>
      </w:pPr>
    </w:p>
    <w:p>
      <w:pPr>
        <w:ind w:left="660" w:right="66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registered public accounting firm;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evaluate the independence and qualifications of our independent registered public accounting firm;</w:t>
      </w:r>
    </w:p>
    <w:p>
      <w:pPr>
        <w:spacing w:after="0" w:line="171"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our financial statements, and discuss with management and our independent registered public accounting firm the results of the annual audit and the quarterly reviews;</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the quality and adequacy of our internal controls and our disclosure controls and procedures;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1"/>
        </w:numPr>
        <w:rPr>
          <w:rFonts w:ascii="Arial" w:cs="Arial" w:eastAsia="Arial" w:hAnsi="Arial"/>
          <w:sz w:val="16"/>
          <w:szCs w:val="16"/>
          <w:color w:val="auto"/>
        </w:rPr>
      </w:pPr>
      <w:r>
        <w:rPr>
          <w:rFonts w:ascii="Arial" w:cs="Arial" w:eastAsia="Arial" w:hAnsi="Arial"/>
          <w:sz w:val="16"/>
          <w:szCs w:val="16"/>
          <w:color w:val="auto"/>
        </w:rPr>
        <w:t>discuss with management our procedures regarding the presentation of our financial information, and review earnings press releases and guidance;</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our internal audit function, if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44" w:lineRule="exact"/>
        <w:rPr>
          <w:sz w:val="20"/>
          <w:szCs w:val="20"/>
          <w:color w:val="auto"/>
        </w:rPr>
      </w:pPr>
    </w:p>
    <w:p>
      <w:pPr>
        <w:ind w:left="660" w:right="10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set hiring policies with regard to the hiring of employees and former employees of our independent registered public accounting firm and oversee compliance with such policies;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approve and monitor related party transactions;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and monitor compliance with our Code of Business Conduct and Ethics and consider questions of actual or possible conflicts of interest of our directors and officers;</w:t>
      </w:r>
    </w:p>
    <w:p>
      <w:pPr>
        <w:spacing w:after="0" w:line="116" w:lineRule="exact"/>
        <w:rPr>
          <w:rFonts w:ascii="Arial" w:cs="Arial" w:eastAsia="Arial" w:hAnsi="Arial"/>
          <w:sz w:val="18"/>
          <w:szCs w:val="18"/>
          <w:color w:val="auto"/>
        </w:rPr>
      </w:pPr>
    </w:p>
    <w:p>
      <w:pPr>
        <w:ind w:left="660" w:right="880" w:hanging="328"/>
        <w:spacing w:after="0" w:line="342" w:lineRule="auto"/>
        <w:tabs>
          <w:tab w:leader="none" w:pos="655" w:val="left"/>
        </w:tabs>
        <w:numPr>
          <w:ilvl w:val="0"/>
          <w:numId w:val="62"/>
        </w:numPr>
        <w:rPr>
          <w:rFonts w:ascii="Arial" w:cs="Arial" w:eastAsia="Arial" w:hAnsi="Arial"/>
          <w:sz w:val="16"/>
          <w:szCs w:val="16"/>
          <w:color w:val="auto"/>
        </w:rPr>
      </w:pPr>
      <w:r>
        <w:rPr>
          <w:rFonts w:ascii="Arial" w:cs="Arial" w:eastAsia="Arial" w:hAnsi="Arial"/>
          <w:sz w:val="16"/>
          <w:szCs w:val="16"/>
          <w:color w:val="auto"/>
        </w:rPr>
        <w:t>adopt and oversee procedures to address complaints regarding accounting, internal accounting controls and auditing matters, including confidential, anonymous submissions by our employees of concerns regarding questionable accounting or auditing matters;</w:t>
      </w:r>
    </w:p>
    <w:p>
      <w:pPr>
        <w:spacing w:after="0" w:line="69" w:lineRule="exact"/>
        <w:rPr>
          <w:rFonts w:ascii="Arial" w:cs="Arial" w:eastAsia="Arial" w:hAnsi="Arial"/>
          <w:sz w:val="16"/>
          <w:szCs w:val="16"/>
          <w:color w:val="auto"/>
        </w:rPr>
      </w:pPr>
    </w:p>
    <w:p>
      <w:pPr>
        <w:ind w:left="660" w:right="74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the adequacy and effectiveness of our legal, regulatory and ethical compliance programs; and</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review and discuss with management and our independent registered public accounting firm our guidelines and policies to identify, monitor and address enterprise risks.</w:t>
      </w:r>
    </w:p>
    <w:p>
      <w:pPr>
        <w:spacing w:after="0" w:line="116" w:lineRule="exact"/>
        <w:rPr>
          <w:sz w:val="20"/>
          <w:szCs w:val="20"/>
          <w:color w:val="auto"/>
        </w:rPr>
      </w:pPr>
    </w:p>
    <w:p>
      <w:pPr>
        <w:ind w:right="420"/>
        <w:spacing w:after="0" w:line="438" w:lineRule="auto"/>
        <w:rPr>
          <w:sz w:val="20"/>
          <w:szCs w:val="20"/>
          <w:color w:val="auto"/>
        </w:rPr>
      </w:pPr>
      <w:r>
        <w:rPr>
          <w:rFonts w:ascii="Arial" w:cs="Arial" w:eastAsia="Arial" w:hAnsi="Arial"/>
          <w:sz w:val="18"/>
          <w:szCs w:val="18"/>
          <w:color w:val="auto"/>
        </w:rPr>
        <w:t xml:space="preserve">Our audit committee operates under a written charter that satisfies the applicable rules and regulations of the SEC and the listing standards of Nasdaq. </w:t>
      </w:r>
      <w:r>
        <w:rPr>
          <w:rFonts w:ascii="Arial" w:cs="Arial" w:eastAsia="Arial" w:hAnsi="Arial"/>
          <w:sz w:val="18"/>
          <w:szCs w:val="18"/>
          <w:b w:val="1"/>
          <w:bCs w:val="1"/>
          <w:i w:val="1"/>
          <w:iCs w:val="1"/>
          <w:color w:val="auto"/>
        </w:rPr>
        <w:t>Compensation Committee</w:t>
      </w:r>
    </w:p>
    <w:p>
      <w:pPr>
        <w:spacing w:after="0" w:line="1"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members of our compensation committee are Michael Altman, Farzad Nazem, and Matthew Posard, and Mr. Posard serves as the chairperson of the compensation committee. Our board of directors has determined that each of the members of the compensation committee is a non-employee director, as defined in Rule 16b-3 promulgated under the Exchange Act and satisfies the independence requirements of Nasdaq.</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our compensation committee include, among other things, to:</w:t>
      </w:r>
    </w:p>
    <w:p>
      <w:pPr>
        <w:spacing w:after="0" w:line="171" w:lineRule="exact"/>
        <w:rPr>
          <w:sz w:val="20"/>
          <w:szCs w:val="20"/>
          <w:color w:val="auto"/>
        </w:rPr>
      </w:pPr>
    </w:p>
    <w:p>
      <w:pPr>
        <w:ind w:left="660" w:right="70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and approve or recommend to our board of directors for approval the compensation for our executive officers, including our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approve and administer our employee benefit and equity incentive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advise our board of directors on stockholder proposals related to executive compensation matters;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 and review the compensation plans and programs of our employees, and ensure that they are consistent with our general compensation strategy;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oversee the management of risks relating to executive compensation plans and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monitor compliance with any stock ownership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approve the creation or revision of any clawback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and approve or recommend to our board of directors for approval non-employee director compensation;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review executive compensation disclosure in our SEC filings and prepare the compensation committee report required to be included in our annual proxy statement.</w:t>
      </w:r>
    </w:p>
    <w:p>
      <w:pPr>
        <w:spacing w:after="0" w:line="11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compensation committee operates under a written charter that satisfies the applicable rules and regulations of the SEC and the listing standards of Nasdaq.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members of our nominating and corporate governance committee are Matthew McIlwain and Vijay Pande, and Mr. McIlwain serves as the chairperson of the nominating and corporate governance committee. Our board of</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187960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type w:val="continuous"/>
        </w:sectPr>
      </w:pPr>
    </w:p>
    <w:bookmarkStart w:id="110" w:name="page111"/>
    <w:bookmarkEnd w:id="110"/>
    <w:p>
      <w:pPr>
        <w:spacing w:after="0" w:line="14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directors has determined that each of the members of our nominating and corporate governance committee satisfy the independence requirements of Nasdaq.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functions of our nominating and corporate governance committee include, among other things, to:</w:t>
      </w:r>
    </w:p>
    <w:p>
      <w:pPr>
        <w:spacing w:after="0" w:line="171" w:lineRule="exact"/>
        <w:rPr>
          <w:sz w:val="20"/>
          <w:szCs w:val="20"/>
          <w:color w:val="auto"/>
        </w:rPr>
      </w:pPr>
    </w:p>
    <w:p>
      <w:pPr>
        <w:ind w:left="660" w:right="10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assess and make recommendations to our board of directors regarding desired qualifications, expertise and characteristics sought of board members;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identify, evaluate, select or make recommendations to our board of directors regarding nominees for election to our board of directors;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develop policies and procedures for considering stockholder nominees for election to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our succession planning process for our chief executive officer and any other members of our executive management team;</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review and make recommendations to our board of directors regarding the composition, organization and governance of our board of directors and its committees;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review and make recommendations to our board of directors regarding our corporate governance guidelines and corporate governance framework;</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 director orientation for new directors and continuing education for our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 our Environmental, Social and Governance (“ESG”) programs and related disclosures and communications;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oversee the evaluation of the performance of our board of directors and its committees;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administer policies and procedures for communications with the non-management members of our board of directors.</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nominating and corporate governance committee operates under a written charter that satisfies the applicable rules and regulations of the SEC and the listing standards of Nasdaq.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Our board of directors or our compensation committee determine the annual compensation to be paid to the members of our board of directors.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7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None of the members of our compensation committee has ever been an executive officer or employee of Nautilus. Mr. Altman served as ARYA’s Chief Financial Officer and director from its inception until the closing of the Business Combination. None of our executive officers currently serve, or has served during the last completed fiscal year, on the compensation committee or board of directors of any other entity that has one or more executive officers that serves as a member of the board of directors or our compensation committee. See the section titled “</w:t>
      </w:r>
      <w:r>
        <w:rPr>
          <w:rFonts w:ascii="Arial" w:cs="Arial" w:eastAsia="Arial" w:hAnsi="Arial"/>
          <w:sz w:val="16"/>
          <w:szCs w:val="16"/>
          <w:i w:val="1"/>
          <w:iCs w:val="1"/>
          <w:color w:val="auto"/>
        </w:rPr>
        <w:t>Certain Relationships, Related Party and Other</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for information about related party transactions involving members of our compensation committee or their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9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We believe our compensation program should promote the success of the company and align executive incentives with the long-term interests of our stockholders. As our needs evolve, we intend to continue to evaluate our philosophy and compensation programs as circumstances require.</w:t>
      </w:r>
    </w:p>
    <w:p>
      <w:pPr>
        <w:spacing w:after="0" w:line="70"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This section provides an overview of our and Legacy Nautilus’ executive compensation programs, including a narrative description of the material factors necessary to understand the information disclosed in the summary compensation table below. As used in this section, “Nautilus,” the “Company,” “we,” “us” and “our” refer to Legacy Nautilus prior to the closing of the Business Combination and New Nautilus after the closing of the Business Combination. Upon the closing of the Business Combination, the executive officers of Legacy Nautilus became executive officers of New Nautilus.</w:t>
      </w:r>
    </w:p>
    <w:p>
      <w:pPr>
        <w:spacing w:after="0" w:line="10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board of directors, with input from its Chief Executive Officer, has historically determined the compensation for our named executive officers. For the year ended December 31, 2021, our named executive officers were:</w:t>
      </w:r>
    </w:p>
    <w:p>
      <w:pPr>
        <w:spacing w:after="0" w:line="116" w:lineRule="exact"/>
        <w:rPr>
          <w:sz w:val="20"/>
          <w:szCs w:val="20"/>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Sujal Patel, Chief Executive Officer, President, and Secretary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Parag Mallick, Chief Scientist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Matt Murphy, General Counsel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the Fiscal Year Ended December 31, 2021</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compensation earned by our named executive officers for the fiscal years ended December 31, 2021 and December 31, 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Non-equity</w:t>
            </w:r>
          </w:p>
        </w:tc>
        <w:tc>
          <w:tcPr>
            <w:tcW w:w="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8"/>
              </w:rPr>
              <w:t>incentive</w:t>
            </w:r>
          </w:p>
        </w:tc>
        <w:tc>
          <w:tcPr>
            <w:tcW w:w="940" w:type="dxa"/>
            <w:vAlign w:val="bottom"/>
            <w:vMerge w:val="restart"/>
          </w:tcPr>
          <w:p>
            <w:pPr>
              <w:jc w:val="center"/>
              <w:ind w:left="278"/>
              <w:spacing w:after="0"/>
              <w:rPr>
                <w:sz w:val="20"/>
                <w:szCs w:val="20"/>
                <w:color w:val="auto"/>
              </w:rPr>
            </w:pPr>
            <w:r>
              <w:rPr>
                <w:rFonts w:ascii="Arial" w:cs="Arial" w:eastAsia="Arial" w:hAnsi="Arial"/>
                <w:sz w:val="14"/>
                <w:szCs w:val="14"/>
                <w:b w:val="1"/>
                <w:bCs w:val="1"/>
                <w:color w:val="auto"/>
                <w:w w:val="95"/>
              </w:rPr>
              <w:t>All other</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Salary</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vMerge w:val="continue"/>
          </w:tcPr>
          <w:p>
            <w:pPr>
              <w:spacing w:after="0"/>
              <w:rPr>
                <w:sz w:val="11"/>
                <w:szCs w:val="11"/>
                <w:color w:val="auto"/>
              </w:rPr>
            </w:pP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plan</w:t>
            </w:r>
          </w:p>
        </w:tc>
        <w:tc>
          <w:tcPr>
            <w:tcW w:w="94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1"/>
                <w:szCs w:val="11"/>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Year</w:t>
            </w:r>
          </w:p>
        </w:tc>
        <w:tc>
          <w:tcPr>
            <w:tcW w:w="96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5"/>
              </w:rPr>
              <w:t>awards</w:t>
            </w:r>
          </w:p>
        </w:tc>
        <w:tc>
          <w:tcPr>
            <w:tcW w:w="13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40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2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3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960" w:type="dxa"/>
            <w:vAlign w:val="bottom"/>
          </w:tcPr>
          <w:p>
            <w:pPr>
              <w:jc w:val="right"/>
              <w:ind w:right="136"/>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16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Pr>
          <w:p>
            <w:pPr>
              <w:spacing w:after="0"/>
              <w:rPr>
                <w:sz w:val="16"/>
                <w:szCs w:val="16"/>
                <w:color w:val="auto"/>
              </w:rPr>
            </w:pPr>
          </w:p>
        </w:tc>
        <w:tc>
          <w:tcPr>
            <w:tcW w:w="940" w:type="dxa"/>
            <w:vAlign w:val="bottom"/>
          </w:tcPr>
          <w:p>
            <w:pPr>
              <w:jc w:val="center"/>
              <w:ind w:left="27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4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32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Sujal Patel</w:t>
            </w:r>
          </w:p>
        </w:tc>
        <w:tc>
          <w:tcPr>
            <w:tcW w:w="10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i w:val="1"/>
                <w:iCs w:val="1"/>
                <w:color w:val="auto"/>
                <w:w w:val="98"/>
              </w:rPr>
              <w:t>President, Chief Executive Officer and</w:t>
            </w:r>
          </w:p>
        </w:tc>
        <w:tc>
          <w:tcPr>
            <w:tcW w:w="1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436,731</w:t>
            </w: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5,953,337</w:t>
            </w:r>
          </w:p>
        </w:tc>
        <w:tc>
          <w:tcPr>
            <w:tcW w:w="16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154,583</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60,684</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6,605,335</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Secretary</w:t>
            </w:r>
          </w:p>
        </w:tc>
        <w:tc>
          <w:tcPr>
            <w:tcW w:w="100" w:type="dxa"/>
            <w:vAlign w:val="bottom"/>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(3)</w:t>
            </w:r>
          </w:p>
        </w:tc>
        <w:tc>
          <w:tcPr>
            <w:tcW w:w="20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(4)</w:t>
            </w:r>
          </w:p>
        </w:tc>
        <w:tc>
          <w:tcPr>
            <w:tcW w:w="10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(5)</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251,450</w:t>
            </w:r>
          </w:p>
        </w:tc>
        <w:tc>
          <w:tcPr>
            <w:tcW w:w="0" w:type="dxa"/>
            <w:vAlign w:val="bottom"/>
          </w:tcPr>
          <w:p>
            <w:pPr>
              <w:spacing w:after="0"/>
              <w:rPr>
                <w:sz w:val="1"/>
                <w:szCs w:val="1"/>
                <w:color w:val="auto"/>
              </w:rPr>
            </w:pPr>
          </w:p>
        </w:tc>
      </w:tr>
      <w:tr>
        <w:trPr>
          <w:trHeight w:val="234"/>
        </w:trPr>
        <w:tc>
          <w:tcPr>
            <w:tcW w:w="3260" w:type="dxa"/>
            <w:vAlign w:val="bottom"/>
          </w:tcPr>
          <w:p>
            <w:pPr>
              <w:ind w:left="20"/>
              <w:spacing w:after="0"/>
              <w:rPr>
                <w:sz w:val="20"/>
                <w:szCs w:val="20"/>
                <w:color w:val="auto"/>
              </w:rPr>
            </w:pPr>
            <w:r>
              <w:rPr>
                <w:rFonts w:ascii="Arial" w:cs="Arial" w:eastAsia="Arial" w:hAnsi="Arial"/>
                <w:sz w:val="18"/>
                <w:szCs w:val="18"/>
                <w:b w:val="1"/>
                <w:bCs w:val="1"/>
                <w:color w:val="auto"/>
              </w:rPr>
              <w:t>Parag Mallick</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260" w:type="dxa"/>
            <w:vAlign w:val="bottom"/>
          </w:tcPr>
          <w:p>
            <w:pPr>
              <w:ind w:left="240"/>
              <w:spacing w:after="0"/>
              <w:rPr>
                <w:sz w:val="20"/>
                <w:szCs w:val="20"/>
                <w:color w:val="auto"/>
              </w:rPr>
            </w:pPr>
            <w:r>
              <w:rPr>
                <w:rFonts w:ascii="Arial" w:cs="Arial" w:eastAsia="Arial" w:hAnsi="Arial"/>
                <w:sz w:val="18"/>
                <w:szCs w:val="18"/>
                <w:i w:val="1"/>
                <w:iCs w:val="1"/>
                <w:color w:val="auto"/>
              </w:rPr>
              <w:t>Chief Scientist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379,808</w:t>
            </w:r>
          </w:p>
        </w:tc>
        <w:tc>
          <w:tcPr>
            <w:tcW w:w="360" w:type="dxa"/>
            <w:vAlign w:val="bottom"/>
          </w:tcPr>
          <w:p>
            <w:pPr>
              <w:jc w:val="right"/>
              <w:ind w:right="122"/>
              <w:spacing w:after="0"/>
              <w:rPr>
                <w:sz w:val="20"/>
                <w:szCs w:val="20"/>
                <w:color w:val="auto"/>
              </w:rPr>
            </w:pPr>
            <w:r>
              <w:rPr>
                <w:rFonts w:ascii="Arial" w:cs="Arial" w:eastAsia="Arial" w:hAnsi="Arial"/>
                <w:sz w:val="12"/>
                <w:szCs w:val="12"/>
                <w:color w:val="auto"/>
              </w:rPr>
              <w:t>(6)</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3,501,960</w:t>
            </w:r>
          </w:p>
        </w:tc>
        <w:tc>
          <w:tcPr>
            <w:tcW w:w="1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117,742</w:t>
            </w: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3,999,510</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Matt Murphy</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General Counsel</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231,096</w:t>
            </w:r>
          </w:p>
        </w:tc>
        <w:tc>
          <w:tcPr>
            <w:tcW w:w="36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(7)</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2,484,767</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74,344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(8)</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2,790,457</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0" w:hanging="332"/>
        <w:spacing w:after="0" w:line="241"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2020 or 2021,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 w:lineRule="exact"/>
        <w:rPr>
          <w:rFonts w:ascii="Arial" w:cs="Arial" w:eastAsia="Arial" w:hAnsi="Arial"/>
          <w:sz w:val="14"/>
          <w:szCs w:val="14"/>
          <w:color w:val="auto"/>
        </w:rPr>
      </w:pPr>
    </w:p>
    <w:p>
      <w:pPr>
        <w:ind w:left="340" w:right="20" w:hanging="332"/>
        <w:spacing w:after="0" w:line="241"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These amounts represent performance-based cash bonuses earned under the Incentive Plan (as defined below) based upon the achievement of objectives for the year ended December 31, 2021, which were paid in 2022 (other than with respect to $15,250 paid to Mr. Murphy in 2021 for individual performance objectives achieved during the year), and under the 2020 Nautilus employee bonus plan based upon the achievement of objectives for the year ended December 31, 2020, which were paid in 2021. The Incentive Plan is more fully described below under the section titled “—Non-Equity Incentive Plan Compensation.”</w:t>
      </w:r>
    </w:p>
    <w:p>
      <w:pPr>
        <w:spacing w:after="0" w:line="1" w:lineRule="exact"/>
        <w:rPr>
          <w:rFonts w:ascii="Arial" w:cs="Arial" w:eastAsia="Arial" w:hAnsi="Arial"/>
          <w:sz w:val="14"/>
          <w:szCs w:val="14"/>
          <w:color w:val="auto"/>
        </w:rPr>
      </w:pPr>
    </w:p>
    <w:p>
      <w:pPr>
        <w:ind w:left="340" w:right="80" w:hanging="332"/>
        <w:spacing w:after="0" w:line="255" w:lineRule="auto"/>
        <w:tabs>
          <w:tab w:leader="none" w:pos="332"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amount reported reflects the total salary earned by Mr. Patel for 2021. Mr. Patel’s annual base salary was $350,000 from January 2021 until the closing of the Business Combination on June 9, 2021 and was increased to an annual base salary of $500,000, effective as of the closing of the Business Combination on June 9,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39" w:lineRule="exact"/>
        <w:rPr>
          <w:sz w:val="20"/>
          <w:szCs w:val="20"/>
          <w:color w:val="auto"/>
        </w:rPr>
      </w:pPr>
    </w:p>
    <w:p>
      <w:pPr>
        <w:ind w:left="340" w:right="220" w:hanging="332"/>
        <w:spacing w:after="0" w:line="250" w:lineRule="auto"/>
        <w:tabs>
          <w:tab w:leader="none" w:pos="332"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reported represent (i) $1,200 in parking benefits and (ii) $59,484 in payment of a filing fee for a notice required under the Hart-Scott-Rodino Antitrust Improvements Act of 1976, as amended, to permit Mr. Patel to acquire additional Company securities and related tax equalization payments.</w:t>
      </w:r>
    </w:p>
    <w:p>
      <w:pPr>
        <w:ind w:left="320" w:hanging="312"/>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amounts reported represent (i) $1,200 in parking benefits and (ii) $250 for expenses associated with working from home.</w:t>
      </w:r>
    </w:p>
    <w:p>
      <w:pPr>
        <w:spacing w:after="0" w:line="1" w:lineRule="exact"/>
        <w:rPr>
          <w:rFonts w:ascii="Arial" w:cs="Arial" w:eastAsia="Arial" w:hAnsi="Arial"/>
          <w:sz w:val="14"/>
          <w:szCs w:val="14"/>
          <w:color w:val="auto"/>
        </w:rPr>
      </w:pPr>
    </w:p>
    <w:p>
      <w:pPr>
        <w:ind w:left="340" w:right="780" w:hanging="332"/>
        <w:spacing w:after="0" w:line="260" w:lineRule="auto"/>
        <w:tabs>
          <w:tab w:leader="none" w:pos="332" w:val="left"/>
        </w:tabs>
        <w:numPr>
          <w:ilvl w:val="0"/>
          <w:numId w:val="67"/>
        </w:numPr>
        <w:rPr>
          <w:rFonts w:ascii="Arial" w:cs="Arial" w:eastAsia="Arial" w:hAnsi="Arial"/>
          <w:sz w:val="13"/>
          <w:szCs w:val="13"/>
          <w:color w:val="auto"/>
        </w:rPr>
      </w:pPr>
      <w:r>
        <w:rPr>
          <w:rFonts w:ascii="Arial" w:cs="Arial" w:eastAsia="Arial" w:hAnsi="Arial"/>
          <w:sz w:val="13"/>
          <w:szCs w:val="13"/>
          <w:color w:val="auto"/>
        </w:rPr>
        <w:t>The amount reported reflects the total salary earned by Dr. Mallick for 2021. Dr. Mallick’s annual base salary was $350,000 from January 2021 until the closing of the Business Combination on June 9, 2021 and was increased to an annual base salary of $400,000, effective as of the closing of the Business Combination on June 9, 2021.</w:t>
      </w:r>
    </w:p>
    <w:p>
      <w:pPr>
        <w:ind w:left="340" w:right="140" w:hanging="332"/>
        <w:spacing w:after="0" w:line="241" w:lineRule="auto"/>
        <w:tabs>
          <w:tab w:leader="none" w:pos="332" w:val="left"/>
        </w:tabs>
        <w:numPr>
          <w:ilvl w:val="0"/>
          <w:numId w:val="67"/>
        </w:numPr>
        <w:rPr>
          <w:rFonts w:ascii="Arial" w:cs="Arial" w:eastAsia="Arial" w:hAnsi="Arial"/>
          <w:sz w:val="14"/>
          <w:szCs w:val="14"/>
          <w:color w:val="auto"/>
        </w:rPr>
      </w:pPr>
      <w:r>
        <w:rPr>
          <w:rFonts w:ascii="Arial" w:cs="Arial" w:eastAsia="Arial" w:hAnsi="Arial"/>
          <w:sz w:val="14"/>
          <w:szCs w:val="14"/>
          <w:color w:val="auto"/>
        </w:rPr>
        <w:t>Mr. Murphy commenced employment with us in April 2021, and therefore the compensation set forth in the table above reflects the amount earned for the portion of 2021 in which he was employed by us.</w:t>
      </w:r>
    </w:p>
    <w:p>
      <w:pPr>
        <w:ind w:left="320" w:hanging="312"/>
        <w:spacing w:after="0"/>
        <w:tabs>
          <w:tab w:leader="none" w:pos="32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The amount reported reflects $250 for expenses associated with working from home.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7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In January 2021, Legacy Nautilus’ board of directors adopted an annual bonus program (the “Nautilus Employee Bonus Plan”) for eligible employees, including its executives, providing for cash incentive opportunities payable based on the extent of achievement of specified performance criteria for 2021. In June 2021 when our board of directors approved the adoption of the Company’s Executive Incentive Compensation Plan (the “Incentive Plan”), the Nautilus Employee Bonus Plan became subject to the additional terms and conditions of the Incentive Plan.</w:t>
      </w:r>
    </w:p>
    <w:p>
      <w:pPr>
        <w:spacing w:after="0" w:line="103"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performance criteria for the Nautilus Employee Bonus Plan under the Incentive Plan consisted of four financial or strategic goals with respect to Nautilus (or “corporate performance goals”) for the 2021 year, as determined by our board of directors, that applied to each of our named executive officers. Each corporate performance goal was provided a specific weighting, and the extent of achievement of each such goal (expressed as a percentage and weighted accordingly) determined the payout with respect to the portion of the bonus opportunity allocated to such goal. For Mr. Murphy, the Nautilus Employee Bonus Plan additionally provided for individual performance goals (as determined by the compensation committee of our board of directors, and which related to corporate and strategic objectives specific to Mr. Murphy) that were required to be achieved during a given fiscal quarter of the 2021 year, for the second through fourth fiscal quarters. Mr. Murphy’s total cash incentive opportunity for 2021 was based 75% on corporate performance goals (prorated for the portion of the year that Mr. Murphy was employed by the Company) and 25% on individual performance goals (for the second, third, and fourth quarters of the year, based on the portion of the year that Mr. Murphy was employed by the Company). Mr. Patel and Dr. Mallick’s cash incentive opportunities for 2021 were based 100% on the corporate performance goals. Cash bonuses under the Nautilus Employee Bonus Plan that became payable based on achievement of the corporate performance goals were paid to participants, including to each of our named executive officers, in early 2022, and any bonuses that became payable to Mr. Murphy based on achievement of his individual performance goals were paid shortly following end of the quarter to which the performance achievement related.</w:t>
      </w:r>
    </w:p>
    <w:p>
      <w:pPr>
        <w:spacing w:after="0" w:line="13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amounts in the Summary Compensation Table under the column “Non-equity incentive plan compensation” for each named executive officer is based on such officer’s target bonus amount multiplied by the aggregate percentage of achievement of the corporate performance goals, provided that for Mr. Murphy, the amount also includes the cash bonuses paid to him for achievement of his individual performance goals, based on his target bonus opportunity allocated to the individual performance component, multiplied by the percentage of achievement of such goals for the applicable quarter. For 2021, the cash incentive bonus under the Nautilus Employee Bonus Plan for our named executive officers was $154,583 for Mr. Patel, $117,742 for Dr. Mallick and $74,344 for Mr. Murphy (of which $51,469 was paid out based on achievement of the corporate performance goals and $22,875 was paid out based on achievement of his individual performance goals).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December 31, 2021</w:t>
      </w:r>
    </w:p>
    <w:p>
      <w:pPr>
        <w:spacing w:after="0" w:line="17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following table sets forth certain information regarding equity awards granted to the named executive officers that remained outstanding as of December 31, 2021. The number of shares subject to each award and, where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applicable, the exercise price per share, reflect all changes as a result of our capitalization adjustments in connection with the Business Combination.</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b w:val="1"/>
                <w:bCs w:val="1"/>
                <w:color w:val="auto"/>
              </w:rPr>
              <w:t>Option Awards</w:t>
            </w: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9"/>
              </w:rPr>
              <w:t>Number of</w:t>
            </w:r>
          </w:p>
        </w:tc>
        <w:tc>
          <w:tcPr>
            <w:tcW w:w="1480" w:type="dxa"/>
            <w:vAlign w:val="bottom"/>
          </w:tcPr>
          <w:p>
            <w:pPr>
              <w:jc w:val="center"/>
              <w:ind w:left="254"/>
              <w:spacing w:after="0" w:line="122" w:lineRule="exact"/>
              <w:rPr>
                <w:sz w:val="20"/>
                <w:szCs w:val="20"/>
                <w:color w:val="auto"/>
              </w:rPr>
            </w:pPr>
            <w:r>
              <w:rPr>
                <w:rFonts w:ascii="Arial" w:cs="Arial" w:eastAsia="Arial" w:hAnsi="Arial"/>
                <w:sz w:val="13"/>
                <w:szCs w:val="13"/>
                <w:b w:val="1"/>
                <w:bCs w:val="1"/>
                <w:color w:val="auto"/>
                <w:w w:val="92"/>
              </w:rPr>
              <w:t>Number of</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2"/>
              </w:rPr>
              <w:t>securities</w:t>
            </w:r>
          </w:p>
        </w:tc>
        <w:tc>
          <w:tcPr>
            <w:tcW w:w="1480" w:type="dxa"/>
            <w:vAlign w:val="bottom"/>
          </w:tcPr>
          <w:p>
            <w:pPr>
              <w:jc w:val="center"/>
              <w:ind w:left="234"/>
              <w:spacing w:after="0" w:line="122" w:lineRule="exact"/>
              <w:rPr>
                <w:sz w:val="20"/>
                <w:szCs w:val="20"/>
                <w:color w:val="auto"/>
              </w:rPr>
            </w:pPr>
            <w:r>
              <w:rPr>
                <w:rFonts w:ascii="Arial" w:cs="Arial" w:eastAsia="Arial" w:hAnsi="Arial"/>
                <w:sz w:val="13"/>
                <w:szCs w:val="13"/>
                <w:b w:val="1"/>
                <w:bCs w:val="1"/>
                <w:color w:val="auto"/>
                <w:w w:val="82"/>
              </w:rPr>
              <w:t>securities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90"/>
              </w:rPr>
              <w:t>underlying</w:t>
            </w:r>
          </w:p>
        </w:tc>
        <w:tc>
          <w:tcPr>
            <w:tcW w:w="1480" w:type="dxa"/>
            <w:vAlign w:val="bottom"/>
          </w:tcPr>
          <w:p>
            <w:pPr>
              <w:jc w:val="center"/>
              <w:ind w:left="254"/>
              <w:spacing w:after="0" w:line="122" w:lineRule="exact"/>
              <w:rPr>
                <w:sz w:val="20"/>
                <w:szCs w:val="20"/>
                <w:color w:val="auto"/>
              </w:rPr>
            </w:pPr>
            <w:r>
              <w:rPr>
                <w:rFonts w:ascii="Arial" w:cs="Arial" w:eastAsia="Arial" w:hAnsi="Arial"/>
                <w:sz w:val="13"/>
                <w:szCs w:val="13"/>
                <w:b w:val="1"/>
                <w:bCs w:val="1"/>
                <w:color w:val="auto"/>
                <w:w w:val="90"/>
              </w:rPr>
              <w:t>underlying</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5"/>
              </w:rPr>
              <w:t>Option</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4"/>
              </w:rPr>
              <w:t>unexercised</w:t>
            </w:r>
          </w:p>
        </w:tc>
        <w:tc>
          <w:tcPr>
            <w:tcW w:w="1480" w:type="dxa"/>
            <w:vAlign w:val="bottom"/>
          </w:tcPr>
          <w:p>
            <w:pPr>
              <w:jc w:val="center"/>
              <w:ind w:left="254"/>
              <w:spacing w:after="0" w:line="122" w:lineRule="exact"/>
              <w:rPr>
                <w:sz w:val="20"/>
                <w:szCs w:val="20"/>
                <w:color w:val="auto"/>
              </w:rPr>
            </w:pPr>
            <w:r>
              <w:rPr>
                <w:rFonts w:ascii="Arial" w:cs="Arial" w:eastAsia="Arial" w:hAnsi="Arial"/>
                <w:sz w:val="13"/>
                <w:szCs w:val="13"/>
                <w:b w:val="1"/>
                <w:bCs w:val="1"/>
                <w:color w:val="auto"/>
                <w:w w:val="84"/>
              </w:rPr>
              <w:t>unexercised</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440" w:type="dxa"/>
            <w:vAlign w:val="bottom"/>
            <w:vMerge w:val="restart"/>
          </w:tcPr>
          <w:p>
            <w:pPr>
              <w:jc w:val="right"/>
              <w:ind w:right="472"/>
              <w:spacing w:after="0"/>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22"/>
        </w:trPr>
        <w:tc>
          <w:tcPr>
            <w:tcW w:w="3000" w:type="dxa"/>
            <w:vAlign w:val="bottom"/>
            <w:vMerge w:val="restart"/>
          </w:tcPr>
          <w:p>
            <w:pPr>
              <w:ind w:left="1340"/>
              <w:spacing w:after="0"/>
              <w:rPr>
                <w:sz w:val="20"/>
                <w:szCs w:val="20"/>
                <w:color w:val="auto"/>
              </w:rPr>
            </w:pPr>
            <w:r>
              <w:rPr>
                <w:rFonts w:ascii="Arial" w:cs="Arial" w:eastAsia="Arial" w:hAnsi="Arial"/>
                <w:sz w:val="13"/>
                <w:szCs w:val="13"/>
                <w:b w:val="1"/>
                <w:bCs w:val="1"/>
                <w:color w:val="auto"/>
              </w:rPr>
              <w:t>Name</w:t>
            </w:r>
          </w:p>
        </w:tc>
        <w:tc>
          <w:tcPr>
            <w:tcW w:w="100" w:type="dxa"/>
            <w:vAlign w:val="bottom"/>
            <w:vMerge w:val="restart"/>
          </w:tcPr>
          <w:p>
            <w:pPr>
              <w:spacing w:after="0"/>
              <w:rPr>
                <w:sz w:val="10"/>
                <w:szCs w:val="10"/>
                <w:color w:val="auto"/>
              </w:rPr>
            </w:pPr>
          </w:p>
        </w:tc>
        <w:tc>
          <w:tcPr>
            <w:tcW w:w="1440" w:type="dxa"/>
            <w:vAlign w:val="bottom"/>
            <w:vMerge w:val="restart"/>
          </w:tcPr>
          <w:p>
            <w:pPr>
              <w:ind w:left="400"/>
              <w:spacing w:after="0"/>
              <w:rPr>
                <w:sz w:val="20"/>
                <w:szCs w:val="20"/>
                <w:color w:val="auto"/>
              </w:rPr>
            </w:pPr>
            <w:r>
              <w:rPr>
                <w:rFonts w:ascii="Arial" w:cs="Arial" w:eastAsia="Arial" w:hAnsi="Arial"/>
                <w:sz w:val="13"/>
                <w:szCs w:val="13"/>
                <w:b w:val="1"/>
                <w:bCs w:val="1"/>
                <w:color w:val="auto"/>
              </w:rPr>
              <w:t>Grant Date</w:t>
            </w:r>
          </w:p>
        </w:tc>
        <w:tc>
          <w:tcPr>
            <w:tcW w:w="340" w:type="dxa"/>
            <w:vAlign w:val="bottom"/>
            <w:vMerge w:val="restart"/>
          </w:tcPr>
          <w:p>
            <w:pPr>
              <w:spacing w:after="0"/>
              <w:rPr>
                <w:sz w:val="10"/>
                <w:szCs w:val="10"/>
                <w:color w:val="auto"/>
              </w:rPr>
            </w:pP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5"/>
              </w:rPr>
              <w:t>options</w:t>
            </w:r>
          </w:p>
        </w:tc>
        <w:tc>
          <w:tcPr>
            <w:tcW w:w="1480" w:type="dxa"/>
            <w:vAlign w:val="bottom"/>
          </w:tcPr>
          <w:p>
            <w:pPr>
              <w:jc w:val="center"/>
              <w:ind w:left="254"/>
              <w:spacing w:after="0" w:line="122" w:lineRule="exact"/>
              <w:rPr>
                <w:sz w:val="20"/>
                <w:szCs w:val="20"/>
                <w:color w:val="auto"/>
              </w:rPr>
            </w:pPr>
            <w:r>
              <w:rPr>
                <w:rFonts w:ascii="Arial" w:cs="Arial" w:eastAsia="Arial" w:hAnsi="Arial"/>
                <w:sz w:val="13"/>
                <w:szCs w:val="13"/>
                <w:b w:val="1"/>
                <w:bCs w:val="1"/>
                <w:color w:val="auto"/>
                <w:w w:val="85"/>
              </w:rPr>
              <w:t>options</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2"/>
          </w:tcPr>
          <w:p>
            <w:pPr>
              <w:jc w:val="center"/>
              <w:ind w:right="80"/>
              <w:spacing w:after="0" w:line="122" w:lineRule="exact"/>
              <w:rPr>
                <w:sz w:val="20"/>
                <w:szCs w:val="20"/>
                <w:color w:val="auto"/>
              </w:rPr>
            </w:pPr>
            <w:r>
              <w:rPr>
                <w:rFonts w:ascii="Arial" w:cs="Arial" w:eastAsia="Arial" w:hAnsi="Arial"/>
                <w:sz w:val="13"/>
                <w:szCs w:val="13"/>
                <w:b w:val="1"/>
                <w:bCs w:val="1"/>
                <w:color w:val="auto"/>
                <w:w w:val="82"/>
              </w:rPr>
              <w:t>exercise price</w:t>
            </w: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00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440" w:type="dxa"/>
            <w:vAlign w:val="bottom"/>
            <w:tcBorders>
              <w:bottom w:val="single" w:sz="8" w:color="auto"/>
            </w:tcBorders>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 exercisable</w:t>
            </w:r>
          </w:p>
        </w:tc>
        <w:tc>
          <w:tcPr>
            <w:tcW w:w="80" w:type="dxa"/>
            <w:vAlign w:val="bottom"/>
          </w:tcPr>
          <w:p>
            <w:pPr>
              <w:spacing w:after="0"/>
              <w:rPr>
                <w:sz w:val="15"/>
                <w:szCs w:val="15"/>
                <w:color w:val="auto"/>
              </w:rPr>
            </w:pPr>
          </w:p>
        </w:tc>
        <w:tc>
          <w:tcPr>
            <w:tcW w:w="1480" w:type="dxa"/>
            <w:vAlign w:val="bottom"/>
          </w:tcPr>
          <w:p>
            <w:pPr>
              <w:jc w:val="center"/>
              <w:ind w:left="254"/>
              <w:spacing w:after="0" w:line="175" w:lineRule="exact"/>
              <w:rPr>
                <w:sz w:val="20"/>
                <w:szCs w:val="20"/>
                <w:color w:val="auto"/>
              </w:rPr>
            </w:pPr>
            <w:r>
              <w:rPr>
                <w:rFonts w:ascii="Arial" w:cs="Arial" w:eastAsia="Arial" w:hAnsi="Arial"/>
                <w:sz w:val="13"/>
                <w:szCs w:val="13"/>
                <w:b w:val="1"/>
                <w:bCs w:val="1"/>
                <w:color w:val="auto"/>
                <w:w w:val="83"/>
              </w:rPr>
              <w:t>(#) unexercisable</w:t>
            </w:r>
            <w:r>
              <w:rPr>
                <w:rFonts w:ascii="Arial" w:cs="Arial" w:eastAsia="Arial" w:hAnsi="Arial"/>
                <w:sz w:val="16"/>
                <w:szCs w:val="16"/>
                <w:b w:val="1"/>
                <w:bCs w:val="1"/>
                <w:color w:val="auto"/>
                <w:w w:val="83"/>
                <w:vertAlign w:val="superscript"/>
              </w:rPr>
              <w:t>(1)</w:t>
            </w:r>
          </w:p>
        </w:tc>
        <w:tc>
          <w:tcPr>
            <w:tcW w:w="300" w:type="dxa"/>
            <w:vAlign w:val="bottom"/>
            <w:vMerge w:val="restart"/>
          </w:tcPr>
          <w:p>
            <w:pPr>
              <w:jc w:val="right"/>
              <w:ind w:right="73"/>
              <w:spacing w:after="0"/>
              <w:rPr>
                <w:sz w:val="20"/>
                <w:szCs w:val="20"/>
                <w:color w:val="auto"/>
              </w:rPr>
            </w:pPr>
            <w:r>
              <w:rPr>
                <w:rFonts w:ascii="Arial" w:cs="Arial" w:eastAsia="Arial" w:hAnsi="Arial"/>
                <w:sz w:val="9"/>
                <w:szCs w:val="9"/>
                <w:color w:val="auto"/>
              </w:rPr>
              <w:t>(4)</w:t>
            </w:r>
          </w:p>
        </w:tc>
        <w:tc>
          <w:tcPr>
            <w:tcW w:w="100" w:type="dxa"/>
            <w:vAlign w:val="bottom"/>
          </w:tcPr>
          <w:p>
            <w:pPr>
              <w:spacing w:after="0"/>
              <w:rPr>
                <w:sz w:val="15"/>
                <w:szCs w:val="15"/>
                <w:color w:val="auto"/>
              </w:rPr>
            </w:pPr>
          </w:p>
        </w:tc>
        <w:tc>
          <w:tcPr>
            <w:tcW w:w="144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3"/>
                <w:szCs w:val="13"/>
                <w:b w:val="1"/>
                <w:bCs w:val="1"/>
                <w:color w:val="auto"/>
                <w:w w:val="82"/>
              </w:rPr>
              <w:t>($)</w:t>
            </w:r>
            <w:r>
              <w:rPr>
                <w:rFonts w:ascii="Arial" w:cs="Arial" w:eastAsia="Arial" w:hAnsi="Arial"/>
                <w:sz w:val="16"/>
                <w:szCs w:val="16"/>
                <w:b w:val="1"/>
                <w:bCs w:val="1"/>
                <w:color w:val="auto"/>
                <w:w w:val="82"/>
                <w:vertAlign w:val="superscript"/>
              </w:rPr>
              <w:t>(2)</w:t>
            </w:r>
          </w:p>
        </w:tc>
        <w:tc>
          <w:tcPr>
            <w:tcW w:w="80" w:type="dxa"/>
            <w:vAlign w:val="bottom"/>
          </w:tcPr>
          <w:p>
            <w:pPr>
              <w:spacing w:after="0"/>
              <w:rPr>
                <w:sz w:val="15"/>
                <w:szCs w:val="15"/>
                <w:color w:val="auto"/>
              </w:rPr>
            </w:pPr>
          </w:p>
        </w:tc>
        <w:tc>
          <w:tcPr>
            <w:tcW w:w="1440" w:type="dxa"/>
            <w:vAlign w:val="bottom"/>
            <w:tcBorders>
              <w:bottom w:val="single" w:sz="8" w:color="auto"/>
            </w:tcBorders>
          </w:tcPr>
          <w:p>
            <w:pPr>
              <w:jc w:val="right"/>
              <w:ind w:right="232"/>
              <w:spacing w:after="0"/>
              <w:rPr>
                <w:sz w:val="20"/>
                <w:szCs w:val="20"/>
                <w:color w:val="auto"/>
              </w:rPr>
            </w:pPr>
            <w:r>
              <w:rPr>
                <w:rFonts w:ascii="Arial" w:cs="Arial" w:eastAsia="Arial" w:hAnsi="Arial"/>
                <w:sz w:val="13"/>
                <w:szCs w:val="13"/>
                <w:b w:val="1"/>
                <w:bCs w:val="1"/>
                <w:color w:val="auto"/>
              </w:rPr>
              <w:t>expiration date</w:t>
            </w:r>
          </w:p>
        </w:tc>
        <w:tc>
          <w:tcPr>
            <w:tcW w:w="0" w:type="dxa"/>
            <w:vAlign w:val="bottom"/>
          </w:tcPr>
          <w:p>
            <w:pPr>
              <w:spacing w:after="0"/>
              <w:rPr>
                <w:sz w:val="1"/>
                <w:szCs w:val="1"/>
                <w:color w:val="auto"/>
              </w:rPr>
            </w:pPr>
          </w:p>
        </w:tc>
      </w:tr>
      <w:tr>
        <w:trPr>
          <w:trHeight w:val="49"/>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color w:val="auto"/>
              </w:rPr>
              <w:t>Sujal Patel</w:t>
            </w:r>
          </w:p>
        </w:tc>
        <w:tc>
          <w:tcPr>
            <w:tcW w:w="1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 xml:space="preserve">1/31/2021 </w:t>
            </w:r>
            <w:r>
              <w:rPr>
                <w:rFonts w:ascii="Arial" w:cs="Arial" w:eastAsia="Arial" w:hAnsi="Arial"/>
                <w:sz w:val="9"/>
                <w:szCs w:val="9"/>
                <w:color w:val="auto"/>
              </w:rPr>
              <w:t>(3)</w:t>
            </w:r>
          </w:p>
        </w:tc>
        <w:tc>
          <w:tcPr>
            <w:tcW w:w="1520" w:type="dxa"/>
            <w:vAlign w:val="bottom"/>
            <w:gridSpan w:val="2"/>
            <w:vMerge w:val="restart"/>
          </w:tcPr>
          <w:p>
            <w:pPr>
              <w:ind w:left="122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34"/>
              <w:spacing w:after="0"/>
              <w:rPr>
                <w:sz w:val="20"/>
                <w:szCs w:val="20"/>
                <w:color w:val="auto"/>
              </w:rPr>
            </w:pPr>
            <w:r>
              <w:rPr>
                <w:rFonts w:ascii="Arial" w:cs="Arial" w:eastAsia="Arial" w:hAnsi="Arial"/>
                <w:sz w:val="14"/>
                <w:szCs w:val="14"/>
                <w:color w:val="auto"/>
              </w:rPr>
              <w:t>788,833</w:t>
            </w: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4"/>
                <w:szCs w:val="4"/>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1/31/2031</w:t>
            </w:r>
          </w:p>
        </w:tc>
        <w:tc>
          <w:tcPr>
            <w:tcW w:w="0" w:type="dxa"/>
            <w:vAlign w:val="bottom"/>
          </w:tcPr>
          <w:p>
            <w:pPr>
              <w:spacing w:after="0"/>
              <w:rPr>
                <w:sz w:val="1"/>
                <w:szCs w:val="1"/>
                <w:color w:val="auto"/>
              </w:rPr>
            </w:pPr>
          </w:p>
        </w:tc>
      </w:tr>
      <w:tr>
        <w:trPr>
          <w:trHeight w:val="127"/>
        </w:trPr>
        <w:tc>
          <w:tcPr>
            <w:tcW w:w="3100" w:type="dxa"/>
            <w:vAlign w:val="bottom"/>
            <w:gridSpan w:val="2"/>
            <w:vMerge w:val="continue"/>
          </w:tcPr>
          <w:p>
            <w:pPr>
              <w:spacing w:after="0"/>
              <w:rPr>
                <w:sz w:val="11"/>
                <w:szCs w:val="11"/>
                <w:color w:val="auto"/>
              </w:rPr>
            </w:pPr>
          </w:p>
        </w:tc>
        <w:tc>
          <w:tcPr>
            <w:tcW w:w="1780" w:type="dxa"/>
            <w:vAlign w:val="bottom"/>
            <w:gridSpan w:val="2"/>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300" w:type="dxa"/>
            <w:vAlign w:val="bottom"/>
            <w:vMerge w:val="restart"/>
          </w:tcPr>
          <w:p>
            <w:pPr>
              <w:jc w:val="right"/>
              <w:ind w:right="73"/>
              <w:spacing w:after="0"/>
              <w:rPr>
                <w:sz w:val="20"/>
                <w:szCs w:val="20"/>
                <w:color w:val="auto"/>
              </w:rPr>
            </w:pPr>
            <w:r>
              <w:rPr>
                <w:rFonts w:ascii="Arial" w:cs="Arial" w:eastAsia="Arial" w:hAnsi="Arial"/>
                <w:sz w:val="9"/>
                <w:szCs w:val="9"/>
                <w:color w:val="auto"/>
              </w:rPr>
              <w:t>(4)</w:t>
            </w:r>
          </w:p>
        </w:tc>
        <w:tc>
          <w:tcPr>
            <w:tcW w:w="10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color w:val="auto"/>
              </w:rPr>
              <w:t>Parag Mallick</w:t>
            </w:r>
          </w:p>
        </w:tc>
        <w:tc>
          <w:tcPr>
            <w:tcW w:w="1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 xml:space="preserve">1/31/2021 </w:t>
            </w:r>
            <w:r>
              <w:rPr>
                <w:rFonts w:ascii="Arial" w:cs="Arial" w:eastAsia="Arial" w:hAnsi="Arial"/>
                <w:sz w:val="9"/>
                <w:szCs w:val="9"/>
                <w:color w:val="auto"/>
              </w:rPr>
              <w:t>(3)</w:t>
            </w:r>
          </w:p>
        </w:tc>
        <w:tc>
          <w:tcPr>
            <w:tcW w:w="1520" w:type="dxa"/>
            <w:vAlign w:val="bottom"/>
            <w:gridSpan w:val="2"/>
            <w:vMerge w:val="restart"/>
          </w:tcPr>
          <w:p>
            <w:pPr>
              <w:ind w:left="122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34"/>
              <w:spacing w:after="0"/>
              <w:rPr>
                <w:sz w:val="20"/>
                <w:szCs w:val="20"/>
                <w:color w:val="auto"/>
              </w:rPr>
            </w:pPr>
            <w:r>
              <w:rPr>
                <w:rFonts w:ascii="Arial" w:cs="Arial" w:eastAsia="Arial" w:hAnsi="Arial"/>
                <w:sz w:val="14"/>
                <w:szCs w:val="14"/>
                <w:color w:val="auto"/>
              </w:rPr>
              <w:t>464,019</w:t>
            </w:r>
          </w:p>
        </w:tc>
        <w:tc>
          <w:tcPr>
            <w:tcW w:w="3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10.00</w:t>
            </w:r>
          </w:p>
        </w:tc>
        <w:tc>
          <w:tcPr>
            <w:tcW w:w="80" w:type="dxa"/>
            <w:vAlign w:val="bottom"/>
          </w:tcPr>
          <w:p>
            <w:pPr>
              <w:spacing w:after="0"/>
              <w:rPr>
                <w:sz w:val="6"/>
                <w:szCs w:val="6"/>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1/31/2031</w:t>
            </w:r>
          </w:p>
        </w:tc>
        <w:tc>
          <w:tcPr>
            <w:tcW w:w="0" w:type="dxa"/>
            <w:vAlign w:val="bottom"/>
          </w:tcPr>
          <w:p>
            <w:pPr>
              <w:spacing w:after="0"/>
              <w:rPr>
                <w:sz w:val="1"/>
                <w:szCs w:val="1"/>
                <w:color w:val="auto"/>
              </w:rPr>
            </w:pPr>
          </w:p>
        </w:tc>
      </w:tr>
      <w:tr>
        <w:trPr>
          <w:trHeight w:val="108"/>
        </w:trPr>
        <w:tc>
          <w:tcPr>
            <w:tcW w:w="3100" w:type="dxa"/>
            <w:vAlign w:val="bottom"/>
            <w:gridSpan w:val="2"/>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300" w:type="dxa"/>
            <w:vAlign w:val="bottom"/>
            <w:vMerge w:val="restart"/>
          </w:tcPr>
          <w:p>
            <w:pPr>
              <w:jc w:val="right"/>
              <w:ind w:right="73"/>
              <w:spacing w:after="0"/>
              <w:rPr>
                <w:sz w:val="20"/>
                <w:szCs w:val="20"/>
                <w:color w:val="auto"/>
              </w:rPr>
            </w:pPr>
            <w:r>
              <w:rPr>
                <w:rFonts w:ascii="Arial" w:cs="Arial" w:eastAsia="Arial" w:hAnsi="Arial"/>
                <w:sz w:val="9"/>
                <w:szCs w:val="9"/>
                <w:color w:val="auto"/>
              </w:rPr>
              <w:t>(6)</w:t>
            </w: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3100" w:type="dxa"/>
            <w:vAlign w:val="bottom"/>
            <w:gridSpan w:val="2"/>
            <w:vMerge w:val="restart"/>
          </w:tcPr>
          <w:p>
            <w:pPr>
              <w:ind w:left="20"/>
              <w:spacing w:after="0"/>
              <w:rPr>
                <w:sz w:val="20"/>
                <w:szCs w:val="20"/>
                <w:color w:val="auto"/>
              </w:rPr>
            </w:pPr>
            <w:r>
              <w:rPr>
                <w:rFonts w:ascii="Arial" w:cs="Arial" w:eastAsia="Arial" w:hAnsi="Arial"/>
                <w:sz w:val="14"/>
                <w:szCs w:val="14"/>
                <w:color w:val="auto"/>
              </w:rPr>
              <w:t>Matt Murphy</w:t>
            </w:r>
          </w:p>
        </w:tc>
        <w:tc>
          <w:tcPr>
            <w:tcW w:w="17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 xml:space="preserve">6/14/2021 </w:t>
            </w:r>
            <w:r>
              <w:rPr>
                <w:rFonts w:ascii="Arial" w:cs="Arial" w:eastAsia="Arial" w:hAnsi="Arial"/>
                <w:sz w:val="9"/>
                <w:szCs w:val="9"/>
                <w:color w:val="auto"/>
              </w:rPr>
              <w:t>(5)</w:t>
            </w:r>
          </w:p>
        </w:tc>
        <w:tc>
          <w:tcPr>
            <w:tcW w:w="1520" w:type="dxa"/>
            <w:vAlign w:val="bottom"/>
            <w:gridSpan w:val="2"/>
            <w:vMerge w:val="restart"/>
          </w:tcPr>
          <w:p>
            <w:pPr>
              <w:ind w:left="1220"/>
              <w:spacing w:after="0"/>
              <w:rPr>
                <w:sz w:val="20"/>
                <w:szCs w:val="20"/>
                <w:color w:val="auto"/>
              </w:rPr>
            </w:pPr>
            <w:r>
              <w:rPr>
                <w:rFonts w:ascii="Arial" w:cs="Arial" w:eastAsia="Arial" w:hAnsi="Arial"/>
                <w:sz w:val="14"/>
                <w:szCs w:val="14"/>
                <w:color w:val="auto"/>
              </w:rPr>
              <w:t>—</w:t>
            </w:r>
          </w:p>
        </w:tc>
        <w:tc>
          <w:tcPr>
            <w:tcW w:w="1480" w:type="dxa"/>
            <w:vAlign w:val="bottom"/>
            <w:vMerge w:val="restart"/>
          </w:tcPr>
          <w:p>
            <w:pPr>
              <w:jc w:val="right"/>
              <w:ind w:right="34"/>
              <w:spacing w:after="0"/>
              <w:rPr>
                <w:sz w:val="20"/>
                <w:szCs w:val="20"/>
                <w:color w:val="auto"/>
              </w:rPr>
            </w:pPr>
            <w:r>
              <w:rPr>
                <w:rFonts w:ascii="Arial" w:cs="Arial" w:eastAsia="Arial" w:hAnsi="Arial"/>
                <w:sz w:val="14"/>
                <w:szCs w:val="14"/>
                <w:color w:val="auto"/>
              </w:rPr>
              <w:t>326,526</w:t>
            </w:r>
          </w:p>
        </w:tc>
        <w:tc>
          <w:tcPr>
            <w:tcW w:w="3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10.10</w:t>
            </w:r>
          </w:p>
        </w:tc>
        <w:tc>
          <w:tcPr>
            <w:tcW w:w="80" w:type="dxa"/>
            <w:vAlign w:val="bottom"/>
          </w:tcPr>
          <w:p>
            <w:pPr>
              <w:spacing w:after="0"/>
              <w:rPr>
                <w:sz w:val="7"/>
                <w:szCs w:val="7"/>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6/14/2031</w:t>
            </w:r>
          </w:p>
        </w:tc>
        <w:tc>
          <w:tcPr>
            <w:tcW w:w="0" w:type="dxa"/>
            <w:vAlign w:val="bottom"/>
          </w:tcPr>
          <w:p>
            <w:pPr>
              <w:spacing w:after="0"/>
              <w:rPr>
                <w:sz w:val="1"/>
                <w:szCs w:val="1"/>
                <w:color w:val="auto"/>
              </w:rPr>
            </w:pPr>
          </w:p>
        </w:tc>
      </w:tr>
      <w:tr>
        <w:trPr>
          <w:trHeight w:val="108"/>
        </w:trPr>
        <w:tc>
          <w:tcPr>
            <w:tcW w:w="3100" w:type="dxa"/>
            <w:vAlign w:val="bottom"/>
            <w:gridSpan w:val="2"/>
            <w:vMerge w:val="continue"/>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200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-360045</wp:posOffset>
            </wp:positionV>
            <wp:extent cx="7132320" cy="1289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240" w:hanging="332"/>
        <w:spacing w:after="0" w:line="241"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unvested portions of these awards may be subject to vesting acceleration under certain circumstances, described below under “—</w:t>
      </w:r>
      <w:r>
        <w:rPr>
          <w:rFonts w:ascii="Arial" w:cs="Arial" w:eastAsia="Arial" w:hAnsi="Arial"/>
          <w:sz w:val="14"/>
          <w:szCs w:val="14"/>
          <w:i w:val="1"/>
          <w:iCs w:val="1"/>
          <w:color w:val="auto"/>
        </w:rPr>
        <w:t>Potential Payments upon Termination or Change in</w:t>
      </w:r>
      <w:r>
        <w:rPr>
          <w:rFonts w:ascii="Arial" w:cs="Arial" w:eastAsia="Arial" w:hAnsi="Arial"/>
          <w:sz w:val="14"/>
          <w:szCs w:val="14"/>
          <w:color w:val="auto"/>
        </w:rPr>
        <w:t xml:space="preserve"> </w:t>
      </w:r>
      <w:r>
        <w:rPr>
          <w:rFonts w:ascii="Arial" w:cs="Arial" w:eastAsia="Arial" w:hAnsi="Arial"/>
          <w:sz w:val="14"/>
          <w:szCs w:val="14"/>
          <w:i w:val="1"/>
          <w:iCs w:val="1"/>
          <w:color w:val="auto"/>
        </w:rPr>
        <w:t>Control.</w:t>
      </w:r>
      <w:r>
        <w:rPr>
          <w:rFonts w:ascii="Arial" w:cs="Arial" w:eastAsia="Arial" w:hAnsi="Arial"/>
          <w:sz w:val="14"/>
          <w:szCs w:val="14"/>
          <w:color w:val="auto"/>
        </w:rPr>
        <w:t>”</w:t>
      </w:r>
    </w:p>
    <w:p>
      <w:pPr>
        <w:ind w:left="340" w:right="100" w:hanging="332"/>
        <w:spacing w:after="0" w:line="241"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stock option awards that were granted by Legacy Nautilus to Mr. Patel and Dr. Mallick prior to the closing of the Business Combination were granted with a per share exercise price equal to the fair market value of one share of Legacy Nautilus Common Stock on the date of grant, as determined in good faith by Legacy Nautilus’ board of directors. The stock option granted to Mr. Murphy following the closing of the Business Combination was granted with a per share exercise price equal to the closing price of the Company’s common stock in trading on the Nasdaq Global Select Market on the date of grant.</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Option granted under and subject to the terms of the 2017 Plan (as defined below), described below under “— </w:t>
      </w:r>
      <w:r>
        <w:rPr>
          <w:rFonts w:ascii="Arial" w:cs="Arial" w:eastAsia="Arial" w:hAnsi="Arial"/>
          <w:sz w:val="14"/>
          <w:szCs w:val="14"/>
          <w:i w:val="1"/>
          <w:iCs w:val="1"/>
          <w:color w:val="auto"/>
        </w:rPr>
        <w:t>Legacy Nautilus 2017 Equity Incentive Plan.</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40" w:right="380" w:hanging="332"/>
        <w:spacing w:after="0" w:line="241"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Twenty-five percent of the shares subject to this option shall vest on January 31, 2022, and one thirty-sixth (1/36th) of the remaining shares subject to this option shall vest each month thereafter, subject to the optionee continuing to be a service provider to Nautilus through each such date.</w:t>
      </w:r>
    </w:p>
    <w:p>
      <w:pPr>
        <w:ind w:left="320" w:hanging="312"/>
        <w:spacing w:after="0"/>
        <w:tabs>
          <w:tab w:leader="none" w:pos="3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 xml:space="preserve">Option granted under and subject to the terms of the 2021 Plan (as defined below), described below under “— </w:t>
      </w:r>
      <w:r>
        <w:rPr>
          <w:rFonts w:ascii="Arial" w:cs="Arial" w:eastAsia="Arial" w:hAnsi="Arial"/>
          <w:sz w:val="14"/>
          <w:szCs w:val="14"/>
          <w:i w:val="1"/>
          <w:iCs w:val="1"/>
          <w:color w:val="auto"/>
        </w:rPr>
        <w:t>2021 Equity Incentive Plan.</w:t>
      </w:r>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40" w:right="380" w:hanging="332"/>
        <w:spacing w:after="0" w:line="255" w:lineRule="auto"/>
        <w:tabs>
          <w:tab w:leader="none" w:pos="332" w:val="left"/>
        </w:tabs>
        <w:numPr>
          <w:ilvl w:val="0"/>
          <w:numId w:val="68"/>
        </w:numPr>
        <w:rPr>
          <w:rFonts w:ascii="Arial" w:cs="Arial" w:eastAsia="Arial" w:hAnsi="Arial"/>
          <w:sz w:val="14"/>
          <w:szCs w:val="14"/>
          <w:color w:val="auto"/>
        </w:rPr>
      </w:pPr>
      <w:r>
        <w:rPr>
          <w:rFonts w:ascii="Arial" w:cs="Arial" w:eastAsia="Arial" w:hAnsi="Arial"/>
          <w:sz w:val="14"/>
          <w:szCs w:val="14"/>
          <w:color w:val="auto"/>
        </w:rPr>
        <w:t>Twenty-five percent of the shares subject to this option shall vest on January 31, 2022, and one thirty-sixth (1/36th) of the remaining shares subject to this option shall vest each month thereafter, subject to the optionee continuing to be a service provider to Nautilus through each such date.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Named Executive Officers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Sujal Patel</w:t>
      </w:r>
    </w:p>
    <w:p>
      <w:pPr>
        <w:spacing w:after="0" w:line="171" w:lineRule="exact"/>
        <w:rPr>
          <w:sz w:val="20"/>
          <w:szCs w:val="20"/>
          <w:color w:val="auto"/>
        </w:rPr>
      </w:pPr>
    </w:p>
    <w:p>
      <w:pPr>
        <w:ind w:right="60"/>
        <w:spacing w:after="0" w:line="220" w:lineRule="exact"/>
        <w:rPr>
          <w:sz w:val="20"/>
          <w:szCs w:val="20"/>
          <w:color w:val="auto"/>
        </w:rPr>
      </w:pPr>
      <w:r>
        <w:rPr>
          <w:rFonts w:ascii="Arial" w:cs="Arial" w:eastAsia="Arial" w:hAnsi="Arial"/>
          <w:sz w:val="16"/>
          <w:szCs w:val="16"/>
          <w:color w:val="auto"/>
        </w:rPr>
        <w:t>In connection with the Business Combination, we entered into a confirmatory employment letter with Mr. Patel, our Chief Executive Officer. The confirmatory employment letter has no specific term and provides that Mr. Patel is an at</w:t>
      </w:r>
      <w:r>
        <w:rPr>
          <w:rFonts w:ascii="MS PGothic" w:cs="MS PGothic" w:eastAsia="MS PGothic" w:hAnsi="MS PGothic"/>
          <w:sz w:val="16"/>
          <w:szCs w:val="16"/>
          <w:color w:val="auto"/>
        </w:rPr>
        <w:t>‑</w:t>
      </w:r>
      <w:r>
        <w:rPr>
          <w:rFonts w:ascii="Arial" w:cs="Arial" w:eastAsia="Arial" w:hAnsi="Arial"/>
          <w:sz w:val="16"/>
          <w:szCs w:val="16"/>
          <w:color w:val="auto"/>
        </w:rPr>
        <w:t>will employee. The confirmatory employment letter supersedes all pre-existing agreements and understandings that Mr. Patel may have entered into concerning his employment relationship with us. Mr. Patel’s current annual base salary is $500,000 and he is eligible for a target annual cash bonus opportunity equal to 50% of his annual base salary for fiscal year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Parag Mallick</w:t>
      </w:r>
    </w:p>
    <w:p>
      <w:pPr>
        <w:spacing w:after="0" w:line="171" w:lineRule="exact"/>
        <w:rPr>
          <w:sz w:val="20"/>
          <w:szCs w:val="20"/>
          <w:color w:val="auto"/>
        </w:rPr>
      </w:pPr>
    </w:p>
    <w:p>
      <w:pPr>
        <w:ind w:right="240"/>
        <w:spacing w:after="0" w:line="220" w:lineRule="exact"/>
        <w:rPr>
          <w:sz w:val="20"/>
          <w:szCs w:val="20"/>
          <w:color w:val="auto"/>
        </w:rPr>
      </w:pPr>
      <w:r>
        <w:rPr>
          <w:rFonts w:ascii="Arial" w:cs="Arial" w:eastAsia="Arial" w:hAnsi="Arial"/>
          <w:sz w:val="16"/>
          <w:szCs w:val="16"/>
          <w:color w:val="auto"/>
        </w:rPr>
        <w:t>In connection with the Business Combination, we entered into a confirmatory employment letter with Dr. Mallick, our Chief Scientist. The confirmatory employment letter has no specific term and provides that Dr. Mallick is an at</w:t>
      </w:r>
      <w:r>
        <w:rPr>
          <w:rFonts w:ascii="MS PGothic" w:cs="MS PGothic" w:eastAsia="MS PGothic" w:hAnsi="MS PGothic"/>
          <w:sz w:val="16"/>
          <w:szCs w:val="16"/>
          <w:color w:val="auto"/>
        </w:rPr>
        <w:t>‑</w:t>
      </w:r>
      <w:r>
        <w:rPr>
          <w:rFonts w:ascii="Arial" w:cs="Arial" w:eastAsia="Arial" w:hAnsi="Arial"/>
          <w:sz w:val="16"/>
          <w:szCs w:val="16"/>
          <w:color w:val="auto"/>
        </w:rPr>
        <w:t>will employee. The confirmatory employment letter supersedes all pre-existing agreements and understandings that Dr. Mallick may have entered into concerning his employment relationship with us. Dr. Mallick’s current annual base salary is $400,000 and he is eligible for a target annual cash bonus opportunity equal to 50% of his annual base salary for fiscal year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Matt Murphy</w:t>
      </w:r>
    </w:p>
    <w:p>
      <w:pPr>
        <w:spacing w:after="0" w:line="171" w:lineRule="exact"/>
        <w:rPr>
          <w:sz w:val="20"/>
          <w:szCs w:val="20"/>
          <w:color w:val="auto"/>
        </w:rPr>
      </w:pPr>
    </w:p>
    <w:p>
      <w:pPr>
        <w:ind w:right="20"/>
        <w:spacing w:after="0" w:line="219" w:lineRule="exact"/>
        <w:rPr>
          <w:sz w:val="20"/>
          <w:szCs w:val="20"/>
          <w:color w:val="auto"/>
        </w:rPr>
      </w:pPr>
      <w:r>
        <w:rPr>
          <w:rFonts w:ascii="Arial" w:cs="Arial" w:eastAsia="Arial" w:hAnsi="Arial"/>
          <w:sz w:val="16"/>
          <w:szCs w:val="16"/>
          <w:color w:val="auto"/>
        </w:rPr>
        <w:t>In connection with the Business Combination, we entered into a confirmatory employment letter with Mr. Murphy, our General Counsel. The confirmatory employment letter has no specific term and provides that Mr. Murphy is an at</w:t>
      </w:r>
      <w:r>
        <w:rPr>
          <w:rFonts w:ascii="MS PGothic" w:cs="MS PGothic" w:eastAsia="MS PGothic" w:hAnsi="MS PGothic"/>
          <w:sz w:val="16"/>
          <w:szCs w:val="16"/>
          <w:color w:val="auto"/>
        </w:rPr>
        <w:t>‑</w:t>
      </w:r>
      <w:r>
        <w:rPr>
          <w:rFonts w:ascii="Arial" w:cs="Arial" w:eastAsia="Arial" w:hAnsi="Arial"/>
          <w:sz w:val="16"/>
          <w:szCs w:val="16"/>
          <w:color w:val="auto"/>
        </w:rPr>
        <w:t>will employee. The confirmatory employment letter supersedes all pre-existing agreements and understandings that Mr. Murphy may have entered into concerning his employment relationship with us. Mr. Murphy’s current annual base salary is $336,000 and he is eligible for a target annual cash bonus opportunity equal to 40% of his annual base salary for fiscal year 2022. In 2021, Mr. Murphy’s annual base salary was $305,000 and he was eligible for a target annual cash bonus opportunity equal to 40% of his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Based Incentive Awards</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equity-based incentive awards are designed to more closely align our interests and those of our stockholders with those of our employees and consultants, including our named executive officers. Our board of directors is responsible for approving equity grants to our employees and consultants, including our named executive officers. In 2021, stock option awards were the only form of equity awards we granted to our named executive officers. Prior to the closing of the Business Combination, Legacy Nautilus granted equity incentive awards under the terms of its 2017 Equity Incentive Plan (the “2017 Plan”), which was terminated in connection with the Business Combination. All options under the 2017 Plan were granted with an exercise price per share that was no less than the fair market value of a share of Legacy Nautilus common stock on the date of grant of such award. The terms of the 2017 Plan are described below under “—</w:t>
      </w:r>
      <w:r>
        <w:rPr>
          <w:rFonts w:ascii="Arial" w:cs="Arial" w:eastAsia="Arial" w:hAnsi="Arial"/>
          <w:sz w:val="17"/>
          <w:szCs w:val="17"/>
          <w:i w:val="1"/>
          <w:iCs w:val="1"/>
          <w:color w:val="auto"/>
        </w:rPr>
        <w:t>Legacy Nautilus 2017 Equity Incentive Plan.</w:t>
      </w:r>
      <w:r>
        <w:rPr>
          <w:rFonts w:ascii="Arial" w:cs="Arial" w:eastAsia="Arial" w:hAnsi="Arial"/>
          <w:sz w:val="17"/>
          <w:szCs w:val="17"/>
          <w:color w:val="auto"/>
        </w:rPr>
        <w:t>” Following the closing of the Business Combination, we granted equity incentive awards under the terms of our 2021 Equity Incentive Plan (the “2021 Plan”). Options under the 2021 Plan are granted with an exercise price equal to the closing price of the Company’s common stock in trading on the Nasdaq Global Select Market on the date of grant. The terms of the 2021 Plan are described below under “—</w:t>
      </w:r>
      <w:r>
        <w:rPr>
          <w:rFonts w:ascii="Arial" w:cs="Arial" w:eastAsia="Arial" w:hAnsi="Arial"/>
          <w:sz w:val="17"/>
          <w:szCs w:val="17"/>
          <w:i w:val="1"/>
          <w:iCs w:val="1"/>
          <w:color w:val="auto"/>
        </w:rPr>
        <w:t>2021 Equity Incentive Plan.</w:t>
      </w:r>
      <w:r>
        <w:rPr>
          <w:rFonts w:ascii="Arial" w:cs="Arial" w:eastAsia="Arial" w:hAnsi="Arial"/>
          <w:sz w:val="17"/>
          <w:szCs w:val="17"/>
          <w:color w:val="auto"/>
        </w:rPr>
        <w:t>”</w:t>
      </w:r>
    </w:p>
    <w:p>
      <w:pPr>
        <w:spacing w:after="0" w:line="13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stock option awards under both the 2017 Plan and the 2021 Plan generally vest over a four-year period and may be subject to acceleration of vesting and exercisability under certain termination and change in control events. See “—</w:t>
      </w:r>
      <w:r>
        <w:rPr>
          <w:rFonts w:ascii="Arial" w:cs="Arial" w:eastAsia="Arial" w:hAnsi="Arial"/>
          <w:sz w:val="18"/>
          <w:szCs w:val="18"/>
          <w:i w:val="1"/>
          <w:iCs w:val="1"/>
          <w:color w:val="auto"/>
        </w:rPr>
        <w:t>Outstanding Equity Awards at Fiscal Year-End December 31, 2021</w:t>
      </w:r>
      <w:r>
        <w:rPr>
          <w:rFonts w:ascii="Arial" w:cs="Arial" w:eastAsia="Arial" w:hAnsi="Arial"/>
          <w:sz w:val="18"/>
          <w:szCs w:val="18"/>
          <w:color w:val="auto"/>
        </w:rPr>
        <w:t>” and “—</w:t>
      </w:r>
      <w:r>
        <w:rPr>
          <w:rFonts w:ascii="Arial" w:cs="Arial" w:eastAsia="Arial" w:hAnsi="Arial"/>
          <w:sz w:val="18"/>
          <w:szCs w:val="18"/>
          <w:i w:val="1"/>
          <w:iCs w:val="1"/>
          <w:color w:val="auto"/>
        </w:rPr>
        <w:t>Potential Payments Upon Termination or Change of Control.</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Regardless of the manner in which a named executive officer’s service terminates, that named executive officer is entitled to receive amounts earned during his or her term of service, including unpaid salary and unused vacation, as applicable.</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Each of our named executive officers holds stock options granted subject to the general terms of the 2017 Plan or the 2021 Plan. A description of the termination and change in control provisions in the 2017 Plan and the 2021 Plan and applicable to the stock options granted to our named executive officers is provided below under “—</w:t>
      </w:r>
      <w:r>
        <w:rPr>
          <w:rFonts w:ascii="Arial" w:cs="Arial" w:eastAsia="Arial" w:hAnsi="Arial"/>
          <w:sz w:val="17"/>
          <w:szCs w:val="17"/>
          <w:i w:val="1"/>
          <w:iCs w:val="1"/>
          <w:color w:val="auto"/>
        </w:rPr>
        <w:t>Legacy Nautilus 2017 Equity Incentive Plan</w:t>
      </w:r>
      <w:r>
        <w:rPr>
          <w:rFonts w:ascii="Arial" w:cs="Arial" w:eastAsia="Arial" w:hAnsi="Arial"/>
          <w:sz w:val="17"/>
          <w:szCs w:val="17"/>
          <w:color w:val="auto"/>
        </w:rPr>
        <w:t>” and “—</w:t>
      </w:r>
      <w:r>
        <w:rPr>
          <w:rFonts w:ascii="Arial" w:cs="Arial" w:eastAsia="Arial" w:hAnsi="Arial"/>
          <w:sz w:val="17"/>
          <w:szCs w:val="17"/>
          <w:i w:val="1"/>
          <w:iCs w:val="1"/>
          <w:color w:val="auto"/>
        </w:rPr>
        <w:t>2021 Equity Incentive Plan.</w:t>
      </w:r>
      <w:r>
        <w:rPr>
          <w:rFonts w:ascii="Arial" w:cs="Arial" w:eastAsia="Arial" w:hAnsi="Arial"/>
          <w:sz w:val="17"/>
          <w:szCs w:val="17"/>
          <w:color w:val="auto"/>
        </w:rPr>
        <w:t>”</w:t>
      </w:r>
    </w:p>
    <w:p>
      <w:pPr>
        <w:spacing w:after="0" w:line="111"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connection with the Business Combination, we entered into a change in control and severance agreement (each, a “CIC Agreement”) with each of Mr. Patel, Dr. Mallick and Mr. Murphy, that our board of directors approved upon the closing of the Business Combination and that we assumed pursuant to the terms of each CIC Agreement, and which provide for certain severance and change in control benefits as summarized below.</w:t>
      </w:r>
    </w:p>
    <w:p>
      <w:pPr>
        <w:spacing w:after="0" w:line="1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Each CIC Agreement supersedes any prior agreement or arrangement that the named executive officer may have had with us that provides for severance or change in control payments and benefits.</w:t>
      </w:r>
    </w:p>
    <w:p>
      <w:pPr>
        <w:spacing w:after="0" w:line="116" w:lineRule="exact"/>
        <w:rPr>
          <w:sz w:val="20"/>
          <w:szCs w:val="20"/>
          <w:color w:val="auto"/>
        </w:rPr>
      </w:pPr>
    </w:p>
    <w:p>
      <w:pPr>
        <w:jc w:val="both"/>
        <w:ind w:right="320"/>
        <w:spacing w:after="0" w:line="287" w:lineRule="auto"/>
        <w:rPr>
          <w:sz w:val="20"/>
          <w:szCs w:val="20"/>
          <w:color w:val="auto"/>
        </w:rPr>
      </w:pPr>
      <w:r>
        <w:rPr>
          <w:rFonts w:ascii="Arial" w:cs="Arial" w:eastAsia="Arial" w:hAnsi="Arial"/>
          <w:sz w:val="16"/>
          <w:szCs w:val="16"/>
          <w:color w:val="auto"/>
        </w:rPr>
        <w:t>Each CIC Agreement has an initial term of three years commencing on June 8, 2021, the business day immediately prior to the closing of the Business Combination. On the three-year anniversary of the effective date of the CIC Agreement, the agreement will renew automatically for additional one year terms unless either party provides the other party with written notice of nonrenewal at least ninety (90) days prior to the date of automatic renewal.</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spacing w:after="0" w:line="136" w:lineRule="exact"/>
        <w:rPr>
          <w:sz w:val="20"/>
          <w:szCs w:val="20"/>
          <w:color w:val="auto"/>
        </w:rPr>
      </w:pPr>
    </w:p>
    <w:p>
      <w:pPr>
        <w:jc w:val="both"/>
        <w:ind w:right="100"/>
        <w:spacing w:after="0" w:line="311" w:lineRule="auto"/>
        <w:rPr>
          <w:sz w:val="20"/>
          <w:szCs w:val="20"/>
          <w:color w:val="auto"/>
        </w:rPr>
      </w:pPr>
      <w:r>
        <w:rPr>
          <w:rFonts w:ascii="Arial" w:cs="Arial" w:eastAsia="Arial" w:hAnsi="Arial"/>
          <w:sz w:val="16"/>
          <w:szCs w:val="16"/>
          <w:color w:val="auto"/>
        </w:rPr>
        <w:t>The CIC Agreements provide that if, other than during the period beginning three months before a change in control through the one-year anniversary of a change in control, or the CIC Period, the named executive officer’s employment with us is terminated either (x) by us without cause (as defined in the CIC Agreement, and excluding by reason of his or her death or disability) or (y) by the named executive officer for good reason (as defined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CIC Agreement), then the named executive officer will receive the following severance payments and benefits if he or she timely executes and does not revoke a separation agreement and release of claims in our favor:</w:t>
      </w:r>
    </w:p>
    <w:p>
      <w:pPr>
        <w:spacing w:after="0" w:line="116" w:lineRule="exact"/>
        <w:rPr>
          <w:sz w:val="20"/>
          <w:szCs w:val="20"/>
          <w:color w:val="auto"/>
        </w:rPr>
      </w:pPr>
    </w:p>
    <w:p>
      <w:pPr>
        <w:ind w:left="660" w:right="40" w:hanging="328"/>
        <w:spacing w:after="0" w:line="277"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lump sum cash payment equal to 100% for Mr. Patel, or 50% for Dr. Mallick and Mr. Murphy, of the named executive officer’s base salary as in effect immediately before such termination; and</w:t>
      </w:r>
    </w:p>
    <w:p>
      <w:pPr>
        <w:spacing w:after="0" w:line="116" w:lineRule="exact"/>
        <w:rPr>
          <w:rFonts w:ascii="Arial" w:cs="Arial" w:eastAsia="Arial" w:hAnsi="Arial"/>
          <w:sz w:val="18"/>
          <w:szCs w:val="18"/>
          <w:color w:val="auto"/>
        </w:rPr>
      </w:pPr>
    </w:p>
    <w:p>
      <w:pPr>
        <w:ind w:left="660" w:right="180" w:hanging="328"/>
        <w:spacing w:after="0" w:line="263" w:lineRule="auto"/>
        <w:tabs>
          <w:tab w:leader="none" w:pos="6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Payment by us of the employer portion of the premiums required for continued coverage pursuant to COBRA under our group health, dental and vision care plans for the named executive officer and his or her eligible dependents for up to twelve months for Mr. Patel, or six months for Dr. Mallick and Mr. Murphy.</w:t>
      </w:r>
    </w:p>
    <w:p>
      <w:pPr>
        <w:spacing w:after="0" w:line="13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during the CIC Period, the named executive officer’s employment with us is terminated either (x) by us without cause (as defined in the CIC Agreement, and excluding by reason of his or her death or disability) or (y) by the named executive officer for good reason (as defined in the CIC Agreement), the named executive officer will receive the following severance payments and benefits if he or she timely executes and does not revoke a separation agreement and release of claims in our favor:</w:t>
      </w:r>
    </w:p>
    <w:p>
      <w:pPr>
        <w:spacing w:after="0" w:line="133" w:lineRule="exact"/>
        <w:rPr>
          <w:sz w:val="20"/>
          <w:szCs w:val="20"/>
          <w:color w:val="auto"/>
        </w:rPr>
      </w:pPr>
    </w:p>
    <w:p>
      <w:pPr>
        <w:ind w:left="660" w:right="120" w:hanging="328"/>
        <w:spacing w:after="0" w:line="308" w:lineRule="auto"/>
        <w:tabs>
          <w:tab w:leader="none" w:pos="655"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lump sum cash payment equal to 150% for Mr. Patel, or 100% for Dr. Mallick and Mr. Murphy, of the named executive officer’s base salary as in effect immediately before such termination or if greater, the base salary in effect immediately before the change in control;</w:t>
      </w:r>
    </w:p>
    <w:p>
      <w:pPr>
        <w:spacing w:after="0" w:line="92" w:lineRule="exact"/>
        <w:rPr>
          <w:rFonts w:ascii="Arial" w:cs="Arial" w:eastAsia="Arial" w:hAnsi="Arial"/>
          <w:sz w:val="17"/>
          <w:szCs w:val="17"/>
          <w:color w:val="auto"/>
        </w:rPr>
      </w:pPr>
    </w:p>
    <w:p>
      <w:pPr>
        <w:ind w:left="660" w:right="120" w:hanging="328"/>
        <w:spacing w:after="0" w:line="263"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lump sum cash payment equal to 150% for Mr. Patel, or 100% for Dr. Mallick and Mr. Murphy, of the named executive officer’s target bonus opportunity as in effect immediately before such termination or if greater, the target bonus opportunity in effect immediately before the change in control;</w:t>
      </w:r>
    </w:p>
    <w:p>
      <w:pPr>
        <w:spacing w:after="0" w:line="129"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Payment by us of the premiums required for continued coverage pursuant to COBRA under our group health, dental and vision care plans for the named executive officer and his or her eligible dependents for up to eighteen months for Mr. Patel, or twelve months for Dr. Mallick and Mr. Murphy; and</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0"/>
        </w:numPr>
        <w:rPr>
          <w:rFonts w:ascii="Arial" w:cs="Arial" w:eastAsia="Arial" w:hAnsi="Arial"/>
          <w:sz w:val="18"/>
          <w:szCs w:val="18"/>
          <w:color w:val="auto"/>
        </w:rPr>
      </w:pPr>
      <w:r>
        <w:rPr>
          <w:rFonts w:ascii="Arial" w:cs="Arial" w:eastAsia="Arial" w:hAnsi="Arial"/>
          <w:sz w:val="18"/>
          <w:szCs w:val="18"/>
          <w:color w:val="auto"/>
        </w:rPr>
        <w:t>100% accelerated vesting and exercisability of the outstanding and unvested equity awards (other than equity awards subject to performance-based vesting criteria) granted to the named executive officer.</w:t>
      </w:r>
    </w:p>
    <w:p>
      <w:pPr>
        <w:spacing w:after="0" w:line="11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75"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color w:val="auto"/>
        </w:rPr>
        <w:t>On June 9, 2021, we adopted the Incentive Plan. The Incentive Plan is administered by the compensation committee of our board of directors. The Incentive Plan allows us to grant incentive awards, generally payable in cash, to employees selected by the administrator, including our executive officers, based upon any performance goals that may be established by the administrator. The below is a summary of the terms of the Incentive Plan.</w:t>
      </w:r>
    </w:p>
    <w:p>
      <w:pPr>
        <w:spacing w:after="0" w:line="9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Under the Incentive Plan, the administrator determines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2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administrator of the Incentive Plan, in its sole discretion and at any time prior to the actual payment of an award, may increase, reduce or eliminate a participant’s actual award, and/or increase, reduce or eliminate the amount allocated to any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the administrator is not required to establish any allocation or weighting with respect to the factors it considers.</w:t>
      </w:r>
    </w:p>
    <w:p>
      <w:pPr>
        <w:spacing w:after="0" w:line="13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us through the date the actual award is paid. The administrator of the Incentive Plan reserves the right to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spacing w:after="0" w:line="13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Awards under the Incentive Plan are subject to any clawback policy we or our parent or subsidiary corporations may establish or amend from time to time to comply with applicable laws, including without limitation, the listing standards of any national securities exchange or association on which our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us for certain amounts paid under an award under the Incentive Plan in connection with certain accounting restatements we may be required to prepare due to our material noncompliance with any financial reporting requirements under applicable securities laws, as a result of misconduct.</w:t>
      </w:r>
    </w:p>
    <w:p>
      <w:pPr>
        <w:spacing w:after="0" w:line="12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administrator of the Incentive Plan has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175"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We provide benefits to our executive officers on the same basis as provided to all of our employees, including health, dental and vision insurance; life insurance; accidental death and dismemberment insurance; short-and long-term disability insurance; a flexible spending account; and a tax-qualified Section 401(k) plan for which no match is provided by us. We do not maintain any executive-specific benefit or perquisite programs.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maintain a 401(k) retirement savings plan, for the benefit of employees, including our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17" w:name="page118"/>
    <w:bookmarkEnd w:id="117"/>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We do not provide a match for participants’ elective contributions to the 401(k) plan, nor do we provide to employees, including our executive officers, any other retirement benefits, including without limitation any tax-qualified defined benefit plans, supplemental executive retirement plans and nonqualified defined contribution plans.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Legacy Nautilus 2017 Equity Incentive Plan</w:t>
      </w:r>
    </w:p>
    <w:p>
      <w:pPr>
        <w:spacing w:after="0" w:line="175"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The 2017 Plan allowed Legacy Nautilus to provide incentive stock options, within the meaning of Section 422 of the Code, nonstatutory stock options, stock appreciation rights, restricted stock awards and restricted stock units (each, an “award” and the recipient of such award, a “participant”) to any of Legacy Nautilus’ eligible employees, directors, and consultants of and any parent or subsidiary of Legacy Nautilus. The 2017 Plan was terminated as of one day prior to the closing of the Business Combination and we will not grant any additional awards under the 2017 Plan. However, the 2017 Plan will continue to govern the terms and conditions of the outstanding awards previously granted under the 2017 Plan and assumed by us at the closing of the Business Combination.</w:t>
      </w:r>
    </w:p>
    <w:p>
      <w:pPr>
        <w:spacing w:after="0" w:line="13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 of December 31, 2021, and after giving effect to the closing of the Business Combination, stock options covering 6,517,358 shares of Common Stock were outstanding under the 2017 Plan.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Purposes of the 2017 Plan</w:t>
      </w:r>
    </w:p>
    <w:p>
      <w:pPr>
        <w:spacing w:after="0" w:line="17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The purposes of the 2017 Plan were to attract and retain personnel for positions with us, any parent or subsidiary; to provide additional incentive to employees, directors, and consultants; and to promote the success of our business. These incentives were provided through the grant of equity awards, including stock options, as the administrator of the 2017 Plan determined.</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The 2017 Plan provided for the grant of incentive stock options, within the meaning of Section 422 of the Code, to Legacy Nautilus’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and any of its parent and subsidiary corporations’ employees, and for the grant of nonstatutory stock options, restricted stock, restricted stock units, and stock appreciation rights to any of Legacy Nautilus’ employees, directors and consultants and any of its parents or subsidiaries.</w:t>
      </w:r>
    </w:p>
    <w:p>
      <w:pPr>
        <w:spacing w:after="0" w:line="11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2017 Plan is administered by our board of directors or one or more of its committees. Different committees may administer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spacing w:after="0" w:line="13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Stock options have been granted under the 2017 Plan. The exercise price of options granted under the 2017 Plan generally must be equal to</w:t>
      </w:r>
      <w:r>
        <w:rPr>
          <w:rFonts w:ascii="Arial" w:cs="Arial" w:eastAsia="Arial" w:hAnsi="Arial"/>
          <w:sz w:val="18"/>
          <w:szCs w:val="18"/>
          <w:i w:val="1"/>
          <w:iCs w:val="1"/>
          <w:color w:val="auto"/>
        </w:rPr>
        <w:t xml:space="preserve"> </w:t>
      </w:r>
      <w:r>
        <w:rPr>
          <w:rFonts w:ascii="Arial" w:cs="Arial" w:eastAsia="Arial" w:hAnsi="Arial"/>
          <w:sz w:val="18"/>
          <w:szCs w:val="18"/>
          <w:color w:val="auto"/>
        </w:rPr>
        <w:t>at least 100% of the fair market value of a share of our Common Stock on the date of grant. The term of an option may not exceed ten years. With respect to any participant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18" w:name="page119"/>
    <w:bookmarkEnd w:id="118"/>
    <w:p>
      <w:pPr>
        <w:spacing w:after="0" w:line="14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owns more than 10% of the voting power of all classes of our (or any of its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determines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spacing w:after="0" w:line="12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Non-Transferability of Awards. </w:t>
      </w:r>
      <w:r>
        <w:rPr>
          <w:rFonts w:ascii="Arial" w:cs="Arial" w:eastAsia="Arial" w:hAnsi="Arial"/>
          <w:sz w:val="18"/>
          <w:szCs w:val="18"/>
          <w:color w:val="auto"/>
        </w:rPr>
        <w:t>Unless the administrator provides otherwise, the 2017 Plan generally will not allow for the transfer of awards other than by</w:t>
      </w:r>
      <w:r>
        <w:rPr>
          <w:rFonts w:ascii="Arial" w:cs="Arial" w:eastAsia="Arial" w:hAnsi="Arial"/>
          <w:sz w:val="18"/>
          <w:szCs w:val="18"/>
          <w:i w:val="1"/>
          <w:iCs w:val="1"/>
          <w:color w:val="auto"/>
        </w:rPr>
        <w:t xml:space="preserve"> </w:t>
      </w:r>
      <w:r>
        <w:rPr>
          <w:rFonts w:ascii="Arial" w:cs="Arial" w:eastAsia="Arial" w:hAnsi="Arial"/>
          <w:sz w:val="18"/>
          <w:szCs w:val="18"/>
          <w:color w:val="auto"/>
        </w:rPr>
        <w:t>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spacing w:after="0" w:line="13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If any dividend or other distribution (whether in cash, shares, other securities, or other property), recapitalization, stock split,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reorganization, merger, consolidation, split-up, spin-off, combination, repurchase, or exchange of shares or other of our securities, issuance of warrants or other rights to acquire our securities, other change in our corporate structure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spacing w:after="0" w:line="138"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If there is a proposed liquidation or dissolution of our Company, the administrator will notify participants at such time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of such event as the administrator determines and all awards, to the extent that they have not been previously exercised, will terminate immediately before the consummation of such event.</w:t>
      </w:r>
    </w:p>
    <w:p>
      <w:pPr>
        <w:spacing w:after="0" w:line="13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 xml:space="preserve">Merger or Change or Control. </w:t>
      </w:r>
      <w:r>
        <w:rPr>
          <w:rFonts w:ascii="Arial" w:cs="Arial" w:eastAsia="Arial" w:hAnsi="Arial"/>
          <w:sz w:val="18"/>
          <w:szCs w:val="18"/>
          <w:color w:val="auto"/>
        </w:rPr>
        <w:t>The 2017 Plan provides that in the event of our merger or change in control, as defined in the 2017 Plan, each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3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23" w:lineRule="exact"/>
        <w:rPr>
          <w:sz w:val="20"/>
          <w:szCs w:val="20"/>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As noted above, as of the day immediately prior to the closing of the Business Combination, the 2017 Plan terminated and we</w:t>
      </w:r>
      <w:r>
        <w:rPr>
          <w:rFonts w:ascii="Arial" w:cs="Arial" w:eastAsia="Arial" w:hAnsi="Arial"/>
          <w:sz w:val="18"/>
          <w:szCs w:val="18"/>
          <w:i w:val="1"/>
          <w:iCs w:val="1"/>
          <w:color w:val="auto"/>
        </w:rPr>
        <w:t xml:space="preserve"> </w:t>
      </w:r>
      <w:r>
        <w:rPr>
          <w:rFonts w:ascii="Arial" w:cs="Arial" w:eastAsia="Arial" w:hAnsi="Arial"/>
          <w:sz w:val="18"/>
          <w:szCs w:val="18"/>
          <w:color w:val="auto"/>
        </w:rPr>
        <w:t>will not grant any additional awards under the 2017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Equity Incentive Plan</w:t>
      </w:r>
    </w:p>
    <w:p>
      <w:pPr>
        <w:spacing w:after="0" w:line="175"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color w:val="auto"/>
        </w:rPr>
        <w:t>The following paragraphs provide a summary of the principal features of our 2021 Plan and its operation. However, this summary is not a complete description of all of the provisions of the 2021 Plan and is qualified in its entirety by the specific language of the 2021 Plan.</w:t>
      </w:r>
    </w:p>
    <w:p>
      <w:pPr>
        <w:spacing w:after="0" w:line="92" w:lineRule="exact"/>
        <w:rPr>
          <w:sz w:val="20"/>
          <w:szCs w:val="20"/>
          <w:color w:val="auto"/>
        </w:rPr>
      </w:pPr>
    </w:p>
    <w:p>
      <w:pPr>
        <w:ind w:right="2200"/>
        <w:spacing w:after="0" w:line="438" w:lineRule="auto"/>
        <w:rPr>
          <w:sz w:val="20"/>
          <w:szCs w:val="20"/>
          <w:color w:val="auto"/>
        </w:rPr>
      </w:pPr>
      <w:r>
        <w:rPr>
          <w:rFonts w:ascii="Arial" w:cs="Arial" w:eastAsia="Arial" w:hAnsi="Arial"/>
          <w:sz w:val="18"/>
          <w:szCs w:val="18"/>
          <w:color w:val="auto"/>
        </w:rPr>
        <w:t xml:space="preserve">As of December 31, 2021, stock options covering 2,032,718 shares of Common Stock were outstanding under the 2021 Plan. </w:t>
      </w:r>
      <w:r>
        <w:rPr>
          <w:rFonts w:ascii="Arial" w:cs="Arial" w:eastAsia="Arial" w:hAnsi="Arial"/>
          <w:sz w:val="18"/>
          <w:szCs w:val="18"/>
          <w:b w:val="1"/>
          <w:bCs w:val="1"/>
          <w:i w:val="1"/>
          <w:iCs w:val="1"/>
          <w:color w:val="auto"/>
        </w:rPr>
        <w:t>Purposes of the 2021 Plan</w:t>
      </w:r>
    </w:p>
    <w:p>
      <w:pPr>
        <w:spacing w:after="0" w:line="1"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purposes of the 2021 Plan are to attract and retain personnel for positions with us or any parent or subsidiary of ours; to provide additional incentive to employees, directors, and consultants; and to promote the success of our business. These incentives are provided through the grant of stock options, stock appreciation rights, restricted stock, restricted stock units, and performance awards as the administrator of the 2021 Plan may determine.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2021 Plan provides for the grant of incentive stock options, within the meaning of Section 422 of the Code, to our employees and any of its parent and subsidiary corporations’ employees, and for the grant of nonstatutory stock options, restricted stock, restricted stock units, stock appreciation rights and performance awards to our employees, directors and consultants of and employees and consultants of any of our parents or subsidiaries.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Subject to the adjustment provisions contained in the 2021 Plan and the evergreen provision described below, a total of 16,182,600 shares of our Common Stock were initially reserved for issuance pursuant to the 2021 Plan. In addition, the shares reserved for issuance under the 2021 Plan include any shares of our Common Stock subject to awards of stock options or other awards that were assumed in the Business Combination (or “assumed awards”) that, on or after the effective date of the Business Combination, are terminated, canceled, expire or otherwise terminate without having been exercised in full, are tendered to or withheld by us for payment of an exercise price or for tax withholding obligations, or are forfeited to or repurchased by us due to failure to vest (provided that the maximum number of shares that may be added to the 2021 Plan pursuant to this sentence is 7,500,000 shares). The number of shares available for issuance under the 2021 Plan also includes an annual increase, or the evergreen feature, on the first day of each of our fiscal years, beginning with our fiscal year 2022, equal to the least of:</w:t>
      </w:r>
    </w:p>
    <w:p>
      <w:pPr>
        <w:spacing w:after="0" w:line="124" w:lineRule="exact"/>
        <w:rPr>
          <w:sz w:val="20"/>
          <w:szCs w:val="20"/>
          <w:color w:val="auto"/>
        </w:rPr>
      </w:pPr>
    </w:p>
    <w:p>
      <w:pPr>
        <w:ind w:left="660" w:hanging="328"/>
        <w:spacing w:after="0"/>
        <w:tabs>
          <w:tab w:leader="none" w:pos="6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18,672,200 shares of our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 number of shares equal to 5% of the outstanding shares of our Common Stock as of the last day of the immediately preceding fiscal year; or</w:t>
      </w:r>
    </w:p>
    <w:p>
      <w:pPr>
        <w:spacing w:after="0" w:line="194"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such number of shares as our board of directors or its designated committee may determine no later than the last day of our immediately preceding fiscal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On January 1, 2022, the number of shares available under the 2021 Plan increased by 6,215,154 shares pursuant to this feature.</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Shares issuable under the 2021 Plan will be authorized, but unissued, or reacquired shares of our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0" w:name="page121"/>
    <w:bookmarkEnd w:id="120"/>
    <w:p>
      <w:pPr>
        <w:spacing w:after="0" w:line="144"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If any dividend or other distribution (whether in cash, shares, other securities, or other property), recapitalization, stock split, reverse stock split, reorganization, merger, consolidation, split-up, spin-off, combination, reclassification, repurchase, or exchange of our shares or other securities, issuance of warrants or other rights to acquire our securities, other change in our corporate structure affecting the shares, or any similar equity restructuring transaction affecting our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7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Our board of directors or one or more committees appointed by our board of directors has authority to administer the 2021 Plan. The compensation committee of our board of directors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our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Stock options may be granted under the 2021 Plan. The exercise price of options granted under the 2021 Plan generally must be equal to at least 100% of the fair market value of a share of our Common Stock on the date of grant. The term of an option may not exceed ten years. With respect to any participant who owns more than 10% of the voting power of all classes of our (or any of our parent’s or subsidiary’s) outstanding stock, the term of an incentive stock option granted to such participant must not exceed five years and the per share exercise price must equal at least 110% of the fair market value of a share of our Common Stock on the grant date. The administrator will determine the methods of payment of the exercise price of an option, which may include cash, certain shares of our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1" w:name="page122"/>
    <w:bookmarkEnd w:id="121"/>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months following the cessation of service. An option, however, may not be exercised later than the expiration of its term. Subject to the provisions of the 2021 Plan, the administrator determines the terms of options.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Stock appreciation rights may be granted under the 2021 Plan. Stock appreciation rights allow the recipient to receive the appreciation in the fair market value of our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our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Restricted stock may be granted under the 2021 Plan. Restricted stock awards are grants of shares of our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Restricted stock units (or “RSUs”) may be granted under the 2021 Plan. Restricted stock units are bookkeeping entries representing an amount equal to the fair market value of one share of our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22" w:name="page123"/>
    <w:bookmarkEnd w:id="122"/>
    <w:p>
      <w:pPr>
        <w:spacing w:after="0" w:line="144"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securities laws or any other basis determined by the administrator in its discretion. The administrator, in its sole discretion, may pay earned performance awards in the form of cash, shares, or a combination of both. Notwithstanding the foregoing, the administrator, in its sole discretion, may accelerate the time at which any restrictions will lapse or be removed.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All outside (non-employee) directors are eligible to receive all types of awards (except for incentive stock options) under the 2021 Plan. The 2021 Plan provides that in any given fiscal year, no outside director may be granted any equity awards (including equity awards under the 2021 Plan) (the value of which will be based on their grant date fair value)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the 2021 Plan will be determined according to U.S. GAAP. Any awards or other compensation provided to an individual for his or her services as an employee or a consultant (other than an outside director), will not count toward this limit. This maximum limit provision does not reflect the intended size of any potential grants or a commitment to make grants to the outside directors under the 2021 Plan in the future.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Non-Transferability of Awards</w:t>
      </w:r>
    </w:p>
    <w:p>
      <w:pPr>
        <w:spacing w:after="0" w:line="17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71" w:lineRule="exact"/>
        <w:rPr>
          <w:sz w:val="20"/>
          <w:szCs w:val="20"/>
          <w:color w:val="auto"/>
        </w:rPr>
      </w:pPr>
    </w:p>
    <w:p>
      <w:pPr>
        <w:jc w:val="both"/>
        <w:ind w:right="400"/>
        <w:spacing w:after="0" w:line="263" w:lineRule="auto"/>
        <w:rPr>
          <w:sz w:val="20"/>
          <w:szCs w:val="20"/>
          <w:color w:val="auto"/>
        </w:rPr>
      </w:pPr>
      <w:r>
        <w:rPr>
          <w:rFonts w:ascii="Arial" w:cs="Arial" w:eastAsia="Arial" w:hAnsi="Arial"/>
          <w:sz w:val="18"/>
          <w:szCs w:val="18"/>
          <w:color w:val="auto"/>
        </w:rPr>
        <w:t>If there is a proposed liquidation or dissolution of our company,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7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2021 Plan provides that in the event of a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awards granted to a non-employee director while such individual was a non-employee director are assumed or substituted for in the merger or change in control and the service of such non-employee director is terminated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3" w:name="page124"/>
    <w:bookmarkEnd w:id="123"/>
    <w:p>
      <w:pPr>
        <w:spacing w:after="0" w:line="144" w:lineRule="exact"/>
        <w:rPr>
          <w:sz w:val="20"/>
          <w:szCs w:val="20"/>
          <w:color w:val="auto"/>
        </w:rPr>
      </w:pPr>
    </w:p>
    <w:p>
      <w:pPr>
        <w:ind w:right="40"/>
        <w:spacing w:after="0" w:line="220" w:lineRule="exact"/>
        <w:rPr>
          <w:sz w:val="20"/>
          <w:szCs w:val="20"/>
          <w:color w:val="auto"/>
        </w:rPr>
      </w:pPr>
      <w:r>
        <w:rPr>
          <w:rFonts w:ascii="Arial" w:cs="Arial" w:eastAsia="Arial" w:hAnsi="Arial"/>
          <w:sz w:val="17"/>
          <w:szCs w:val="17"/>
          <w:color w:val="auto"/>
        </w:rPr>
        <w:t>than upon his or her voluntary resignation that does not include a resignation at the request of the acquirer) on or 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w:t>
      </w:r>
      <w:r>
        <w:rPr>
          <w:rFonts w:ascii="MS PGothic" w:cs="MS PGothic" w:eastAsia="MS PGothic" w:hAnsi="MS PGothic"/>
          <w:sz w:val="17"/>
          <w:szCs w:val="17"/>
          <w:color w:val="auto"/>
        </w:rPr>
        <w:t>‑</w:t>
      </w:r>
      <w:r>
        <w:rPr>
          <w:rFonts w:ascii="Arial" w:cs="Arial" w:eastAsia="Arial" w:hAnsi="Arial"/>
          <w:sz w:val="17"/>
          <w:szCs w:val="17"/>
          <w:color w:val="auto"/>
        </w:rPr>
        <w:t>employee director.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Forfeiture and Clawback</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Awards will be subject to any clawback policy of which we are required to adopt to comply with the listing standards of any national securities exchange or association on which our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of our clawback policies as described in the first sentence of this paragraph or with applicable laws.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2021 Plan became effective on June 9, 2021 and will continue in effect until terminated by the administrator. However, no incentive stock options may be granted after the ten year anniversary of the adoption of the 2021 Plan by our board of directors, and the evergreen feature of the 2021 Plan will terminate following the increase on the first day of the 2031 fiscal year. In addition, the administrator has the authority to amend, suspend, or terminate the 2021 Plan or any part of the 2021 Plan, at any time and for any reason, but such action generally may not materially impair the rights of any participant without his or her written consent.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principal features of our 2021 Employee Stock Purchase Plan (the “ESPP”) and its operation.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Purpose</w:t>
      </w:r>
    </w:p>
    <w:p>
      <w:pPr>
        <w:spacing w:after="0" w:line="171"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purpose of the ESPP is to provide eligible employees with an opportunity to purchase shares of our Common Stock through accumulated contributions, which generally will be made through payroll deductions. The ESPP permits the administrator of the ESPP to grant purchase rights that qualify for preferential tax treatment under Section 423 of the Code. In addition, the ESPP authorizes the grant of purchase rights that do not qualify under Code Section 423 pursuant to rules, procedures or sub-plans adopted by the administrator that are designed to achieve desired tax or other objectives.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maximum number of shares of our Common Stock that are available for issuance under the ESPP was initially 1,244,900 shares of our Common Stock. The number of shares of our Common Stock available for issuance under the ESPP will be increased on the first day of each fiscal year beginning with the 2022 fiscal year in an amount equal to the least of (a) 3,734,500 shares of our Common Stock, (b) a number of shares of our Common Stock equal to 1% of the outstanding shares of all classes of our Common Stock on the last day of the immediately preceding fiscal year, or (c) an amount determined by the administrator. Shares issuable under the ESPP will be authorized, but unissued, or reacquired shares of our Common Stock. On January 1, 2022, the number of shares available under the ESPP increased by 1,243,030 shares pursuant to this feature.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w:t>
      </w:r>
    </w:p>
    <w:p>
      <w:pPr>
        <w:spacing w:after="0" w:line="171"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Our board of directors or a committee appointed by our board has authority to administer the ESPP. Unless and until determined otherwise by our board of directors, the compensation committee of our board of directors will administer the ESPP. The administrator will have full and exclusive discretionary authority to construe, interpret and apply the terms of the ESPP, delegate ministerial duties to any of our employees, designate separate offerings 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4"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w:t>
      </w:r>
    </w:p>
    <w:p>
      <w:pPr>
        <w:spacing w:after="0" w:line="1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 (or our participating subsidiaries).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Periods and Purchase Periods</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ESPP includes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spacing w:after="0" w:line="13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ESPP provides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our Common Stock on a purchase date is less than the fair market value of a share of our Common Stock on the first trading day of the offering period, participants in that offering period will be withdrawn from that offering period following their purchase of shares on such purchase date and automatically will be enrolled in a new offering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Contributions</w:t>
      </w:r>
    </w:p>
    <w:p>
      <w:pPr>
        <w:spacing w:after="0" w:line="1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ESPP permits participants to purchase shares of our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5" w:name="page126"/>
    <w:bookmarkEnd w:id="125"/>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of Purchase Right</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Amounts deducted and accumulated by a participant under the ESPP are used to purchase shares of our Common Stock at the end of each purchase period. The purchase price of the shares will be 85% of the lower of (a) the fair market value of a share of our Common Stock on the first trading day of the offering period or (b) the fair market value of a share of our Common Stock on the exercise date. A participant will be permitted to purchase a maximum of 1,250 shares during each offering period, provided that the administrator may increase or decrease such maximum number of shares for each purchase period or offering period. Until shares of our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Participation</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Participation in the ESPP generally will terminate when a participating employee’s employment with us or a participating subsidiary ceases for any reason, the employee withdraws from the ESPP or we terminate or amend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Non-Transferability</w:t>
      </w:r>
    </w:p>
    <w:p>
      <w:pPr>
        <w:spacing w:after="0" w:line="17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participant will not be permitted to transfer the contributions credited to his or her ESPP account or rights granted under the ESPP, other than by will or the laws of descent and distribution.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Adjustments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ESPP provides that in the event that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of our securities or other change in our corporate structure affecting our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the event of a merger or our change in control,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administrator will have the authority to modify, amend, suspend or terminate the ESPP except that, subject to certain exceptions described in the ESPP, no such action may adversely affect any outstanding rights to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6" w:name="page127"/>
    <w:bookmarkEnd w:id="12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shares of our Common Stock under the ESPP. The ESPP will terminate automatically on June 9, 2041, unless we terminate it earlier.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71"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The following table sets forth information regarding the compensation earned for service on our board of directors during the year ended December 31, 2021 by non-employee directors. Neither Mr. Patel nor Dr. Mallick received any additional compensation for their service as a director in 2021. Mr. Patel and Dr. Mallick’s compensation as a named executive officer is set forth above under “— Summary Compensation Table.”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Fees earned or paid in</w:t>
            </w:r>
          </w:p>
        </w:tc>
        <w:tc>
          <w:tcPr>
            <w:tcW w:w="17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Option awards ($)</w:t>
            </w:r>
            <w:r>
              <w:rPr>
                <w:rFonts w:ascii="Arial" w:cs="Arial" w:eastAsia="Arial" w:hAnsi="Arial"/>
                <w:sz w:val="18"/>
                <w:szCs w:val="18"/>
                <w:b w:val="1"/>
                <w:bCs w:val="1"/>
                <w:color w:val="auto"/>
                <w:vertAlign w:val="superscript"/>
              </w:rPr>
              <w:t>(1)</w:t>
            </w:r>
          </w:p>
        </w:tc>
        <w:tc>
          <w:tcPr>
            <w:tcW w:w="144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89"/>
        </w:trPr>
        <w:tc>
          <w:tcPr>
            <w:tcW w:w="6520" w:type="dxa"/>
            <w:vAlign w:val="bottom"/>
            <w:gridSpan w:val="2"/>
            <w:vMerge w:val="continue"/>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cash ($)</w:t>
            </w:r>
          </w:p>
        </w:tc>
        <w:tc>
          <w:tcPr>
            <w:tcW w:w="170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440" w:type="dxa"/>
            <w:vAlign w:val="bottom"/>
            <w:tcBorders>
              <w:top w:val="single" w:sz="8" w:color="auto"/>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Michael Altman</w:t>
            </w:r>
            <w:r>
              <w:rPr>
                <w:rFonts w:ascii="Arial" w:cs="Arial" w:eastAsia="Arial" w:hAnsi="Arial"/>
                <w:sz w:val="23"/>
                <w:szCs w:val="23"/>
                <w:color w:val="auto"/>
                <w:vertAlign w:val="superscript"/>
              </w:rPr>
              <w:t>(2)</w:t>
            </w:r>
          </w:p>
        </w:tc>
        <w:tc>
          <w:tcPr>
            <w:tcW w:w="8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26,333</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ind w:right="353"/>
              <w:spacing w:after="0"/>
              <w:rPr>
                <w:sz w:val="20"/>
                <w:szCs w:val="20"/>
                <w:color w:val="auto"/>
              </w:rPr>
            </w:pPr>
            <w:r>
              <w:rPr>
                <w:rFonts w:ascii="Arial" w:cs="Arial" w:eastAsia="Arial" w:hAnsi="Arial"/>
                <w:sz w:val="18"/>
                <w:szCs w:val="18"/>
                <w:color w:val="auto"/>
              </w:rPr>
              <w:t>369,997</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396,330</w:t>
            </w:r>
          </w:p>
        </w:tc>
        <w:tc>
          <w:tcPr>
            <w:tcW w:w="0" w:type="dxa"/>
            <w:vAlign w:val="bottom"/>
          </w:tcPr>
          <w:p>
            <w:pPr>
              <w:spacing w:after="0"/>
              <w:rPr>
                <w:sz w:val="1"/>
                <w:szCs w:val="1"/>
                <w:color w:val="auto"/>
              </w:rPr>
            </w:pPr>
          </w:p>
        </w:tc>
      </w:tr>
      <w:tr>
        <w:trPr>
          <w:trHeight w:val="229"/>
        </w:trPr>
        <w:tc>
          <w:tcPr>
            <w:tcW w:w="6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(3)</w:t>
            </w:r>
          </w:p>
        </w:tc>
        <w:tc>
          <w:tcPr>
            <w:tcW w:w="1460" w:type="dxa"/>
            <w:vAlign w:val="bottom"/>
          </w:tcPr>
          <w:p>
            <w:pPr>
              <w:jc w:val="right"/>
              <w:spacing w:after="0"/>
              <w:rPr>
                <w:sz w:val="20"/>
                <w:szCs w:val="20"/>
                <w:color w:val="auto"/>
              </w:rPr>
            </w:pPr>
            <w:r>
              <w:rPr>
                <w:rFonts w:ascii="Arial" w:cs="Arial" w:eastAsia="Arial" w:hAnsi="Arial"/>
                <w:sz w:val="18"/>
                <w:szCs w:val="18"/>
                <w:color w:val="auto"/>
              </w:rPr>
              <w:t>33,616</w:t>
            </w:r>
          </w:p>
        </w:tc>
        <w:tc>
          <w:tcPr>
            <w:tcW w:w="120" w:type="dxa"/>
            <w:vAlign w:val="bottom"/>
          </w:tcPr>
          <w:p>
            <w:pPr>
              <w:spacing w:after="0"/>
              <w:rPr>
                <w:sz w:val="19"/>
                <w:szCs w:val="19"/>
                <w:color w:val="auto"/>
              </w:rPr>
            </w:pPr>
          </w:p>
        </w:tc>
        <w:tc>
          <w:tcPr>
            <w:tcW w:w="1580" w:type="dxa"/>
            <w:vAlign w:val="bottom"/>
          </w:tcPr>
          <w:p>
            <w:pPr>
              <w:jc w:val="right"/>
              <w:ind w:right="353"/>
              <w:spacing w:after="0"/>
              <w:rPr>
                <w:sz w:val="20"/>
                <w:szCs w:val="20"/>
                <w:color w:val="auto"/>
              </w:rPr>
            </w:pPr>
            <w:r>
              <w:rPr>
                <w:rFonts w:ascii="Arial" w:cs="Arial" w:eastAsia="Arial" w:hAnsi="Arial"/>
                <w:sz w:val="18"/>
                <w:szCs w:val="18"/>
                <w:color w:val="auto"/>
              </w:rPr>
              <w:t>539,226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572,842</w:t>
            </w:r>
          </w:p>
        </w:tc>
        <w:tc>
          <w:tcPr>
            <w:tcW w:w="0" w:type="dxa"/>
            <w:vAlign w:val="bottom"/>
          </w:tcPr>
          <w:p>
            <w:pPr>
              <w:spacing w:after="0"/>
              <w:rPr>
                <w:sz w:val="1"/>
                <w:szCs w:val="1"/>
                <w:color w:val="auto"/>
              </w:rPr>
            </w:pPr>
          </w:p>
        </w:tc>
      </w:tr>
      <w:tr>
        <w:trPr>
          <w:trHeight w:val="230"/>
        </w:trPr>
        <w:tc>
          <w:tcPr>
            <w:tcW w:w="6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(4)</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266,515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300,131</w:t>
            </w:r>
          </w:p>
        </w:tc>
        <w:tc>
          <w:tcPr>
            <w:tcW w:w="0" w:type="dxa"/>
            <w:vAlign w:val="bottom"/>
          </w:tcPr>
          <w:p>
            <w:pPr>
              <w:spacing w:after="0"/>
              <w:rPr>
                <w:sz w:val="1"/>
                <w:szCs w:val="1"/>
                <w:color w:val="auto"/>
              </w:rPr>
            </w:pPr>
          </w:p>
        </w:tc>
      </w:tr>
      <w:tr>
        <w:trPr>
          <w:trHeight w:val="229"/>
        </w:trPr>
        <w:tc>
          <w:tcPr>
            <w:tcW w:w="65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(5)</w:t>
            </w:r>
          </w:p>
        </w:tc>
        <w:tc>
          <w:tcPr>
            <w:tcW w:w="1460" w:type="dxa"/>
            <w:vAlign w:val="bottom"/>
          </w:tcPr>
          <w:p>
            <w:pPr>
              <w:jc w:val="right"/>
              <w:spacing w:after="0"/>
              <w:rPr>
                <w:sz w:val="20"/>
                <w:szCs w:val="20"/>
                <w:color w:val="auto"/>
              </w:rPr>
            </w:pPr>
            <w:r>
              <w:rPr>
                <w:rFonts w:ascii="Arial" w:cs="Arial" w:eastAsia="Arial" w:hAnsi="Arial"/>
                <w:sz w:val="18"/>
                <w:szCs w:val="18"/>
                <w:color w:val="auto"/>
              </w:rPr>
              <w:t>26,333</w:t>
            </w:r>
          </w:p>
        </w:tc>
        <w:tc>
          <w:tcPr>
            <w:tcW w:w="120" w:type="dxa"/>
            <w:vAlign w:val="bottom"/>
          </w:tcPr>
          <w:p>
            <w:pPr>
              <w:spacing w:after="0"/>
              <w:rPr>
                <w:sz w:val="19"/>
                <w:szCs w:val="19"/>
                <w:color w:val="auto"/>
              </w:rPr>
            </w:pPr>
          </w:p>
        </w:tc>
        <w:tc>
          <w:tcPr>
            <w:tcW w:w="1580" w:type="dxa"/>
            <w:vAlign w:val="bottom"/>
          </w:tcPr>
          <w:p>
            <w:pPr>
              <w:jc w:val="right"/>
              <w:ind w:right="353"/>
              <w:spacing w:after="0"/>
              <w:rPr>
                <w:sz w:val="20"/>
                <w:szCs w:val="20"/>
                <w:color w:val="auto"/>
              </w:rPr>
            </w:pPr>
            <w:r>
              <w:rPr>
                <w:rFonts w:ascii="Arial" w:cs="Arial" w:eastAsia="Arial" w:hAnsi="Arial"/>
                <w:sz w:val="18"/>
                <w:szCs w:val="18"/>
                <w:color w:val="auto"/>
              </w:rPr>
              <w:t>266,515</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292,848</w:t>
            </w:r>
          </w:p>
        </w:tc>
        <w:tc>
          <w:tcPr>
            <w:tcW w:w="0" w:type="dxa"/>
            <w:vAlign w:val="bottom"/>
          </w:tcPr>
          <w:p>
            <w:pPr>
              <w:spacing w:after="0"/>
              <w:rPr>
                <w:sz w:val="1"/>
                <w:szCs w:val="1"/>
                <w:color w:val="auto"/>
              </w:rPr>
            </w:pPr>
          </w:p>
        </w:tc>
      </w:tr>
      <w:tr>
        <w:trPr>
          <w:trHeight w:val="229"/>
        </w:trPr>
        <w:tc>
          <w:tcPr>
            <w:tcW w:w="65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(6)</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25,212</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266,515</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291,727</w:t>
            </w:r>
          </w:p>
        </w:tc>
        <w:tc>
          <w:tcPr>
            <w:tcW w:w="0" w:type="dxa"/>
            <w:vAlign w:val="bottom"/>
          </w:tcPr>
          <w:p>
            <w:pPr>
              <w:spacing w:after="0"/>
              <w:rPr>
                <w:sz w:val="1"/>
                <w:szCs w:val="1"/>
                <w:color w:val="auto"/>
              </w:rPr>
            </w:pPr>
          </w:p>
        </w:tc>
      </w:tr>
      <w:tr>
        <w:trPr>
          <w:trHeight w:val="312"/>
        </w:trPr>
        <w:tc>
          <w:tcPr>
            <w:tcW w:w="6520" w:type="dxa"/>
            <w:vAlign w:val="bottom"/>
            <w:gridSpan w:val="2"/>
          </w:tcPr>
          <w:p>
            <w:pPr>
              <w:ind w:left="20"/>
              <w:spacing w:after="0"/>
              <w:rPr>
                <w:sz w:val="20"/>
                <w:szCs w:val="20"/>
                <w:color w:val="auto"/>
              </w:rPr>
            </w:pPr>
            <w:r>
              <w:rPr>
                <w:rFonts w:ascii="Arial" w:cs="Arial" w:eastAsia="Arial" w:hAnsi="Arial"/>
                <w:sz w:val="18"/>
                <w:szCs w:val="18"/>
                <w:color w:val="auto"/>
              </w:rPr>
              <w:t>Matthew Posard</w:t>
            </w:r>
            <w:r>
              <w:rPr>
                <w:rFonts w:ascii="Arial" w:cs="Arial" w:eastAsia="Arial" w:hAnsi="Arial"/>
                <w:sz w:val="23"/>
                <w:szCs w:val="23"/>
                <w:color w:val="auto"/>
                <w:vertAlign w:val="superscript"/>
              </w:rPr>
              <w:t>(7)</w:t>
            </w:r>
          </w:p>
        </w:tc>
        <w:tc>
          <w:tcPr>
            <w:tcW w:w="1460" w:type="dxa"/>
            <w:vAlign w:val="bottom"/>
          </w:tcPr>
          <w:p>
            <w:pPr>
              <w:jc w:val="right"/>
              <w:spacing w:after="0"/>
              <w:rPr>
                <w:sz w:val="20"/>
                <w:szCs w:val="20"/>
                <w:color w:val="auto"/>
              </w:rPr>
            </w:pPr>
            <w:r>
              <w:rPr>
                <w:rFonts w:ascii="Arial" w:cs="Arial" w:eastAsia="Arial" w:hAnsi="Arial"/>
                <w:sz w:val="18"/>
                <w:szCs w:val="18"/>
                <w:color w:val="auto"/>
              </w:rPr>
              <w:t>58,268</w:t>
            </w:r>
          </w:p>
        </w:tc>
        <w:tc>
          <w:tcPr>
            <w:tcW w:w="120" w:type="dxa"/>
            <w:vAlign w:val="bottom"/>
          </w:tcPr>
          <w:p>
            <w:pPr>
              <w:spacing w:after="0"/>
              <w:rPr>
                <w:sz w:val="24"/>
                <w:szCs w:val="24"/>
                <w:color w:val="auto"/>
              </w:rPr>
            </w:pPr>
          </w:p>
        </w:tc>
        <w:tc>
          <w:tcPr>
            <w:tcW w:w="1580" w:type="dxa"/>
            <w:vAlign w:val="bottom"/>
          </w:tcPr>
          <w:p>
            <w:pPr>
              <w:jc w:val="right"/>
              <w:ind w:right="353"/>
              <w:spacing w:after="0"/>
              <w:rPr>
                <w:sz w:val="20"/>
                <w:szCs w:val="20"/>
                <w:color w:val="auto"/>
              </w:rPr>
            </w:pPr>
            <w:r>
              <w:rPr>
                <w:rFonts w:ascii="Arial" w:cs="Arial" w:eastAsia="Arial" w:hAnsi="Arial"/>
                <w:sz w:val="18"/>
                <w:szCs w:val="18"/>
                <w:color w:val="auto"/>
              </w:rPr>
              <w:t>266,515</w:t>
            </w:r>
          </w:p>
        </w:tc>
        <w:tc>
          <w:tcPr>
            <w:tcW w:w="1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324,783</w:t>
            </w:r>
          </w:p>
        </w:tc>
        <w:tc>
          <w:tcPr>
            <w:tcW w:w="0" w:type="dxa"/>
            <w:vAlign w:val="bottom"/>
          </w:tcPr>
          <w:p>
            <w:pPr>
              <w:spacing w:after="0"/>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40" w:hanging="332"/>
        <w:spacing w:after="0" w:line="241" w:lineRule="auto"/>
        <w:tabs>
          <w:tab w:leader="none" w:pos="332"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2021, computed in accordance with FASB ASC 718. These amounts do not reflect the actual economic value that will be realized by the director upon the vesting of the stock options, the exercise of the stock options, or the sale of the common stock underlying such stock options.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2021, Mr. Altman holds outstanding options to purchase 44,435 shares.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2021, Ms. Epperly holds outstanding options to purchase 72,561 shares.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2021, Mr. McIlwain holds outstanding options to purchase 36,280 shares.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2021, Mr. Nazem holds outstanding options to purchase 36,280 shares.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2021, Mr. Pande holds outstanding options to purchase 36,280 shares.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2"/>
        </w:numPr>
        <w:rPr>
          <w:rFonts w:ascii="Arial" w:cs="Arial" w:eastAsia="Arial" w:hAnsi="Arial"/>
          <w:sz w:val="14"/>
          <w:szCs w:val="14"/>
          <w:color w:val="auto"/>
        </w:rPr>
      </w:pPr>
      <w:r>
        <w:rPr>
          <w:rFonts w:ascii="Arial" w:cs="Arial" w:eastAsia="Arial" w:hAnsi="Arial"/>
          <w:sz w:val="14"/>
          <w:szCs w:val="14"/>
          <w:color w:val="auto"/>
        </w:rPr>
        <w:t>As of December 31, 2021, Mr. Posard holds outstanding options to purchase 268,476 shares.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Grants</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In January 2021, Legacy Nautilus’ board of directors granted options to purchase 36,280 shares of common stock (after giving effect to the exchange upon consummation of the Business Combination) to each of Mr. McIlwain, Mr. Nazem, Dr. Pande and Mr. Posard, and an option to purchase 72,561 shares of common stock (after giving effect to the exchange upon consummation of the Business Combination) to Ms. Epperly. Each option was granted under the 2017 Plan and the form of option agreement thereunder and has a per share exercise price of $10.00 (after giving effect to the exchange upon consummation of the Business Combination), the fair market value of one share of common stock on the date of grant, as determined in good faith by Legacy Nautilus’ board of directors. Subject to the applicable individual continuing to be a service provider to us through such date, 100% of the shares subject to each such option shall vest on the earlier of (a) January 31, 2022 and (b) the day immediately before the date of the next annual meeting of our stockholders following the closing of the Business Combination.</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In June 2021, Mr. Altman received an option to purchase 44,435 shares of New Nautilus common stock pursuant to the New Nautilus Outside Director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Compensation Policy. The option was granted under the 2021 Plan and the form of option agreement thereunder and has a per share exercise price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$11.16, the fair market value of one share of New Nautilus’ common stock on the date of grant. One thirty-sixth (1/36th) of the shares subject to the option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shall vest each month beginning June 9, 2021, subject to Mr. Altman continuing to be a service provider to us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 Policy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to the Business Combination</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Prior to the Business Combination, Legacy Nautilus had no formal policy under which non-employee directors received compensation for their service on the Legacy Nautilus board of directors or its committees. Legacy Nautilus’ policy was to reimburse non-employee directors for reasonable and necessary out-of-pocket expenses incurred in connection with attending board and committee meetings or performing other services in their capacities as non-employee directors, and Legacy Nautilus occasionally granted stock options to non-employee directors.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Following the Business Combination</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board of directors expects to review director compensation periodically to ensure that director compensation remains competitive such that we are able to recruit and retain qualified directors. In 2020, the compensation committee of the Legacy Nautilus board of directors retained Compensia, a third-party compensation consultant, to provide the Legacy Nautilus board of directors and its compensation committee with an analysis of publicly available market data regarding practices and compensation levels at comparable companies and assistance in determining compensation to be provided to New Nautilus’ non-employee directors. Based on the discussions with and assistance from the compensation consultant, in connection with the Business Combination, our board of directors adopted an Outside Director Compensation Policy that provides for certain compensation to our non-employee directors. The Outside Director Compensation Policy became effective as of the day immediately prior to the closing of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Outside Director Compensation Policy provides for the following cash compensation program for our non-employee directors:</w:t>
      </w:r>
    </w:p>
    <w:p>
      <w:pPr>
        <w:spacing w:after="0" w:line="171"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$40,000 per year for service as non-employee chair of our board of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$20,000 per year for service as chair of our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$10,000 per year for service as a member of our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$14,000 per year for service as chair of our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$7,000 per year for service as a member of our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$10,000 per year for service as chair of our nominating and corporate governance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$5,000 per year for service as a member of our nominating and corporate governance committee.</w:t>
      </w:r>
    </w:p>
    <w:p>
      <w:pPr>
        <w:spacing w:after="0" w:line="17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Each non-employee director who serves as a committee chair of our board of directors receives the cash retainer fee as the chair of the committee but not the cash retainer fee as a member of that committee, provided that the non-employee director who serves as the non-employee chair of our board of directors receives the annual retainer fees for such role as well as the annual retainer fee for service as a non-employee director. These fees to our non-employee directors are paid quarterly in arrears on a prorated basis. The above-listed fees for service as non-employee chair of our board of directors or a chair or member of any committee are payable in addition to the non-employee director retainer. Under our Outside Director Compensation Policy, we also reimburse our non-employee directors for reasonable travel expenses to attend meetings of our board of directors and its committees.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Compensation</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i w:val="1"/>
          <w:iCs w:val="1"/>
          <w:color w:val="auto"/>
        </w:rPr>
        <w:t>Initial Award</w:t>
      </w:r>
      <w:r>
        <w:rPr>
          <w:rFonts w:ascii="Arial" w:cs="Arial" w:eastAsia="Arial" w:hAnsi="Arial"/>
          <w:sz w:val="18"/>
          <w:szCs w:val="18"/>
          <w:color w:val="auto"/>
        </w:rPr>
        <w:t>. Pursuant to our Outside Director Compensation Policy, each person who first becomes a non-employee director after the effective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policy will receive, on the first trading day on or after the date that the person first becomes a non-employee director, an initial award of stock options to purchase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8" w:name="page129"/>
    <w:bookmarkEnd w:id="128"/>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common stock (the “Initial Award”). The Initial Award will have an aggregate grant date fair value (determined in accordance with U.S. GAAP) of</w:t>
      </w:r>
    </w:p>
    <w:p>
      <w:pPr>
        <w:spacing w:after="0" w:line="3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$370,000. The Initial Award will be scheduled to vest in equal installments as to 1/36th of the shares of our common stock subject to the Initial Award on a monthly basis following the Initial Award’s grant date, on the same day of the month as the grant date, subject to continued services to us through the applicable vesting dates. If the person was a member of our board of directors and also an employee, then becoming a non-employee director due to termination of employment will not entitle the person to an Initial Award.</w:t>
      </w:r>
    </w:p>
    <w:p>
      <w:pPr>
        <w:spacing w:after="0" w:line="13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Annual Award</w:t>
      </w:r>
      <w:r>
        <w:rPr>
          <w:rFonts w:ascii="Arial" w:cs="Arial" w:eastAsia="Arial" w:hAnsi="Arial"/>
          <w:sz w:val="17"/>
          <w:szCs w:val="17"/>
          <w:color w:val="auto"/>
        </w:rPr>
        <w:t>. Each non-employee director automatically will receive, on the first trading day immediately after the date of each annual meeting of our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(an “Annual Meeting”) that occurs following the effective date of our Outside Director Compensation Policy, an annual award of stock options to purchase shares of our common stock (the “Annual Award”). The Annual Award will have an aggregate grant date fair value (determined in accordance with U.S. GAAP) of $185,000, except if an individual began service as a non-employee director after the date of the Annual Meeting that occurred immediately prior to such Annual Meeting (or if there is no such prior Annual Meeting, then after the date of the Closing), then the Annual Award granted to such non-employee director will be prorated based on the number of whole months that the individual served as a non-employee director prior to the Annual Award’s grant date during the 12 month period immediately preceding such Annual Meeting. Each Annual Award will be scheduled to vest as to 1/12th of the shares of our common stock subject to such award on a monthly basis following the Annual Award’s grant date, on the same day of the month as the grant date, subject to continued services to us through the applicable vesting dates.</w:t>
      </w:r>
    </w:p>
    <w:p>
      <w:pPr>
        <w:spacing w:after="0" w:line="12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our change in control, as defined in the 2021 Plan, each non-employee director’s then outstanding equity awards</w:t>
      </w:r>
      <w:r>
        <w:rPr>
          <w:rFonts w:ascii="Arial" w:cs="Arial" w:eastAsia="Arial" w:hAnsi="Arial"/>
          <w:sz w:val="18"/>
          <w:szCs w:val="18"/>
          <w:i w:val="1"/>
          <w:iCs w:val="1"/>
          <w:color w:val="auto"/>
        </w:rPr>
        <w:t xml:space="preserve"> </w:t>
      </w:r>
      <w:r>
        <w:rPr>
          <w:rFonts w:ascii="Arial" w:cs="Arial" w:eastAsia="Arial" w:hAnsi="Arial"/>
          <w:sz w:val="18"/>
          <w:szCs w:val="18"/>
          <w:color w:val="auto"/>
        </w:rPr>
        <w:t>covering shares of our common stock that were granted to him or her while a non-employee director will accelerate vesting in full, provided that he or she remains a non-employee director through the date of such change in control.</w:t>
      </w:r>
    </w:p>
    <w:p>
      <w:pPr>
        <w:spacing w:after="0" w:line="130" w:lineRule="exact"/>
        <w:rPr>
          <w:sz w:val="20"/>
          <w:szCs w:val="20"/>
          <w:color w:val="auto"/>
        </w:rPr>
      </w:pPr>
    </w:p>
    <w:p>
      <w:pPr>
        <w:jc w:val="both"/>
        <w:ind w:right="340"/>
        <w:spacing w:after="0" w:line="263"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and Annual Award will be granted under the 2021 Plan (or its successor plan, as applicable) and form of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under such plan. These awards will have a maximum term to expiration of ten years from their grant and a per share exercise price equal to 100% of the fair market value of a share of our common stock on the award’s grant date.</w:t>
      </w:r>
    </w:p>
    <w:p>
      <w:pPr>
        <w:spacing w:after="0" w:line="13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Our Outside Director Compensation Policy provides that in any fiscal year, a non-employee director may be paid cash</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of the Business Combination, will not count toward this annual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29" w:name="page130"/>
    <w:bookmarkEnd w:id="12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RELATED PARTY AND OTHER TRANSACTIONS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Described below are any transactions occurring since January 1, 2020 and any currently proposed transactions to which we or either of ARYA or Legacy Nautilus was a party and in which:</w:t>
      </w:r>
    </w:p>
    <w:p>
      <w:pPr>
        <w:spacing w:after="0" w:line="116" w:lineRule="exact"/>
        <w:rPr>
          <w:sz w:val="20"/>
          <w:szCs w:val="20"/>
          <w:color w:val="auto"/>
        </w:rPr>
      </w:pPr>
    </w:p>
    <w:p>
      <w:pPr>
        <w:ind w:left="660" w:right="48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amounts involved exceeded or will exceed the lesser of $120,000 or 1% of the average of our, ARYA or Legacy Nautilus’ total assets, as applicable, at year-end for the last two completed fiscal years; and</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director, executive officer, holder of more than 5% of the outstanding capital stock of us, ARYA or Legacy Nautilus, or any member of such person’s immediate family had or will have a direct or indirect material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Transactions—ARYA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B Ordinary Shares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March 2, 2020, ARYA Sciences Holdings III, a Cayman Islands exempted limited company and ARYA’s sponsor (the “Sponsor”) paid $25,000 to cover certain offering costs of ARYA in consideration of 3,593,750 of ARYA’s Class B ordinary shares. On August 6, 2020, ARYA effected a share capitalization resulting in the Sponsor and Todd Wider, Bradley L. Campbell and Saqib Islam, each of whom were on ARYA’s board of directors (together with Sponsor, the “initial shareholders”) holding 3,737,500 of ARYA’s Class B ordinary shares. All ARYA share numbers and the associated amounts referenced herein have been retroactively restated to reflect the share capitalization. The Sponsor agreed to forfeit up to 487,500 of ARYA’s Class B ordinary shares to the extent that the over-allotment option was not exercised in full by the underwriters in the initial public offering. The forfeiture would have been adjusted to the extent that the over-allotment option was not exercised in full by the underwriters in the initial public offering so that the ARYA Class B ordinary shares would represent 20.0% of ARYA’s issued and outstanding ordinary shares (excluding the private placement shares and assuming the initial shareholders did not purchase any units in the initial public offering) after the initial public offering. On August 11, 2020, the underwriters in the initial public offering exercised their over-allotment option in full; thus, these ARYA Class B ordinary shares were no longer subject to forfeiture. Upon the Domestication, all of the Class B ordinary shares were exchanged for shares of Common Stock of Nautilus.</w:t>
      </w:r>
    </w:p>
    <w:p>
      <w:pPr>
        <w:spacing w:after="0" w:line="11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ARYA Class B ordinary shares until the earlier to occur of: (A) one year after the completion of the Business Combination and (B) subsequent to the Business Combination, (x) if the closing price of our Common Stock equals or exceeds $12.00 per share (as adjusted for share splits, share capitalizations, reorganizations, recapitalizations and the like) for any 20 trading days within any 30-trading day period commencing at least 150 days after the Business Combination, or (y) the date on which ARYA completes a liquidation, merger, share exchange, reorganization or other similar transaction that results in all of ARYA’s public shareholders having the right to exchange their ordinary shares for cash, securities or other property. Pursuant to the terms of the Sponsor Letter Agreement, as described below, upon the closing of the Business Combination these restrictions terminated upon the closing of the Business Combination. Effective as of the closing of the Business Combination, all shares of Common Stock issued upon the exchange of the Class B ordinary shares were subject to the lock-up restrictions set forth in the Amended and Restated Registration Rights and Lock-Up Agreement described below.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Placement Shares – IPO</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Simultaneously with the closing of ARYA’s initial public offering, the Sponsor purchased an aggregate of 499,000 private placement shares at a price of</w:t>
      </w:r>
    </w:p>
    <w:p>
      <w:pPr>
        <w:spacing w:after="0" w:line="46"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$10.00 per private placement unit in a private placement, generating gross proceeds of approximately $5.0 million. A portion of these proceeds were added to the proceeds from ARYA’s initial public offering.</w:t>
      </w:r>
    </w:p>
    <w:p>
      <w:pPr>
        <w:spacing w:after="0" w:line="13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private placement shares were subject to the lock-up period described in the Amended and Restated Registration Rights and Lock-Up Agreement that was executed by the Sponsor in connection with the execution of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April 2, 2020, Sponsor agreed to loan ARYA an aggregate of up to $300,000 to cover expenses related to ARYA’s initial public offering pursuant to a promissory note (the “Note”). This loan was non-interest bearing and payable on the earlier of December 31, 2020 or the completion of ARYA’s initial public offering. Sponsor paid an aggregate of approximately $200,000 to cover for expenses on ARYA’s behalf under the Note. On August 11, 2020, ARYA repaid the Note in full.</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7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Effective August 11, 2020, ARYA entered into an agreement to pay monthly expenses of $10,000 for office space, administrative services and support services to Sponsor. ARYA incurred approximately $98,000 for these services from March 27, 2020 (inception) through the closing of the Business Combination. The letter automatically terminated upon the completion of the Business Combination.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Reference is made to the discussion of the Amended and Restated Registration Rights and Lock-Up Agreement in the section below entitled “</w:t>
      </w:r>
      <w:r>
        <w:rPr>
          <w:rFonts w:ascii="Arial" w:cs="Arial" w:eastAsia="Arial" w:hAnsi="Arial"/>
          <w:sz w:val="18"/>
          <w:szCs w:val="18"/>
          <w:i w:val="1"/>
          <w:iCs w:val="1"/>
          <w:color w:val="auto"/>
        </w:rPr>
        <w:t>—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Person Transactions—Legacy Nautilus.</w:t>
      </w:r>
      <w:r>
        <w:rPr>
          <w:rFonts w:ascii="Arial" w:cs="Arial" w:eastAsia="Arial" w:hAnsi="Arial"/>
          <w:sz w:val="18"/>
          <w:szCs w:val="18"/>
          <w:color w:val="auto"/>
        </w:rPr>
        <w:t>”</w:t>
      </w:r>
    </w:p>
    <w:p>
      <w:pPr>
        <w:spacing w:after="0" w:line="116"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ARYA previously entered into a registration and shareholder rights agreement, dated August 11, 2020 (the “ARYA Registration and Shareholder Rights Agreement”), pursuant to which its initial shareholders and their permitted transferees, if any, were entitled to certain registration rights with respect to the private placement shares, the securities issuable upon conversion of working capital loans (if any) and the Class A ordinary shares issuable upon exercise of the foregoing and upon conversion of the founder shares. The ARYA Registration and Shareholder Rights Agreement was terminated in connection with the execution of the Amended and Restated Registration Rights and Lock-Up Agreement.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Concurrently with the execution of the Business Combination Agreement, the Sponsor, ARYA, Todd Wider, Bradley L. Campbell and Saqib Islam and Legacy Nautilus entered into the Sponsor Letter Agreement, pursuant to which the Sponsor and each of Todd Wider, Bradley L. Campbell and Saqib Islam agreed to, among other things, (i) vote in favor of the Business Combination Agreement and the transactions contemplated thereby (ii) waive any adjustment to the conversion ratio set forth in the governing documents of ARYA or any other anti-dilution or similar protection with respect to ARYA’s Class B ordinary shares (whether resulting from the transactions contemplated by the PIPE Financing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 the conditions set forth in the Sponsor Letter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Financing</w:t>
      </w:r>
    </w:p>
    <w:p>
      <w:pPr>
        <w:spacing w:after="0" w:line="17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Reference is made to the discussion of the PIPE Financing in the section below entitled “</w:t>
      </w:r>
      <w:r>
        <w:rPr>
          <w:rFonts w:ascii="Arial" w:cs="Arial" w:eastAsia="Arial" w:hAnsi="Arial"/>
          <w:sz w:val="18"/>
          <w:szCs w:val="18"/>
          <w:i w:val="1"/>
          <w:iCs w:val="1"/>
          <w:color w:val="auto"/>
        </w:rPr>
        <w:t>— Certain Relationships and Related Person Transactions—</w:t>
      </w:r>
      <w:r>
        <w:rPr>
          <w:rFonts w:ascii="Arial" w:cs="Arial" w:eastAsia="Arial" w:hAnsi="Arial"/>
          <w:sz w:val="18"/>
          <w:szCs w:val="18"/>
          <w:color w:val="auto"/>
        </w:rPr>
        <w:t xml:space="preserve"> </w:t>
      </w:r>
      <w:r>
        <w:rPr>
          <w:rFonts w:ascii="Arial" w:cs="Arial" w:eastAsia="Arial" w:hAnsi="Arial"/>
          <w:sz w:val="18"/>
          <w:szCs w:val="18"/>
          <w:i w:val="1"/>
          <w:iCs w:val="1"/>
          <w:color w:val="auto"/>
        </w:rPr>
        <w:t>Legacy Nautilus.</w:t>
      </w:r>
      <w:r>
        <w:rPr>
          <w:rFonts w:ascii="Arial" w:cs="Arial" w:eastAsia="Arial" w:hAnsi="Arial"/>
          <w:sz w:val="18"/>
          <w:szCs w:val="18"/>
          <w:color w:val="auto"/>
        </w:rPr>
        <w:t>”</w:t>
      </w:r>
    </w:p>
    <w:p>
      <w:pPr>
        <w:spacing w:after="0" w:line="112" w:lineRule="exact"/>
        <w:rPr>
          <w:sz w:val="20"/>
          <w:szCs w:val="20"/>
          <w:color w:val="auto"/>
        </w:rPr>
      </w:pPr>
    </w:p>
    <w:p>
      <w:pPr>
        <w:ind w:right="5560"/>
        <w:spacing w:after="0" w:line="440" w:lineRule="auto"/>
        <w:rPr>
          <w:sz w:val="20"/>
          <w:szCs w:val="20"/>
          <w:color w:val="auto"/>
        </w:rPr>
      </w:pPr>
      <w:r>
        <w:rPr>
          <w:rFonts w:ascii="Arial" w:cs="Arial" w:eastAsia="Arial" w:hAnsi="Arial"/>
          <w:sz w:val="18"/>
          <w:szCs w:val="18"/>
          <w:b w:val="1"/>
          <w:bCs w:val="1"/>
          <w:color w:val="auto"/>
        </w:rPr>
        <w:t xml:space="preserve">Certain Relationships and Related Person Transactions—Legacy Nautilus </w:t>
      </w:r>
      <w:r>
        <w:rPr>
          <w:rFonts w:ascii="Arial" w:cs="Arial" w:eastAsia="Arial" w:hAnsi="Arial"/>
          <w:sz w:val="18"/>
          <w:szCs w:val="18"/>
          <w:b w:val="1"/>
          <w:bCs w:val="1"/>
          <w:i w:val="1"/>
          <w:iCs w:val="1"/>
          <w:color w:val="auto"/>
        </w:rPr>
        <w:t>Series B Preferred Stock Issuance</w:t>
      </w:r>
    </w:p>
    <w:p>
      <w:pPr>
        <w:spacing w:after="0" w:line="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In April and May 2020, Legacy Nautilus issued and sold an aggregate of 6,109,232 shares of its Series B preferred stock (before giving effect to the exchange upon consummation of the Business Combination) at a purchase price of $12.45 per share (before giving effect to the exchange upon consummation of the Business Combination) for an aggregate purchase price of $76.1 million.</w:t>
      </w:r>
    </w:p>
    <w:p>
      <w:pPr>
        <w:spacing w:after="0" w:line="13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Purchasers of Legacy Nautilus’ Series B preferred stock included stockholders that beneficially owned more than 5% of Legacy Nautilus’ outstanding capital stock at the time of such transaction and/or were represented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4"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Legacy Nautilus’ board of directors at the time of the transaction. The following table presents the number of shares and the total purchase price paid by these entities (in each case before giving effect to the exchange upon consummation of the Business Combination).</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of Series B</w:t>
            </w: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Total Purchase Price ($)</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20,000,004</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 VI</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963,855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11,999,995</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AH Bio Fund II, L.P.</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9,999,989</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PFV I,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HAND Capital, LLC </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Stuart Nagae was a member of Legacy Nautilus’ board of directors and is an affiliate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Matthew McIlwain is a member of our board of directors and was a member of Legacy Nautilus’ board of directors and is an affiliate of Madrona Venture Fund VI. .</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Vijay Pande is a member of our board of directors and was a member of Legacy Nautilus’ board of directors and is an affiliate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Sujal Patel is a member of our board of directors and was a member of Legacy Nautilus’ board of directors and is the manager of PFV I,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Farzad Nazem is a member of our board of directors and was a member of Legacy Nautilus’ board of directors and is the manager of HAND Capital, LLC.</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Nautilus Registration Rights Agreement</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Legacy Nautilus was party to an amended and restated registration rights agreement with certain holders of its capital stock, including, among others, AH Bio Fund II, L.P., entities affiliated with Vulcan Capital, entities affiliated with Madrona Venture Fund VI, PFV I, LLC (an affiliate of Sujal Patel, Chief Executive Officer, President and a director of Nautilus) and HAND Capital, LLC (an affiliate of Farzad Nazem, a director of Nautilus). Under Legacy Nautilus’ amended and restated registration rights agreement, certain holders of Legacy Nautilus’ capital stock had the right to demand that Legacy Nautilus file a registration statement or request that their shares of capital stock be covered by a registration statement that Legacy Nautilus is otherwise filing. Upon the consummation of the Business Combination, Legacy Nautilus’ amended and restated registration rights agreement terminated.</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7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Legacy Nautilus was party to an amended and restated voting agreement, as amended, with certain holders of its capital stock, including, among others, Sujal Patel, our, and previously Legacy Nautilus’ Chief Executive Officer, President and director, Parag Mallick, our, and previously Legacy Nautilus’ Chief Scientist and director, AH Bio Fund II, L.P., entities affiliated with Vulcan Capital, entities affiliated with Madrona Venture Fund VI, PFV I, LLC (an affiliate of Mr. Patel) and HAND Capital, LLC (an affiliate of Farzad Nazem, a director of ours, and, prior to that, of Legacy Nautilus). The parties to the voting agreement agreed, subject to certain conditions, to vote the shares of Legacy Nautilus capital stock held by them so as to maintain the size of the Legacy Nautilus’ board of directors at 9 and to elect the following individuals as directors: (1) one individual designated by a majority-in-interest of the holders of Legacy Nautilus’ Series Seed Preferred Stock, (2) one individual designated by AH Bio Fund II, L.P., (3) one individual designated by entities affiliated with Vulcan Capital, (4) two individuals designated by a majority-in-interest of certain holders of Legacy Nautilus’ common stock, (5) one individual who is an independent outside industry expert approved unanimously by the other members of Legacy Nautilus’ board of directors, (6) one individual who is an independent outside industry expert approved by the majority of the members of Legacy Nautilus’ board of directors, and (7) two individuals designated by a majority of the other members of Legacy Nautilus’ board of directors.</w:t>
      </w:r>
    </w:p>
    <w:p>
      <w:pPr>
        <w:spacing w:after="0" w:line="128"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Upon the consummation of the Business Combination, the obligations of the parties to the voting agreement to vote their shares so as to elect these nominees, as well as the other rights and obligations under this agreement, terminated and none of Legacy Nautilus’ stockholders have any special rights regarding the nomination, election or designation of members of our board of directors pursuant to such agreement. Legacy Nautilus’ certificate of incorporation as in effect prior to the consummation of the Business Combination contained provisions regarding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election of members of the board of directors that corresponded to the amended and restated voting agreement; however, such provisions were removed in the certificate of incorporation that became effective in connection with the consummation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Legacy Nautilus entered into indemnification agreements with its directors and executive officers and we have entered into separate indemnification agreements with our directors and executive officers, in addition to the indemnification provided for in our Certificate of Incorporation and our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as a director or executive officer of any other company or enterprise to which the person provides services at our request.</w:t>
      </w:r>
    </w:p>
    <w:p>
      <w:pPr>
        <w:spacing w:after="0" w:line="107"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The limitation of liability and indemnification provisions in our Certificate of Incorporation and our Bylaws may discourage stockholders from bringing a lawsuit against directors for breach of their fiduciary duties. They may also reduce the likelihood of derivative litigation against directors and executive officers, even though an action, if successful, might benefit us and our stockholders. A stockholder’s investment may decline in value to the extent we pay the costs of settlement and damage awards against directors and executive officers pursuant to these indemnification provisions.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Transfer Agreement</w:t>
      </w:r>
    </w:p>
    <w:p>
      <w:pPr>
        <w:spacing w:after="0" w:line="171"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On February 7, 2021, Legacy Nautilus, Parag Mallick, our, and previously Legacy Nautilus’, Chief Scientist and director, and certain holders of Legacy Nautilus capital stock or their affiliates entered into a Stock Transfer Agreement pursuant to which Dr. Mallick transferred and sold an aggregate total of 147,275 shares (before giving effect to the exchange upon consummation of the Business Combination) to the purchasers party thereto at a price per share of $33.95 (before giving effect to the exchange upon consummation of the Business Combination) for aggregate gross proceeds of $4,999,986.25. Legacy Nautilus did not purchase any of the shares sold by Dr. Mallick pursuant to the agreement and was a party to the agreement solely for the purpose of acknowledging the transfer and waiving certain restrictions on transfer governing the shares set forth in the existing Legacy Nautilus shareholder agreements and governing documents. Purchasers in the transaction included stockholders that beneficially owned more than 5% of Legacy Nautilus’ outstanding capital stock at the time of such transaction and/or were represented on Legacy Nautilus’ board of directors at the time of the transaction. The following table presents the number of shares and the total purchase price paid by these entities.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Shares of Nautilus</w:t>
            </w: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Total Purchase Price ($)</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920" w:type="dxa"/>
            <w:vAlign w:val="bottom"/>
            <w:tcBorders>
              <w:top w:val="single" w:sz="8" w:color="auto"/>
            </w:tcBorders>
            <w:shd w:val="clear" w:color="auto" w:fill="CCEEFF"/>
          </w:tcPr>
          <w:p>
            <w:pPr>
              <w:ind w:left="20"/>
              <w:spacing w:after="0" w:line="170" w:lineRule="exact"/>
              <w:rPr>
                <w:sz w:val="20"/>
                <w:szCs w:val="20"/>
                <w:color w:val="auto"/>
              </w:rPr>
            </w:pPr>
            <w:r>
              <w:rPr>
                <w:rFonts w:ascii="Arial" w:cs="Arial" w:eastAsia="Arial" w:hAnsi="Arial"/>
                <w:sz w:val="18"/>
                <w:szCs w:val="18"/>
                <w:color w:val="auto"/>
                <w:w w:val="94"/>
              </w:rPr>
              <w:t>Andreessen Horowitz LSV Fund II, LP, for itself and as nominee for Andreessen Horowitz LSV Fund II-B,</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74,490</w:t>
            </w:r>
          </w:p>
        </w:tc>
        <w:tc>
          <w:tcPr>
            <w:tcW w:w="1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2,528,936</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L.P. and Andreessen Horowitz LSV Fund II-Q, L.P.</w:t>
            </w:r>
            <w:r>
              <w:rPr>
                <w:rFonts w:ascii="Arial" w:cs="Arial" w:eastAsia="Arial" w:hAnsi="Arial"/>
                <w:sz w:val="23"/>
                <w:szCs w:val="23"/>
                <w:color w:val="auto"/>
                <w:vertAlign w:val="superscript"/>
              </w:rPr>
              <w:t>(1)</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26,638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904,360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 VI</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796,060</w:t>
            </w:r>
          </w:p>
        </w:tc>
        <w:tc>
          <w:tcPr>
            <w:tcW w:w="0" w:type="dxa"/>
            <w:vAlign w:val="bottom"/>
          </w:tcPr>
          <w:p>
            <w:pPr>
              <w:spacing w:after="0"/>
              <w:rPr>
                <w:sz w:val="1"/>
                <w:szCs w:val="1"/>
                <w:color w:val="auto"/>
              </w:rPr>
            </w:pPr>
          </w:p>
        </w:tc>
      </w:tr>
      <w:tr>
        <w:trPr>
          <w:trHeight w:val="304"/>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277,134</w:t>
            </w:r>
          </w:p>
        </w:tc>
        <w:tc>
          <w:tcPr>
            <w:tcW w:w="0" w:type="dxa"/>
            <w:vAlign w:val="bottom"/>
          </w:tcPr>
          <w:p>
            <w:pPr>
              <w:spacing w:after="0"/>
              <w:rPr>
                <w:sz w:val="1"/>
                <w:szCs w:val="1"/>
                <w:color w:val="auto"/>
              </w:rPr>
            </w:pP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Vijay Pande is a member of our board of directors and was a member of Legacy Nautilus’ board of directors and is an affiliate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Stuart Nagae was a member of Legacy Nautilus’ board of directors and is an affiliate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Matthew McIlwain is a member of our board of directors and was a member of Legacy Nautilus’ board of directors and is an affiliate of Madrona Venture Fund VI.</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6"/>
        </w:numPr>
        <w:rPr>
          <w:rFonts w:ascii="Arial" w:cs="Arial" w:eastAsia="Arial" w:hAnsi="Arial"/>
          <w:sz w:val="14"/>
          <w:szCs w:val="14"/>
          <w:color w:val="auto"/>
        </w:rPr>
      </w:pPr>
      <w:r>
        <w:rPr>
          <w:rFonts w:ascii="Arial" w:cs="Arial" w:eastAsia="Arial" w:hAnsi="Arial"/>
          <w:sz w:val="14"/>
          <w:szCs w:val="14"/>
          <w:color w:val="auto"/>
        </w:rPr>
        <w:t>Farzad Nazem is a member of our board of directors and was a member of Legacy Nautilus’ board of directors and is the manager of HAND Capital,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In connection with the execution of the Business Combination Agreement, effective as of February 7, 2021, ARYA entered into the Subscription Agreements (each, a “Subscription Agreement”) with the Perceptive PIPE Investor and certain other PIPE investors (the “Other PIPE Investors,” and the Other PIPE Investors, together with the Perceptive PIPE Investor, the “PIPE Investors”), pursuant to which the PIPE Investors agreed to subscribe for and purchase, and ARYA agreed to issue and sell to the PIPE Investors, an aggregate of 20,000,000 shares of our Common Stock at a price of $10.00 per share, for aggregate gross proceeds of $200 million. The Perceptive PIPE Investor funded $55 million in the PIPE Financing. The shares of our Common Stock issued pursuant to the Subscription Agreements were not registered under the Securities Act and were issued in reliance of the exemption provided in Section 4(a)(2) of the Securities Act. We granted the PIPE Investors certain registration rights in connection with the PIPE Financing requiring us to file and maintain an effective resale registration statement with respect to the PIPE Shares for the benefit of the PIPE Investors. The Other PIPE Investors include stockholders that beneficially owned more than 5% of Legacy Nautilus’ outstanding capital stock at the time of entering into the applicable Subscription Agreement and/or were represented on Legacy Nautilus’ board of directors at such time. The following table presents the number of shares purchased and the total purchase price paid by these individuals and entities, as well as the Perceptive PIPE Investor. In addition to such individuals and entities, as set forth below, funds affiliated with BAIN Capital Life Sciences Investors, LLC, previously a holder of more than 5% of ARYA’s outstanding capital stock, purchased $10,000,000 of our Common Stock in the PIPE Financing.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 Purchased</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4"/>
              </w:rPr>
              <w:t>Total Purchase Price ($)</w:t>
            </w:r>
          </w:p>
        </w:tc>
        <w:tc>
          <w:tcPr>
            <w:tcW w:w="0" w:type="dxa"/>
            <w:vAlign w:val="bottom"/>
          </w:tcPr>
          <w:p>
            <w:pPr>
              <w:spacing w:after="0"/>
              <w:rPr>
                <w:sz w:val="1"/>
                <w:szCs w:val="1"/>
                <w:color w:val="auto"/>
              </w:rPr>
            </w:pPr>
          </w:p>
        </w:tc>
      </w:tr>
      <w:tr>
        <w:trPr>
          <w:trHeight w:val="175"/>
        </w:trPr>
        <w:tc>
          <w:tcPr>
            <w:tcW w:w="792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w w:val="94"/>
              </w:rPr>
              <w:t>Andreessen Horowitz LSV Fund II, LP, for itself and as nominee for Andreessen Horowitz LSV Fund II-B,</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1,085,656</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10,856,560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L.P. and Andreessen Horowitz LSV Fund II-Q, L.P.</w:t>
            </w:r>
            <w:r>
              <w:rPr>
                <w:rFonts w:ascii="Arial" w:cs="Arial" w:eastAsia="Arial" w:hAnsi="Arial"/>
                <w:sz w:val="23"/>
                <w:szCs w:val="23"/>
                <w:color w:val="auto"/>
                <w:vertAlign w:val="superscript"/>
              </w:rPr>
              <w:t>(1)</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1,248,113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12,481,130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 VI</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72,286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722,860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Matthew Posard </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 xml:space="preserve">Perceptive PIPE Investor </w:t>
            </w:r>
            <w:r>
              <w:rPr>
                <w:rFonts w:ascii="Arial" w:cs="Arial" w:eastAsia="Arial" w:hAnsi="Arial"/>
                <w:sz w:val="23"/>
                <w:szCs w:val="23"/>
                <w:color w:val="auto"/>
                <w:vertAlign w:val="superscript"/>
              </w:rPr>
              <w:t>(6)</w:t>
            </w:r>
          </w:p>
        </w:tc>
        <w:tc>
          <w:tcPr>
            <w:tcW w:w="156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55,000,000</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Entities affiliated with BAIN Capital Life Sciences Investors, LLC </w:t>
            </w:r>
            <w:r>
              <w:rPr>
                <w:rFonts w:ascii="Arial" w:cs="Arial" w:eastAsia="Arial" w:hAnsi="Arial"/>
                <w:sz w:val="23"/>
                <w:szCs w:val="23"/>
                <w:color w:val="auto"/>
                <w:vertAlign w:val="superscript"/>
              </w:rPr>
              <w:t>(7)</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Vijay Pande is a member of our board of directors and was a member of Legacy Nautilus’ board of directors and is a representative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Stuart Nagae was a member of Legacy Nautilus’ board of directors and is a representative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Matthew McIlwain is a member of our board of directors and was a member of Legacy Nautilus’ board of directors and is a representative of Madrona Venture Fund VI.</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Farzad Nazem is a member of our board of directors and was a member of Legacy Nautilus’ board of directors and is the manager of HAND Capital,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Mr. Posard is a member of our board of directors and was a member of Legacy Nautilus’ board of directors.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77"/>
        </w:numPr>
        <w:rPr>
          <w:rFonts w:ascii="Arial" w:cs="Arial" w:eastAsia="Arial" w:hAnsi="Arial"/>
          <w:sz w:val="14"/>
          <w:szCs w:val="14"/>
          <w:color w:val="auto"/>
        </w:rPr>
      </w:pPr>
      <w:r>
        <w:rPr>
          <w:rFonts w:ascii="Arial" w:cs="Arial" w:eastAsia="Arial" w:hAnsi="Arial"/>
          <w:sz w:val="14"/>
          <w:szCs w:val="14"/>
          <w:color w:val="auto"/>
        </w:rPr>
        <w:t>Michael Altman is a member of our board of directors, was a member of ARYA’s board of directors, and is a representative of the Perceptive PIPE Investor.</w:t>
      </w:r>
    </w:p>
    <w:p>
      <w:pPr>
        <w:spacing w:after="0" w:line="1" w:lineRule="exact"/>
        <w:rPr>
          <w:rFonts w:ascii="Arial" w:cs="Arial" w:eastAsia="Arial" w:hAnsi="Arial"/>
          <w:sz w:val="14"/>
          <w:szCs w:val="14"/>
          <w:color w:val="auto"/>
        </w:rPr>
      </w:pPr>
    </w:p>
    <w:p>
      <w:pPr>
        <w:ind w:left="340" w:right="820" w:hanging="332"/>
        <w:spacing w:after="0" w:line="255" w:lineRule="auto"/>
        <w:tabs>
          <w:tab w:leader="none" w:pos="332" w:val="left"/>
        </w:tabs>
        <w:numPr>
          <w:ilvl w:val="0"/>
          <w:numId w:val="77"/>
        </w:numPr>
        <w:rPr>
          <w:rFonts w:ascii="Arial" w:cs="Arial" w:eastAsia="Arial" w:hAnsi="Arial"/>
          <w:sz w:val="14"/>
          <w:szCs w:val="14"/>
          <w:color w:val="auto"/>
        </w:rPr>
      </w:pPr>
      <w:r>
        <w:rPr>
          <w:rFonts w:ascii="Arial" w:cs="Arial" w:eastAsia="Arial" w:hAnsi="Arial"/>
          <w:sz w:val="14"/>
          <w:szCs w:val="14"/>
          <w:color w:val="auto"/>
        </w:rPr>
        <w:t>Entities affiliated with BAIN Capital Life Sciences Investors, LLC beneficially owned greater than 5% of ARYA’s outstanding capital stock prior to the closing of the Business Combination.</w:t>
      </w:r>
    </w:p>
    <w:p>
      <w:pPr>
        <w:spacing w:after="0" w:line="136"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The closing of the PIPE Financing was contingent upon, among other customary closing conditions, the substantially concurrent closing of the Business Combination. The purpose of the PIPE Financing was to raise additional capital for use by us following the Business Combination.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Support Agreements</w:t>
      </w:r>
    </w:p>
    <w:p>
      <w:pPr>
        <w:spacing w:after="0" w:line="17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February 7, 2021, ARYA entered into the Transaction Support Agreements with the Perceptive PIPE Investor and certain other holders of Legacy Nautilus’ capital stock, including Sujal Patel, our, and previously Legacy Nautilus’ Chief Executive Officer, President and director, Parag Mallick, our, and previously Legacy Nautilus’ Chief Scientist and director, entities affiliated with Andreessen Horowitz, and entities affiliated with Vulcan Capital, pursuant to which such holders agreed, among other things, to (i) support and vote in favor of the Business Combination Agreement and the transactions contemplated thereby (including the Merger), and (ii)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4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bound by certain other covenants and agreements related to the Business Combination, including a restriction on transfers with respect to his, her or its shares in Legacy Nautilus prior to the closing of the Business Combination.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February 7, 2021, ARYA entered into an Amended and Restated Registration Rights and Lock-Up Agreement, which became effective at the closing of the Business Combination, with the Perceptive PIPE Investor, ARYA’s initial shareholders, Legacy Nautilus’ directors, and certain holders of Legacy Nautilus’ capital stock, including, among others, Sujal Patel, our, and previously Legacy Nautilus’ Chief Executive Officer, President and director, Parag Mallick, our, and previously Legacy Nautilus’ Chief Scientist and director, entities affiliated with Andreessen Horowitz, entities affiliated with Vulcan Capital, entities affiliated with Madrona Venture Fund VI, PFV I, LLC (an affiliate of Mr. Patel) and HAND Capital, LLC (an affiliate of Farzad Nazem, our director, and previously a director of Legacy Nautilus). Pursuant to the terms of the Amended and Restated Registration Rights and Lock-Up Agreement, we are obligated to file a registration statement to register the resale of certain shares of our Common Stock within 45 days after the closing of the Business Combination.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we file a registration statement on Form S-3 (or on Form S-1 if Form S-3 is not available) to register our securities held by such holders, and we are separately required at all times to maintain an effective resale registration statement for the benefit of the holders party to the agreement. The Amended and Restated Registration Rights and Lock-Up Agreement also provides such holders with “piggy-back” registration rights, subject to certain requirements and customary conditions.</w:t>
      </w:r>
    </w:p>
    <w:p>
      <w:pPr>
        <w:spacing w:after="0" w:line="1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Amended and Restated Registration Rights and Lock-Up Agreement further provides for our securities held by the holders party thereto to be locked-up for a period of time following the closing of the Business Combination, subject to certain exceptions.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Legacy Nautilus Policies for Approval of Related Party Transactions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Legacy Nautilus’ board of directors reviewed and approved transactions with directors, officers and holders of 5% or more of its capital stock and their affiliates, each a related party. Prior to this transaction, the material facts as to the related party’s relationship or interest in the transaction were disclosed to its board of directors prior to their consideration of such transaction, and the transaction was not considered approved by Legacy Nautilus’ board of directors unless a majority of the directors who were then not interested in the transaction approved the transaction. Further, when stockholders were entitled to vote on a transaction with a related party, the material facts of the related party’s relationship or interest in the transaction were disclosed to the stockholders, who had to approve the transaction in good faith.</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Policies and Procedures for Related Party Transactions</w:t>
      </w:r>
    </w:p>
    <w:p>
      <w:pPr>
        <w:spacing w:after="0" w:line="171"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Our board of directors has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 we or any of our subsidiaries are participants involving an amount that exceeds $120,000, in which any “related person” has a material interest.</w:t>
      </w:r>
    </w:p>
    <w:p>
      <w:pPr>
        <w:spacing w:after="0" w:line="11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Transactions involving compensation for services provided to us as an employee, consultant or director will not be considered related person transactions under this policy. A related person is any executive officer, director, nominee to become a director or a holder of more than 5% of any class of our voting securities (including our Common Stock), including any of their immediate family members and affiliates, including entities owned or controlled by such persons.</w:t>
      </w:r>
    </w:p>
    <w:p>
      <w:pPr>
        <w:spacing w:after="0" w:line="133"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Under the policy, the related person in question or, in the case of transactions with a holder of more than 5% of any class of our voting securities, an officer with knowledge of a proposed transaction, must present information regarding the proposed related person transaction to our audit committee (or, where review by our audit committee would be inappropriate, to another independent body of our board of directors) for review. To identify related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5" w:name="page136"/>
    <w:bookmarkEnd w:id="135"/>
    <w:p>
      <w:pPr>
        <w:spacing w:after="0" w:line="14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70"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risks, costs, and benefits to us;</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17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audit committee will approve only those transactions that it determines are fair to us and in our best interests. 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6" w:name="page137"/>
    <w:bookmarkEnd w:id="136"/>
    <w:p>
      <w:pPr>
        <w:spacing w:after="0" w:line="140"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PRINCIPAL SECURITYHOLDERS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Common Stock as of January 31, 2022 by:</w:t>
      </w:r>
    </w:p>
    <w:p>
      <w:pPr>
        <w:spacing w:after="0" w:line="171"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outstanding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each of our named executive officers and our directors;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stock options, within 60 days of January 31, 2022. Shares subject to options that are currently exercisable or exercisable within 60 days of January 31, 2022 are considered outstanding and beneficially owned by the person holding such options for the purpose of computing the percentage ownership of that person but are not treated as outstanding for the purpose of computing the percentage ownership of any other person. Except as noted by footnote, and subject to community property laws where applicable, based on the information provided to us, we believe that the persons and entities named in the table below have sole voting and investment power with respect to all shares shown as beneficially owned by them. Unless otherwise noted, the business address of each of the directors and executive officers of New Nautilus is 2701 Eastlake Avenue East, Seattle, WA 98102. The percentage of beneficial ownership of New Nautilus is calculated based on 124,425,923 shares of Common Stock outstanding as of January 31, 2022.</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Address of Beneficial Owners</w:t>
            </w:r>
          </w:p>
        </w:tc>
        <w:tc>
          <w:tcPr>
            <w:tcW w:w="164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 of Shares</w:t>
            </w:r>
          </w:p>
        </w:tc>
        <w:tc>
          <w:tcPr>
            <w:tcW w:w="1700" w:type="dxa"/>
            <w:vAlign w:val="bottom"/>
          </w:tcPr>
          <w:p>
            <w:pPr>
              <w:jc w:val="right"/>
              <w:ind w:right="691"/>
              <w:spacing w:after="0"/>
              <w:rPr>
                <w:sz w:val="20"/>
                <w:szCs w:val="20"/>
                <w:color w:val="auto"/>
              </w:rPr>
            </w:pPr>
            <w:r>
              <w:rPr>
                <w:rFonts w:ascii="Arial" w:cs="Arial" w:eastAsia="Arial" w:hAnsi="Arial"/>
                <w:sz w:val="14"/>
                <w:szCs w:val="14"/>
                <w:b w:val="1"/>
                <w:bCs w:val="1"/>
                <w:color w:val="auto"/>
              </w:rPr>
              <w:t>%</w:t>
            </w:r>
          </w:p>
        </w:tc>
      </w:tr>
      <w:tr>
        <w:trPr>
          <w:trHeight w:val="229"/>
        </w:trPr>
        <w:tc>
          <w:tcPr>
            <w:tcW w:w="7800" w:type="dxa"/>
            <w:vAlign w:val="bottom"/>
            <w:tcBorders>
              <w:top w:val="single" w:sz="8" w:color="auto"/>
            </w:tcBorders>
            <w:shd w:val="clear" w:color="auto" w:fill="CCEEFF"/>
          </w:tcPr>
          <w:p>
            <w:pPr>
              <w:ind w:left="180"/>
              <w:spacing w:after="0" w:line="229" w:lineRule="exact"/>
              <w:rPr>
                <w:sz w:val="20"/>
                <w:szCs w:val="20"/>
                <w:color w:val="auto"/>
              </w:rPr>
            </w:pPr>
            <w:r>
              <w:rPr>
                <w:rFonts w:ascii="Arial" w:cs="Arial" w:eastAsia="Arial" w:hAnsi="Arial"/>
                <w:sz w:val="18"/>
                <w:szCs w:val="18"/>
                <w:color w:val="auto"/>
              </w:rPr>
              <w:t>Sujal Patel</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17,188,972</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13.8 %</w:t>
            </w:r>
          </w:p>
        </w:tc>
      </w:tr>
      <w:tr>
        <w:trPr>
          <w:trHeight w:val="229"/>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Parag Mallick</w:t>
            </w:r>
            <w:r>
              <w:rPr>
                <w:rFonts w:ascii="Arial" w:cs="Arial" w:eastAsia="Arial" w:hAnsi="Arial"/>
                <w:sz w:val="23"/>
                <w:szCs w:val="23"/>
                <w:color w:val="auto"/>
                <w:vertAlign w:val="superscript"/>
              </w:rPr>
              <w:t>(2)</w:t>
            </w:r>
          </w:p>
        </w:tc>
        <w:tc>
          <w:tcPr>
            <w:tcW w:w="1540" w:type="dxa"/>
            <w:vAlign w:val="bottom"/>
          </w:tcPr>
          <w:p>
            <w:pPr>
              <w:jc w:val="right"/>
              <w:spacing w:after="0"/>
              <w:rPr>
                <w:sz w:val="20"/>
                <w:szCs w:val="20"/>
                <w:color w:val="auto"/>
              </w:rPr>
            </w:pPr>
            <w:r>
              <w:rPr>
                <w:rFonts w:ascii="Arial" w:cs="Arial" w:eastAsia="Arial" w:hAnsi="Arial"/>
                <w:sz w:val="18"/>
                <w:szCs w:val="18"/>
                <w:color w:val="auto"/>
              </w:rPr>
              <w:t>20,815,229</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16.7 %</w:t>
            </w:r>
          </w:p>
        </w:tc>
      </w:tr>
      <w:tr>
        <w:trPr>
          <w:trHeight w:val="230"/>
        </w:trPr>
        <w:tc>
          <w:tcPr>
            <w:tcW w:w="79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Matt Murphy</w:t>
            </w:r>
            <w:r>
              <w:rPr>
                <w:rFonts w:ascii="Arial" w:cs="Arial" w:eastAsia="Arial" w:hAnsi="Arial"/>
                <w:sz w:val="23"/>
                <w:szCs w:val="23"/>
                <w:color w:val="auto"/>
                <w:vertAlign w:val="superscript"/>
              </w:rPr>
              <w:t>(3)</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115,771</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(4)</w:t>
            </w:r>
          </w:p>
        </w:tc>
        <w:tc>
          <w:tcPr>
            <w:tcW w:w="1540" w:type="dxa"/>
            <w:vAlign w:val="bottom"/>
          </w:tcPr>
          <w:p>
            <w:pPr>
              <w:jc w:val="right"/>
              <w:spacing w:after="0"/>
              <w:rPr>
                <w:sz w:val="20"/>
                <w:szCs w:val="20"/>
                <w:color w:val="auto"/>
              </w:rPr>
            </w:pPr>
            <w:r>
              <w:rPr>
                <w:rFonts w:ascii="Arial" w:cs="Arial" w:eastAsia="Arial" w:hAnsi="Arial"/>
                <w:sz w:val="18"/>
                <w:szCs w:val="18"/>
                <w:color w:val="auto"/>
              </w:rPr>
              <w:t>28,217</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(5)</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6,516,125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(6)</w:t>
            </w:r>
          </w:p>
        </w:tc>
        <w:tc>
          <w:tcPr>
            <w:tcW w:w="1540" w:type="dxa"/>
            <w:vAlign w:val="bottom"/>
          </w:tcPr>
          <w:p>
            <w:pPr>
              <w:jc w:val="right"/>
              <w:spacing w:after="0"/>
              <w:rPr>
                <w:sz w:val="20"/>
                <w:szCs w:val="20"/>
                <w:color w:val="auto"/>
              </w:rPr>
            </w:pPr>
            <w:r>
              <w:rPr>
                <w:rFonts w:ascii="Arial" w:cs="Arial" w:eastAsia="Arial" w:hAnsi="Arial"/>
                <w:sz w:val="18"/>
                <w:szCs w:val="18"/>
                <w:color w:val="auto"/>
              </w:rPr>
              <w:t>1,924,426</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79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36,280</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Matthew L. Posard</w:t>
            </w:r>
            <w:r>
              <w:rPr>
                <w:rFonts w:ascii="Arial" w:cs="Arial" w:eastAsia="Arial" w:hAnsi="Arial"/>
                <w:sz w:val="23"/>
                <w:szCs w:val="23"/>
                <w:color w:val="auto"/>
                <w:vertAlign w:val="superscript"/>
              </w:rPr>
              <w:t>(8)</w:t>
            </w:r>
          </w:p>
        </w:tc>
        <w:tc>
          <w:tcPr>
            <w:tcW w:w="1540" w:type="dxa"/>
            <w:vAlign w:val="bottom"/>
          </w:tcPr>
          <w:p>
            <w:pPr>
              <w:jc w:val="right"/>
              <w:spacing w:after="0"/>
              <w:rPr>
                <w:sz w:val="20"/>
                <w:szCs w:val="20"/>
                <w:color w:val="auto"/>
              </w:rPr>
            </w:pPr>
            <w:r>
              <w:rPr>
                <w:rFonts w:ascii="Arial" w:cs="Arial" w:eastAsia="Arial" w:hAnsi="Arial"/>
                <w:sz w:val="18"/>
                <w:szCs w:val="18"/>
                <w:color w:val="auto"/>
              </w:rPr>
              <w:t>379,030</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9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Michael Altman</w:t>
            </w:r>
            <w:r>
              <w:rPr>
                <w:rFonts w:ascii="Arial" w:cs="Arial" w:eastAsia="Arial" w:hAnsi="Arial"/>
                <w:sz w:val="23"/>
                <w:szCs w:val="23"/>
                <w:color w:val="auto"/>
                <w:vertAlign w:val="superscript"/>
              </w:rPr>
              <w:t>(9)</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4,157,608</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3.3 %</w:t>
            </w:r>
          </w:p>
        </w:tc>
      </w:tr>
      <w:tr>
        <w:trPr>
          <w:trHeight w:val="230"/>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i w:val="1"/>
                <w:iCs w:val="1"/>
                <w:color w:val="auto"/>
              </w:rPr>
              <w:t>All directors and officers as a group (12 persons)</w:t>
            </w:r>
            <w:r>
              <w:rPr>
                <w:rFonts w:ascii="Arial" w:cs="Arial" w:eastAsia="Arial" w:hAnsi="Arial"/>
                <w:sz w:val="23"/>
                <w:szCs w:val="23"/>
                <w:i w:val="1"/>
                <w:iCs w:val="1"/>
                <w:color w:val="auto"/>
                <w:vertAlign w:val="superscript"/>
              </w:rPr>
              <w:t>(10)</w:t>
            </w:r>
          </w:p>
        </w:tc>
        <w:tc>
          <w:tcPr>
            <w:tcW w:w="1540" w:type="dxa"/>
            <w:vAlign w:val="bottom"/>
          </w:tcPr>
          <w:p>
            <w:pPr>
              <w:jc w:val="right"/>
              <w:spacing w:after="0"/>
              <w:rPr>
                <w:sz w:val="20"/>
                <w:szCs w:val="20"/>
                <w:color w:val="auto"/>
              </w:rPr>
            </w:pPr>
            <w:r>
              <w:rPr>
                <w:rFonts w:ascii="Arial" w:cs="Arial" w:eastAsia="Arial" w:hAnsi="Arial"/>
                <w:sz w:val="18"/>
                <w:szCs w:val="18"/>
                <w:color w:val="auto"/>
              </w:rPr>
              <w:t>51,838,662</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41.2 %</w:t>
            </w:r>
          </w:p>
        </w:tc>
      </w:tr>
      <w:tr>
        <w:trPr>
          <w:trHeight w:val="230"/>
        </w:trPr>
        <w:tc>
          <w:tcPr>
            <w:tcW w:w="790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Five Percent Holders:</w:t>
            </w: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0"/>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23"/>
                <w:szCs w:val="23"/>
                <w:color w:val="auto"/>
                <w:vertAlign w:val="superscript"/>
              </w:rPr>
              <w:t>(11)</w:t>
            </w:r>
          </w:p>
        </w:tc>
        <w:tc>
          <w:tcPr>
            <w:tcW w:w="1540" w:type="dxa"/>
            <w:vAlign w:val="bottom"/>
          </w:tcPr>
          <w:p>
            <w:pPr>
              <w:jc w:val="right"/>
              <w:spacing w:after="0"/>
              <w:rPr>
                <w:sz w:val="20"/>
                <w:szCs w:val="20"/>
                <w:color w:val="auto"/>
              </w:rPr>
            </w:pPr>
            <w:r>
              <w:rPr>
                <w:rFonts w:ascii="Arial" w:cs="Arial" w:eastAsia="Arial" w:hAnsi="Arial"/>
                <w:sz w:val="18"/>
                <w:szCs w:val="18"/>
                <w:color w:val="auto"/>
              </w:rPr>
              <w:t>9,111,151</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7.3 %</w:t>
            </w:r>
          </w:p>
        </w:tc>
      </w:tr>
      <w:tr>
        <w:trPr>
          <w:trHeight w:val="229"/>
        </w:trPr>
        <w:tc>
          <w:tcPr>
            <w:tcW w:w="79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Entities affiliated with Andreessen Horowitz</w:t>
            </w:r>
            <w:r>
              <w:rPr>
                <w:rFonts w:ascii="Arial" w:cs="Arial" w:eastAsia="Arial" w:hAnsi="Arial"/>
                <w:sz w:val="23"/>
                <w:szCs w:val="23"/>
                <w:color w:val="auto"/>
                <w:vertAlign w:val="superscript"/>
              </w:rPr>
              <w:t>(12)</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17,653,917</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r>
      <w:tr>
        <w:trPr>
          <w:trHeight w:val="230"/>
        </w:trPr>
        <w:tc>
          <w:tcPr>
            <w:tcW w:w="7900" w:type="dxa"/>
            <w:vAlign w:val="bottom"/>
            <w:gridSpan w:val="2"/>
          </w:tcPr>
          <w:p>
            <w:pPr>
              <w:ind w:left="180"/>
              <w:spacing w:after="0" w:line="23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(13)</w:t>
            </w:r>
          </w:p>
        </w:tc>
        <w:tc>
          <w:tcPr>
            <w:tcW w:w="1540" w:type="dxa"/>
            <w:vAlign w:val="bottom"/>
          </w:tcPr>
          <w:p>
            <w:pPr>
              <w:jc w:val="right"/>
              <w:spacing w:after="0"/>
              <w:rPr>
                <w:sz w:val="20"/>
                <w:szCs w:val="20"/>
                <w:color w:val="auto"/>
              </w:rPr>
            </w:pPr>
            <w:r>
              <w:rPr>
                <w:rFonts w:ascii="Arial" w:cs="Arial" w:eastAsia="Arial" w:hAnsi="Arial"/>
                <w:sz w:val="18"/>
                <w:szCs w:val="18"/>
                <w:color w:val="auto"/>
              </w:rPr>
              <w:t>7,172,985</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5.8 %</w:t>
            </w:r>
          </w:p>
        </w:tc>
      </w:tr>
      <w:tr>
        <w:trPr>
          <w:trHeight w:val="230"/>
        </w:trPr>
        <w:tc>
          <w:tcPr>
            <w:tcW w:w="7900" w:type="dxa"/>
            <w:vAlign w:val="bottom"/>
            <w:gridSpan w:val="2"/>
            <w:shd w:val="clear" w:color="auto" w:fill="CCEEFF"/>
          </w:tcPr>
          <w:p>
            <w:pPr>
              <w:ind w:left="180"/>
              <w:spacing w:after="0" w:line="230" w:lineRule="exact"/>
              <w:rPr>
                <w:sz w:val="20"/>
                <w:szCs w:val="20"/>
                <w:color w:val="auto"/>
              </w:rPr>
            </w:pPr>
            <w:r>
              <w:rPr>
                <w:rFonts w:ascii="Arial" w:cs="Arial" w:eastAsia="Arial" w:hAnsi="Arial"/>
                <w:sz w:val="18"/>
                <w:szCs w:val="18"/>
                <w:color w:val="auto"/>
              </w:rPr>
              <w:t>Entities affiliated with Madrona Ventures</w:t>
            </w:r>
            <w:r>
              <w:rPr>
                <w:rFonts w:ascii="Arial" w:cs="Arial" w:eastAsia="Arial" w:hAnsi="Arial"/>
                <w:sz w:val="23"/>
                <w:szCs w:val="23"/>
                <w:color w:val="auto"/>
                <w:vertAlign w:val="superscript"/>
              </w:rPr>
              <w:t>(14)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6,516,125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w:t>
            </w: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8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40" w:right="60" w:hanging="332"/>
        <w:spacing w:after="0" w:line="241" w:lineRule="auto"/>
        <w:tabs>
          <w:tab w:leader="none" w:pos="332" w:val="left"/>
        </w:tabs>
        <w:numPr>
          <w:ilvl w:val="0"/>
          <w:numId w:val="81"/>
        </w:numPr>
        <w:rPr>
          <w:rFonts w:ascii="Arial" w:cs="Arial" w:eastAsia="Arial" w:hAnsi="Arial"/>
          <w:sz w:val="14"/>
          <w:szCs w:val="14"/>
          <w:color w:val="auto"/>
        </w:rPr>
      </w:pPr>
      <w:r>
        <w:rPr>
          <w:rFonts w:ascii="Arial" w:cs="Arial" w:eastAsia="Arial" w:hAnsi="Arial"/>
          <w:sz w:val="14"/>
          <w:szCs w:val="14"/>
          <w:color w:val="auto"/>
        </w:rPr>
        <w:t>Consists of (i) 9,864,388 shares held by Mr. Patel, (ii) 5,280,476 shares held by PFV I, LLC, (iii) 1,814,035 shares held by the Sujal Patel 2020 Children's Trust, u/a/d December 3, 2020 (the “Patel Trust”) and (iv) 230,073 shares subject to options held by Mr. Patel exercisable withing 60 days of January 31, 2022.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spacing w:after="0" w:line="1" w:lineRule="exact"/>
        <w:rPr>
          <w:rFonts w:ascii="Arial" w:cs="Arial" w:eastAsia="Arial" w:hAnsi="Arial"/>
          <w:sz w:val="14"/>
          <w:szCs w:val="14"/>
          <w:color w:val="auto"/>
        </w:rPr>
      </w:pPr>
    </w:p>
    <w:p>
      <w:pPr>
        <w:jc w:val="both"/>
        <w:ind w:left="340" w:right="100" w:hanging="332"/>
        <w:spacing w:after="0" w:line="276" w:lineRule="auto"/>
        <w:tabs>
          <w:tab w:leader="none" w:pos="332" w:val="left"/>
        </w:tabs>
        <w:numPr>
          <w:ilvl w:val="0"/>
          <w:numId w:val="81"/>
        </w:numPr>
        <w:rPr>
          <w:rFonts w:ascii="Arial" w:cs="Arial" w:eastAsia="Arial" w:hAnsi="Arial"/>
          <w:sz w:val="13"/>
          <w:szCs w:val="13"/>
          <w:color w:val="auto"/>
        </w:rPr>
      </w:pPr>
      <w:r>
        <w:rPr>
          <w:rFonts w:ascii="Arial" w:cs="Arial" w:eastAsia="Arial" w:hAnsi="Arial"/>
          <w:sz w:val="13"/>
          <w:szCs w:val="13"/>
          <w:color w:val="auto"/>
        </w:rPr>
        <w:t>Consists of (i) 20,479,892 shares held by Dr. Mallick, (ii) 200,000 shares held by The Dream Finder Foundation, and (iii) 135,337 shares subject to options held by Dr. Mallick exercisable within 60 days of January 31, 2022. 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39"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report shall not be deemed an admission that Dr. Mallick is the beneficial owner of such securities for purposes of Section 16 or for any other purposes.</w:t>
      </w:r>
    </w:p>
    <w:p>
      <w:pPr>
        <w:spacing w:after="0" w:line="13" w:lineRule="exact"/>
        <w:rPr>
          <w:sz w:val="20"/>
          <w:szCs w:val="20"/>
          <w:color w:val="auto"/>
        </w:rPr>
      </w:pPr>
    </w:p>
    <w:p>
      <w:pPr>
        <w:ind w:left="340" w:right="12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34,140 shares held by the Murphy Family Trust and (ii) 81,631 shares subject to options held by Mr. Murphy exercisable within 60 days of January 31, 2022. Mr. Murphy is the trustee of the Murphy Family Trust and as such has voting and investment control over shares held by the Murphy Family Trust.</w:t>
      </w:r>
    </w:p>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shares subject to options held by Ms. Epperly exercisable within 60 days of January 31, 2022.</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the shares set forth in footnote 14 below.</w:t>
      </w:r>
    </w:p>
    <w:p>
      <w:pPr>
        <w:spacing w:after="0" w:line="1" w:lineRule="exact"/>
        <w:rPr>
          <w:rFonts w:ascii="Arial" w:cs="Arial" w:eastAsia="Arial" w:hAnsi="Arial"/>
          <w:sz w:val="14"/>
          <w:szCs w:val="14"/>
          <w:color w:val="auto"/>
        </w:rPr>
      </w:pPr>
    </w:p>
    <w:p>
      <w:pPr>
        <w:ind w:left="340" w:right="8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1,888,146 shares held by HAND Capital, LLC and (ii) 36,280 shares subject to options held by Mr. Nazem exercisable within 60 days of January 31, 2022. Mr. Nazem is the manager of HAND Capital, LLC and as such has voting and investment power over the shares held by HAND Capital, LLC.</w:t>
      </w:r>
    </w:p>
    <w:p>
      <w:pPr>
        <w:ind w:left="320" w:hanging="312"/>
        <w:spacing w:after="0"/>
        <w:tabs>
          <w:tab w:leader="none" w:pos="32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Mr. Pande has no voting or investment control over the shares held by entities affiliated with Andreessen Horowitz that are included in footnote 12 below.</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32"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50,000 shares held by Mr. Posard, (ii) 100,000 shares held by the Matthew and Elizabeth Posard Trust and (iii) 229,030 shares subject to options held by Mr. Posard exercisable within 60 days of January 31, 2022. Mr. Posard is the trustee of the Matthew and Elizabeth Posard Trust and as such has voting and investment control over shares held by the Matthew and Elizabeth Posard Trust.</w:t>
      </w:r>
    </w:p>
    <w:p>
      <w:pPr>
        <w:spacing w:after="0" w:line="1" w:lineRule="exact"/>
        <w:rPr>
          <w:rFonts w:ascii="Arial" w:cs="Arial" w:eastAsia="Arial" w:hAnsi="Arial"/>
          <w:sz w:val="14"/>
          <w:szCs w:val="14"/>
          <w:color w:val="auto"/>
        </w:rPr>
      </w:pPr>
    </w:p>
    <w:p>
      <w:pPr>
        <w:ind w:left="340" w:hanging="332"/>
        <w:spacing w:after="0" w:line="260" w:lineRule="auto"/>
        <w:tabs>
          <w:tab w:leader="none" w:pos="332" w:val="left"/>
        </w:tabs>
        <w:numPr>
          <w:ilvl w:val="0"/>
          <w:numId w:val="82"/>
        </w:numPr>
        <w:rPr>
          <w:rFonts w:ascii="Arial" w:cs="Arial" w:eastAsia="Arial" w:hAnsi="Arial"/>
          <w:sz w:val="13"/>
          <w:szCs w:val="13"/>
          <w:color w:val="auto"/>
        </w:rPr>
      </w:pPr>
      <w:r>
        <w:rPr>
          <w:rFonts w:ascii="Arial" w:cs="Arial" w:eastAsia="Arial" w:hAnsi="Arial"/>
          <w:sz w:val="13"/>
          <w:szCs w:val="13"/>
          <w:color w:val="auto"/>
        </w:rPr>
        <w:t>Consists of (i) 4,146,500 shares held in the name of ARYA’s sponsor, ARYA Sciences Holdings III, a Cayman Islands exempted limited company (“ARYA’s Sponsor”) and (ii) 11,108 shares subject to options held by Mr. Altman exercisable within 60 days of January 31, 2022.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 The address for the persons and entities set forth herein is 51 Astor Place, 10th Floor, New York, NY 10003.</w:t>
      </w:r>
    </w:p>
    <w:p>
      <w:pPr>
        <w:ind w:left="340" w:right="40" w:hanging="332"/>
        <w:spacing w:after="0" w:line="241" w:lineRule="auto"/>
        <w:tabs>
          <w:tab w:leader="none" w:pos="33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50,369,922 shares beneficially owned by the directors and officers and (ii) 1,468,740 shares subject to options held by the directors and officers exercisable within 60 days of January 31, 2022.</w:t>
      </w:r>
    </w:p>
    <w:p>
      <w:pPr>
        <w:ind w:left="340" w:right="60" w:hanging="332"/>
        <w:spacing w:after="0" w:line="260" w:lineRule="auto"/>
        <w:tabs>
          <w:tab w:leader="none" w:pos="331" w:val="left"/>
        </w:tabs>
        <w:numPr>
          <w:ilvl w:val="0"/>
          <w:numId w:val="82"/>
        </w:numPr>
        <w:rPr>
          <w:rFonts w:ascii="Arial" w:cs="Arial" w:eastAsia="Arial" w:hAnsi="Arial"/>
          <w:sz w:val="13"/>
          <w:szCs w:val="13"/>
          <w:color w:val="auto"/>
        </w:rPr>
      </w:pPr>
      <w:r>
        <w:rPr>
          <w:rFonts w:ascii="Arial" w:cs="Arial" w:eastAsia="Arial" w:hAnsi="Arial"/>
          <w:sz w:val="13"/>
          <w:szCs w:val="13"/>
          <w:color w:val="auto"/>
        </w:rPr>
        <w:t>Shares held by Perceptive Life Sciences Master Fund Ltd. (the “Master Fund”).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 The address for the persons and entities set forth herein is 51 Astor Place, 10th Floor, New York, NY 10003.</w:t>
      </w:r>
    </w:p>
    <w:p>
      <w:pPr>
        <w:ind w:left="340" w:right="60" w:hanging="332"/>
        <w:spacing w:after="0" w:line="260" w:lineRule="auto"/>
        <w:tabs>
          <w:tab w:leader="none" w:pos="337" w:val="left"/>
        </w:tabs>
        <w:numPr>
          <w:ilvl w:val="0"/>
          <w:numId w:val="82"/>
        </w:numPr>
        <w:rPr>
          <w:rFonts w:ascii="Arial" w:cs="Arial" w:eastAsia="Arial" w:hAnsi="Arial"/>
          <w:sz w:val="13"/>
          <w:szCs w:val="13"/>
          <w:color w:val="auto"/>
        </w:rPr>
      </w:pPr>
      <w:r>
        <w:rPr>
          <w:rFonts w:ascii="Arial" w:cs="Arial" w:eastAsia="Arial" w:hAnsi="Arial"/>
          <w:sz w:val="13"/>
          <w:szCs w:val="13"/>
          <w:color w:val="auto"/>
        </w:rPr>
        <w:t>Consists of (i) 16,298,006 shares held by AH Bio Fund II, L.P., for itself and as nominee for AH Bio Fund II-B, L.P. (collectively, the “AH Bio Fund II Entities”) and (ii) 1,355,911 shares held by Andreessen Horowitz LSV Fund II, L.P., for itself and as nominee for Andreessen Horowitz LSV Fund II-B, L.P. and Andreessen Horowitz LSV Fund II-Q, L.P. (collectively, the “AH LSV Fund II Entities”).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Nautilus’ board of directors, following in-kind distributions of shares by these entities. The address for the persons and entities set forth herein is 2865 Sand Hill Road, Suite 101, Menlo Park, CA 94025.</w:t>
      </w:r>
    </w:p>
    <w:p>
      <w:pPr>
        <w:ind w:left="340" w:right="40" w:hanging="332"/>
        <w:spacing w:after="0" w:line="241" w:lineRule="auto"/>
        <w:tabs>
          <w:tab w:leader="none" w:pos="33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3,586,493 shares held by Vulcan Capital Holdings Columbia LLC (“VCHC”) and (ii) 3,586,492 shares held by VCVC V LLC (“VCVC”). VCVC Management V LLC (“VCVC Management”) serves as the Manager of VCVC and Cougar Investment Holdings LLC (“Cougar”) serves as the Managing Member of VCVC Management. VCHC Management LLC (“Vulcan Capital Management”) serves as the Manager of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The address for the foregoing entities is 505 Fifth Avenue South, Suite 900, Seattle, WA 98104.</w:t>
      </w:r>
    </w:p>
    <w:p>
      <w:pPr>
        <w:spacing w:after="0" w:line="2" w:lineRule="exact"/>
        <w:rPr>
          <w:rFonts w:ascii="Arial" w:cs="Arial" w:eastAsia="Arial" w:hAnsi="Arial"/>
          <w:sz w:val="14"/>
          <w:szCs w:val="14"/>
          <w:color w:val="auto"/>
        </w:rPr>
      </w:pPr>
    </w:p>
    <w:p>
      <w:pPr>
        <w:ind w:left="340" w:right="60" w:hanging="332"/>
        <w:spacing w:after="0" w:line="243" w:lineRule="auto"/>
        <w:tabs>
          <w:tab w:leader="none" w:pos="337" w:val="left"/>
        </w:tabs>
        <w:numPr>
          <w:ilvl w:val="0"/>
          <w:numId w:val="82"/>
        </w:numPr>
        <w:rPr>
          <w:rFonts w:ascii="Arial" w:cs="Arial" w:eastAsia="Arial" w:hAnsi="Arial"/>
          <w:sz w:val="14"/>
          <w:szCs w:val="14"/>
          <w:color w:val="auto"/>
        </w:rPr>
      </w:pPr>
      <w:r>
        <w:rPr>
          <w:rFonts w:ascii="Arial" w:cs="Arial" w:eastAsia="Arial" w:hAnsi="Arial"/>
          <w:sz w:val="14"/>
          <w:szCs w:val="14"/>
          <w:color w:val="auto"/>
        </w:rPr>
        <w:t>Consists of (i) 5,798,394 shares held by Madrona Venture Fund VI, LP (“Madrona Fund VI”), (ii) 222,376 shares held by Madrona Venture Fund VI-A, LP (“Madrona Fund VI-A”), (iii) 459,075 shares held by Mr. McIlwain and (iv) 36,280 shares subject to options held by Mr. McIlwain exercisable within 60 days of January 31, 2022. Madrona Investment Partners VI, L.P. (“Madrona Partners VI”) is the general partner of each of Madrona Fund VI and Madrona Fund VI-A,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 herein is 999 Third Avenue, 34th Floor, Seattle, WA.</w:t>
      </w:r>
    </w:p>
    <w:p>
      <w:pPr>
        <w:spacing w:after="0" w:line="14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Please see the sections titled “</w:t>
      </w:r>
      <w:r>
        <w:rPr>
          <w:rFonts w:ascii="Arial" w:cs="Arial" w:eastAsia="Arial" w:hAnsi="Arial"/>
          <w:sz w:val="16"/>
          <w:szCs w:val="16"/>
          <w:i w:val="1"/>
          <w:iCs w:val="1"/>
          <w:color w:val="auto"/>
        </w:rPr>
        <w:t>Management</w:t>
      </w:r>
      <w:r>
        <w:rPr>
          <w:rFonts w:ascii="Arial" w:cs="Arial" w:eastAsia="Arial" w:hAnsi="Arial"/>
          <w:sz w:val="16"/>
          <w:szCs w:val="16"/>
          <w:color w:val="auto"/>
        </w:rPr>
        <w:t>,” “</w:t>
      </w:r>
      <w:r>
        <w:rPr>
          <w:rFonts w:ascii="Arial" w:cs="Arial" w:eastAsia="Arial" w:hAnsi="Arial"/>
          <w:sz w:val="16"/>
          <w:szCs w:val="16"/>
          <w:i w:val="1"/>
          <w:iCs w:val="1"/>
          <w:color w:val="auto"/>
        </w:rPr>
        <w:t>Executive Compensation</w:t>
      </w:r>
      <w:r>
        <w:rPr>
          <w:rFonts w:ascii="Arial" w:cs="Arial" w:eastAsia="Arial" w:hAnsi="Arial"/>
          <w:sz w:val="16"/>
          <w:szCs w:val="16"/>
          <w:color w:val="auto"/>
        </w:rPr>
        <w:t>” and “</w:t>
      </w:r>
      <w:r>
        <w:rPr>
          <w:rFonts w:ascii="Arial" w:cs="Arial" w:eastAsia="Arial" w:hAnsi="Arial"/>
          <w:sz w:val="16"/>
          <w:szCs w:val="16"/>
          <w:i w:val="1"/>
          <w:iCs w:val="1"/>
          <w:color w:val="auto"/>
        </w:rPr>
        <w:t>Certain Relationships</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Party and Other Transactions</w:t>
      </w:r>
      <w:r>
        <w:rPr>
          <w:rFonts w:ascii="Arial" w:cs="Arial" w:eastAsia="Arial" w:hAnsi="Arial"/>
          <w:sz w:val="16"/>
          <w:szCs w:val="16"/>
          <w:color w:val="auto"/>
        </w:rPr>
        <w:t>” appearing elsewhere in this prospectus for information regarding material relationships with our principal securityholders within the past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8" w:name="page139"/>
    <w:bookmarkEnd w:id="13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175"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This prospectus relates to the resale by the selling securityholders from time to time of up to an aggregate of 95,645,056 shares of Common Stock (consisting of up to an aggregate of (a) 20,000,000 shares of our Common Stock that were issued to the PIPE Investors in the PIPE Financing, (b) 4,286,500 shares of Common Stock issued in connection with the Domestication, (c) 69,655,827 shares of Common Stock issued in connection with the Business Combination and (d) 1,702,729 shares of Common Stock issuable upon the exercise of certain outstanding options to purchase Common Stock). 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their permitted transferees who later come to hold any of the selling securityholders’ interest in the Common Stock in accordance with the terms of the applicable agreements governing their respective registration rights, other than through a public sale.</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following table sets forth, based on written representations from the selling securityholders as of June 30, 2021 and filings with the SEC as applicable, the names of the selling securityholders, the aggregate number of shares of Common Stock beneficially owned by the selling securityholders, the aggregate number of shares of Common Stock that the selling securityholders may offer pursuant to this prospectus and the number of shares of Common Stock that would be beneficially owned by the selling securityholders after the sale of the shares of Common Stock offered hereby assuming that the selling securityholders sell all of the shares of Common Stock covered by this prospectus. The percentage of beneficial ownership after the offered shares of Common Stock are sold is calculated based on 124,425,923 shares of Common Stock outstanding as of January 31, 2022.</w:t>
      </w:r>
    </w:p>
    <w:p>
      <w:pPr>
        <w:spacing w:after="0" w:line="110"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the shares of Common Stock set forth below, subject to community property laws where applicable.</w:t>
      </w:r>
    </w:p>
    <w:p>
      <w:pPr>
        <w:spacing w:after="0" w:line="11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cannot advise you as to whether the selling securityholders will in fact sell any or all of such Common Stock. In addition, the selling securityholders may sell, transfer or otherwise dispose of, at any time and from time to time, the Common Stock in transactions exempt from the registration requirements of the Securities Act after the date of this prospectus. Information about the selling securityholders, including those listed below, may change over time. Since the effectiveness of the Registration Statement on Form S-1 of which the Prospectus is a part, certain securityholders may have sold or otherwise transferred their securities registered thereunder. For purposes of this table, we have assumed that the selling securityholders will have sold all of the shares of Common Stock covered by this prospectus upon the completion of the offering.</w:t>
      </w:r>
    </w:p>
    <w:p>
      <w:pPr>
        <w:spacing w:after="0" w:line="124"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Selling securityholder information for each additional selling securityholder, if any, will be set forth by a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w:t>
      </w:r>
      <w:r>
        <w:rPr>
          <w:rFonts w:ascii="Arial" w:cs="Arial" w:eastAsia="Arial" w:hAnsi="Arial"/>
          <w:sz w:val="16"/>
          <w:szCs w:val="16"/>
          <w:i w:val="1"/>
          <w:iCs w:val="1"/>
          <w:color w:val="auto"/>
        </w:rPr>
        <w:t>Plan of Distribution</w:t>
      </w:r>
      <w:r>
        <w:rPr>
          <w:rFonts w:ascii="Arial" w:cs="Arial" w:eastAsia="Arial" w:hAnsi="Arial"/>
          <w:sz w:val="16"/>
          <w:szCs w:val="16"/>
          <w:color w:val="auto"/>
        </w:rPr>
        <w: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3"/>
          </w:tcPr>
          <w:p>
            <w:pPr>
              <w:jc w:val="center"/>
              <w:ind w:left="982"/>
              <w:spacing w:after="0"/>
              <w:rPr>
                <w:sz w:val="20"/>
                <w:szCs w:val="20"/>
                <w:color w:val="auto"/>
              </w:rPr>
            </w:pPr>
            <w:r>
              <w:rPr>
                <w:rFonts w:ascii="Arial" w:cs="Arial" w:eastAsia="Arial" w:hAnsi="Arial"/>
                <w:sz w:val="14"/>
                <w:szCs w:val="14"/>
                <w:b w:val="1"/>
                <w:bCs w:val="1"/>
                <w:color w:val="auto"/>
                <w:w w:val="91"/>
              </w:rPr>
              <w:t>Common Stock</w:t>
            </w: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60" w:type="dxa"/>
            <w:vAlign w:val="bottom"/>
            <w:gridSpan w:val="3"/>
          </w:tcPr>
          <w:p>
            <w:pPr>
              <w:jc w:val="center"/>
              <w:ind w:left="962"/>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6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Common</w:t>
            </w: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160" w:type="dxa"/>
            <w:vAlign w:val="bottom"/>
            <w:gridSpan w:val="3"/>
          </w:tcPr>
          <w:p>
            <w:pPr>
              <w:jc w:val="center"/>
              <w:ind w:left="982"/>
              <w:spacing w:after="0" w:line="135" w:lineRule="exact"/>
              <w:rPr>
                <w:sz w:val="20"/>
                <w:szCs w:val="20"/>
                <w:color w:val="auto"/>
              </w:rPr>
            </w:pPr>
            <w:r>
              <w:rPr>
                <w:rFonts w:ascii="Arial" w:cs="Arial" w:eastAsia="Arial" w:hAnsi="Arial"/>
                <w:sz w:val="14"/>
                <w:szCs w:val="14"/>
                <w:b w:val="1"/>
                <w:bCs w:val="1"/>
                <w:color w:val="auto"/>
                <w:w w:val="94"/>
              </w:rPr>
              <w:t>Owned After the</w:t>
            </w: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160" w:type="dxa"/>
            <w:vAlign w:val="bottom"/>
            <w:gridSpan w:val="3"/>
            <w:vMerge w:val="restart"/>
          </w:tcPr>
          <w:p>
            <w:pPr>
              <w:jc w:val="center"/>
              <w:ind w:left="962"/>
              <w:spacing w:after="0" w:line="135" w:lineRule="exact"/>
              <w:rPr>
                <w:sz w:val="20"/>
                <w:szCs w:val="20"/>
                <w:color w:val="auto"/>
              </w:rPr>
            </w:pPr>
            <w:r>
              <w:rPr>
                <w:rFonts w:ascii="Arial" w:cs="Arial" w:eastAsia="Arial" w:hAnsi="Arial"/>
                <w:sz w:val="14"/>
                <w:szCs w:val="14"/>
                <w:b w:val="1"/>
                <w:bCs w:val="1"/>
                <w:color w:val="auto"/>
                <w:w w:val="91"/>
              </w:rPr>
              <w:t>Offered Shares</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6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Stock</w:t>
            </w:r>
          </w:p>
        </w:tc>
        <w:tc>
          <w:tcPr>
            <w:tcW w:w="16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Shares of</w:t>
            </w:r>
          </w:p>
        </w:tc>
        <w:tc>
          <w:tcPr>
            <w:tcW w:w="21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160" w:type="dxa"/>
            <w:vAlign w:val="bottom"/>
            <w:gridSpan w:val="3"/>
            <w:vMerge w:val="restart"/>
          </w:tcPr>
          <w:p>
            <w:pPr>
              <w:jc w:val="center"/>
              <w:ind w:left="962"/>
              <w:spacing w:after="0" w:line="135" w:lineRule="exact"/>
              <w:rPr>
                <w:sz w:val="20"/>
                <w:szCs w:val="20"/>
                <w:color w:val="auto"/>
              </w:rPr>
            </w:pPr>
            <w:r>
              <w:rPr>
                <w:rFonts w:ascii="Arial" w:cs="Arial" w:eastAsia="Arial" w:hAnsi="Arial"/>
                <w:sz w:val="14"/>
                <w:szCs w:val="14"/>
                <w:b w:val="1"/>
                <w:bCs w:val="1"/>
                <w:color w:val="auto"/>
                <w:w w:val="90"/>
              </w:rPr>
              <w:t>of</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6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Beneficially</w:t>
            </w:r>
          </w:p>
        </w:tc>
        <w:tc>
          <w:tcPr>
            <w:tcW w:w="16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Common</w:t>
            </w:r>
          </w:p>
        </w:tc>
        <w:tc>
          <w:tcPr>
            <w:tcW w:w="21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160" w:type="dxa"/>
            <w:vAlign w:val="bottom"/>
            <w:gridSpan w:val="3"/>
            <w:vMerge w:val="restart"/>
          </w:tcPr>
          <w:p>
            <w:pPr>
              <w:jc w:val="center"/>
              <w:ind w:left="982"/>
              <w:spacing w:after="0" w:line="135" w:lineRule="exact"/>
              <w:rPr>
                <w:sz w:val="20"/>
                <w:szCs w:val="20"/>
                <w:color w:val="auto"/>
              </w:rPr>
            </w:pPr>
            <w:r>
              <w:rPr>
                <w:rFonts w:ascii="Arial" w:cs="Arial" w:eastAsia="Arial" w:hAnsi="Arial"/>
                <w:sz w:val="14"/>
                <w:szCs w:val="14"/>
                <w:b w:val="1"/>
                <w:bCs w:val="1"/>
                <w:color w:val="auto"/>
                <w:w w:val="91"/>
              </w:rPr>
              <w:t>Common Stock</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4700" w:type="dxa"/>
            <w:vAlign w:val="bottom"/>
          </w:tcPr>
          <w:p>
            <w:pPr>
              <w:spacing w:after="0"/>
              <w:rPr>
                <w:sz w:val="4"/>
                <w:szCs w:val="4"/>
                <w:color w:val="auto"/>
              </w:rPr>
            </w:pPr>
          </w:p>
        </w:tc>
        <w:tc>
          <w:tcPr>
            <w:tcW w:w="1660" w:type="dxa"/>
            <w:vAlign w:val="bottom"/>
            <w:gridSpan w:val="2"/>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94"/>
              </w:rPr>
              <w:t>Owned</w:t>
            </w:r>
          </w:p>
        </w:tc>
        <w:tc>
          <w:tcPr>
            <w:tcW w:w="1660" w:type="dxa"/>
            <w:vAlign w:val="bottom"/>
            <w:gridSpan w:val="2"/>
            <w:vMerge w:val="restart"/>
          </w:tcPr>
          <w:p>
            <w:pPr>
              <w:jc w:val="center"/>
              <w:ind w:right="120"/>
              <w:spacing w:after="0" w:line="135" w:lineRule="exact"/>
              <w:rPr>
                <w:sz w:val="20"/>
                <w:szCs w:val="20"/>
                <w:color w:val="auto"/>
              </w:rPr>
            </w:pPr>
            <w:r>
              <w:rPr>
                <w:rFonts w:ascii="Arial" w:cs="Arial" w:eastAsia="Arial" w:hAnsi="Arial"/>
                <w:sz w:val="14"/>
                <w:szCs w:val="14"/>
                <w:b w:val="1"/>
                <w:bCs w:val="1"/>
                <w:color w:val="auto"/>
                <w:w w:val="89"/>
              </w:rPr>
              <w:t>Stock</w:t>
            </w:r>
          </w:p>
        </w:tc>
        <w:tc>
          <w:tcPr>
            <w:tcW w:w="2160" w:type="dxa"/>
            <w:vAlign w:val="bottom"/>
            <w:gridSpan w:val="3"/>
            <w:vMerge w:val="continue"/>
          </w:tcPr>
          <w:p>
            <w:pPr>
              <w:spacing w:after="0"/>
              <w:rPr>
                <w:sz w:val="4"/>
                <w:szCs w:val="4"/>
                <w:color w:val="auto"/>
              </w:rPr>
            </w:pPr>
          </w:p>
        </w:tc>
        <w:tc>
          <w:tcPr>
            <w:tcW w:w="10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1"/>
        </w:trPr>
        <w:tc>
          <w:tcPr>
            <w:tcW w:w="470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2160" w:type="dxa"/>
            <w:vAlign w:val="bottom"/>
            <w:gridSpan w:val="3"/>
            <w:vMerge w:val="restart"/>
          </w:tcPr>
          <w:p>
            <w:pPr>
              <w:jc w:val="center"/>
              <w:ind w:left="982"/>
              <w:spacing w:after="0"/>
              <w:rPr>
                <w:sz w:val="20"/>
                <w:szCs w:val="20"/>
                <w:color w:val="auto"/>
              </w:rPr>
            </w:pPr>
            <w:r>
              <w:rPr>
                <w:rFonts w:ascii="Arial" w:cs="Arial" w:eastAsia="Arial" w:hAnsi="Arial"/>
                <w:sz w:val="14"/>
                <w:szCs w:val="14"/>
                <w:b w:val="1"/>
                <w:bCs w:val="1"/>
                <w:color w:val="auto"/>
                <w:w w:val="90"/>
              </w:rPr>
              <w:t>are Sold</w:t>
            </w:r>
          </w:p>
        </w:tc>
        <w:tc>
          <w:tcPr>
            <w:tcW w:w="10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700" w:type="dxa"/>
            <w:vAlign w:val="bottom"/>
          </w:tcPr>
          <w:p>
            <w:pPr>
              <w:spacing w:after="0"/>
              <w:rPr>
                <w:sz w:val="9"/>
                <w:szCs w:val="9"/>
                <w:color w:val="auto"/>
              </w:rPr>
            </w:pPr>
          </w:p>
        </w:tc>
        <w:tc>
          <w:tcPr>
            <w:tcW w:w="1660" w:type="dxa"/>
            <w:vAlign w:val="bottom"/>
            <w:gridSpan w:val="2"/>
          </w:tcPr>
          <w:p>
            <w:pPr>
              <w:jc w:val="center"/>
              <w:ind w:right="100"/>
              <w:spacing w:after="0" w:line="107" w:lineRule="exact"/>
              <w:rPr>
                <w:sz w:val="20"/>
                <w:szCs w:val="20"/>
                <w:color w:val="auto"/>
              </w:rPr>
            </w:pPr>
            <w:r>
              <w:rPr>
                <w:rFonts w:ascii="Arial" w:cs="Arial" w:eastAsia="Arial" w:hAnsi="Arial"/>
                <w:sz w:val="12"/>
                <w:szCs w:val="12"/>
                <w:b w:val="1"/>
                <w:bCs w:val="1"/>
                <w:color w:val="auto"/>
              </w:rPr>
              <w:t>Prior to</w:t>
            </w:r>
          </w:p>
        </w:tc>
        <w:tc>
          <w:tcPr>
            <w:tcW w:w="1660" w:type="dxa"/>
            <w:vAlign w:val="bottom"/>
            <w:gridSpan w:val="2"/>
          </w:tcPr>
          <w:p>
            <w:pPr>
              <w:jc w:val="center"/>
              <w:ind w:right="100"/>
              <w:spacing w:after="0" w:line="107" w:lineRule="exact"/>
              <w:rPr>
                <w:sz w:val="20"/>
                <w:szCs w:val="20"/>
                <w:color w:val="auto"/>
              </w:rPr>
            </w:pPr>
            <w:r>
              <w:rPr>
                <w:rFonts w:ascii="Arial" w:cs="Arial" w:eastAsia="Arial" w:hAnsi="Arial"/>
                <w:sz w:val="12"/>
                <w:szCs w:val="12"/>
                <w:b w:val="1"/>
                <w:bCs w:val="1"/>
                <w:color w:val="auto"/>
              </w:rPr>
              <w:t>Being</w:t>
            </w:r>
          </w:p>
        </w:tc>
        <w:tc>
          <w:tcPr>
            <w:tcW w:w="2160" w:type="dxa"/>
            <w:vAlign w:val="bottom"/>
            <w:tcBorders>
              <w:bottom w:val="single" w:sz="8" w:color="auto"/>
            </w:tcBorders>
            <w:gridSpan w:val="3"/>
            <w:vMerge w:val="continue"/>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Selling Securityholder</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Offering</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Offered</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442"/>
              <w:spacing w:after="0"/>
              <w:rPr>
                <w:sz w:val="20"/>
                <w:szCs w:val="20"/>
                <w:color w:val="auto"/>
              </w:rPr>
            </w:pPr>
            <w:r>
              <w:rPr>
                <w:rFonts w:ascii="Arial" w:cs="Arial" w:eastAsia="Arial" w:hAnsi="Arial"/>
                <w:sz w:val="14"/>
                <w:szCs w:val="14"/>
                <w:b w:val="1"/>
                <w:bCs w:val="1"/>
                <w:color w:val="auto"/>
              </w:rPr>
              <w:t>Number</w:t>
            </w: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170"/>
        </w:trPr>
        <w:tc>
          <w:tcPr>
            <w:tcW w:w="47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AH Bio Fund II, L.P., for itself and as nominee for AH Bio</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16,298,006</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16,298,006</w:t>
            </w:r>
          </w:p>
        </w:tc>
        <w:tc>
          <w:tcPr>
            <w:tcW w:w="100" w:type="dxa"/>
            <w:vAlign w:val="bottom"/>
            <w:shd w:val="clear" w:color="auto" w:fill="CCEEFF"/>
          </w:tcPr>
          <w:p>
            <w:pPr>
              <w:spacing w:after="0"/>
              <w:rPr>
                <w:sz w:val="14"/>
                <w:szCs w:val="14"/>
                <w:color w:val="auto"/>
              </w:rPr>
            </w:pPr>
          </w:p>
        </w:tc>
        <w:tc>
          <w:tcPr>
            <w:tcW w:w="2160" w:type="dxa"/>
            <w:vAlign w:val="bottom"/>
            <w:gridSpan w:val="3"/>
            <w:vMerge w:val="restart"/>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Fund II-B, L.P.</w:t>
            </w:r>
            <w:r>
              <w:rPr>
                <w:rFonts w:ascii="Arial" w:cs="Arial" w:eastAsia="Arial" w:hAnsi="Arial"/>
                <w:sz w:val="23"/>
                <w:szCs w:val="23"/>
                <w:color w:val="auto"/>
                <w:vertAlign w:val="superscript"/>
              </w:rPr>
              <w:t>(1)</w:t>
            </w: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160" w:type="dxa"/>
            <w:vAlign w:val="bottom"/>
            <w:gridSpan w:val="3"/>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line="230" w:lineRule="exact"/>
              <w:rPr>
                <w:sz w:val="20"/>
                <w:szCs w:val="20"/>
                <w:color w:val="auto"/>
              </w:rPr>
            </w:pPr>
            <w:r>
              <w:rPr>
                <w:rFonts w:ascii="Arial" w:cs="Arial" w:eastAsia="Arial" w:hAnsi="Arial"/>
                <w:sz w:val="18"/>
                <w:szCs w:val="18"/>
                <w:color w:val="auto"/>
              </w:rPr>
              <w:t>Alexandria Venture Investments, LLC</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9"/>
                <w:szCs w:val="19"/>
                <w:color w:val="auto"/>
              </w:rPr>
            </w:pPr>
          </w:p>
        </w:tc>
        <w:tc>
          <w:tcPr>
            <w:tcW w:w="216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Ally Bridge MedAlpha Master Fund L.P.</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9"/>
                <w:szCs w:val="19"/>
                <w:color w:val="auto"/>
              </w:rPr>
            </w:pPr>
          </w:p>
        </w:tc>
        <w:tc>
          <w:tcPr>
            <w:tcW w:w="2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04"/>
        </w:trPr>
        <w:tc>
          <w:tcPr>
            <w:tcW w:w="4700" w:type="dxa"/>
            <w:vAlign w:val="bottom"/>
          </w:tcPr>
          <w:p>
            <w:pPr>
              <w:ind w:left="20"/>
              <w:spacing w:after="0"/>
              <w:rPr>
                <w:sz w:val="20"/>
                <w:szCs w:val="20"/>
                <w:color w:val="auto"/>
              </w:rPr>
            </w:pPr>
            <w:r>
              <w:rPr>
                <w:rFonts w:ascii="Arial" w:cs="Arial" w:eastAsia="Arial" w:hAnsi="Arial"/>
                <w:sz w:val="18"/>
                <w:szCs w:val="18"/>
                <w:color w:val="auto"/>
              </w:rPr>
              <w:t>Alyeska Master Fund, L.P.</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1,415,639</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700,000</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715,639</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Andreessen Horowitz LSV Fund II, L.P., for itself and as</w:t>
            </w:r>
          </w:p>
        </w:tc>
        <w:tc>
          <w:tcPr>
            <w:tcW w:w="160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nominee for Andreessen Horowitz LSV Fund II-B, L.P. and</w:t>
            </w:r>
          </w:p>
        </w:tc>
        <w:tc>
          <w:tcPr>
            <w:tcW w:w="16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1,355,911</w:t>
            </w:r>
          </w:p>
        </w:tc>
        <w:tc>
          <w:tcPr>
            <w:tcW w:w="178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rPr>
              <w:t>1,355,911</w:t>
            </w:r>
          </w:p>
        </w:tc>
        <w:tc>
          <w:tcPr>
            <w:tcW w:w="1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Andreessen Horowitz LSV Fund II-Q, L.P.</w:t>
            </w:r>
            <w:r>
              <w:rPr>
                <w:rFonts w:ascii="Arial" w:cs="Arial" w:eastAsia="Arial" w:hAnsi="Arial"/>
                <w:sz w:val="23"/>
                <w:szCs w:val="23"/>
                <w:color w:val="auto"/>
                <w:vertAlign w:val="superscript"/>
              </w:rPr>
              <w:t>(5)</w:t>
            </w:r>
          </w:p>
        </w:tc>
        <w:tc>
          <w:tcPr>
            <w:tcW w:w="160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ARYA Sciences Holdings III</w:t>
            </w:r>
            <w:r>
              <w:rPr>
                <w:rFonts w:ascii="Arial" w:cs="Arial" w:eastAsia="Arial" w:hAnsi="Arial"/>
                <w:sz w:val="23"/>
                <w:szCs w:val="23"/>
                <w:color w:val="auto"/>
                <w:vertAlign w:val="superscript"/>
              </w:rPr>
              <w:t>(6)</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4,146,500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4,146,500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Averill Master Fund, Ltd.</w:t>
            </w:r>
            <w:r>
              <w:rPr>
                <w:rFonts w:ascii="Arial" w:cs="Arial" w:eastAsia="Arial" w:hAnsi="Arial"/>
                <w:sz w:val="23"/>
                <w:szCs w:val="23"/>
                <w:color w:val="auto"/>
                <w:vertAlign w:val="superscript"/>
              </w:rPr>
              <w:t>(7)</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314,835</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300,000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14,835</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Avidity Capital Fund II LP</w:t>
            </w:r>
            <w:r>
              <w:rPr>
                <w:rFonts w:ascii="Arial" w:cs="Arial" w:eastAsia="Arial" w:hAnsi="Arial"/>
                <w:sz w:val="23"/>
                <w:szCs w:val="23"/>
                <w:color w:val="auto"/>
                <w:vertAlign w:val="superscript"/>
              </w:rPr>
              <w:t>(8)</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126,533</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67,000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59,533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Avidity Master Fund LP</w:t>
            </w:r>
            <w:r>
              <w:rPr>
                <w:rFonts w:ascii="Arial" w:cs="Arial" w:eastAsia="Arial" w:hAnsi="Arial"/>
                <w:sz w:val="23"/>
                <w:szCs w:val="23"/>
                <w:color w:val="auto"/>
                <w:vertAlign w:val="superscript"/>
              </w:rPr>
              <w:t>(8)</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887,906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533,000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354,906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AVMI Investments, Inc.</w:t>
            </w:r>
            <w:r>
              <w:rPr>
                <w:rFonts w:ascii="Arial" w:cs="Arial" w:eastAsia="Arial" w:hAnsi="Arial"/>
                <w:sz w:val="23"/>
                <w:szCs w:val="23"/>
                <w:color w:val="auto"/>
                <w:vertAlign w:val="superscript"/>
              </w:rPr>
              <w:t>(9)</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200,000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200,000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Bain Capital Life Sciences Fund II, L.P.</w:t>
            </w:r>
            <w:r>
              <w:rPr>
                <w:rFonts w:ascii="Arial" w:cs="Arial" w:eastAsia="Arial" w:hAnsi="Arial"/>
                <w:sz w:val="23"/>
                <w:szCs w:val="23"/>
                <w:color w:val="auto"/>
                <w:vertAlign w:val="superscript"/>
              </w:rPr>
              <w:t>(10)</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1,782,858</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891,429</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891,429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BCIP Life Sciences Associates, LP</w:t>
            </w:r>
            <w:r>
              <w:rPr>
                <w:rFonts w:ascii="Arial" w:cs="Arial" w:eastAsia="Arial" w:hAnsi="Arial"/>
                <w:sz w:val="23"/>
                <w:szCs w:val="23"/>
                <w:color w:val="auto"/>
                <w:vertAlign w:val="superscript"/>
              </w:rPr>
              <w:t>(10)</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217,142</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108,571</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108,571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Blackwell Partners LLC – Series A</w:t>
            </w:r>
            <w:r>
              <w:rPr>
                <w:rFonts w:ascii="Arial" w:cs="Arial" w:eastAsia="Arial" w:hAnsi="Arial"/>
                <w:sz w:val="23"/>
                <w:szCs w:val="23"/>
                <w:color w:val="auto"/>
                <w:vertAlign w:val="superscript"/>
              </w:rPr>
              <w:t>(11)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184,128</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81,278</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102,850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Bradley L. Campbell</w:t>
            </w:r>
            <w:r>
              <w:rPr>
                <w:rFonts w:ascii="Arial" w:cs="Arial" w:eastAsia="Arial" w:hAnsi="Arial"/>
                <w:sz w:val="23"/>
                <w:szCs w:val="23"/>
                <w:color w:val="auto"/>
                <w:vertAlign w:val="superscript"/>
              </w:rPr>
              <w:t>(37)</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30,000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30,000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Casdin Partners Master Fund, L.P.</w:t>
            </w:r>
            <w:r>
              <w:rPr>
                <w:rFonts w:ascii="Arial" w:cs="Arial" w:eastAsia="Arial" w:hAnsi="Arial"/>
                <w:sz w:val="23"/>
                <w:szCs w:val="23"/>
                <w:color w:val="auto"/>
                <w:vertAlign w:val="superscript"/>
              </w:rPr>
              <w:t>(12)</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500,000</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500,000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Decheng Capital Global Healthcare Fund (Master), LP</w:t>
            </w:r>
            <w:r>
              <w:rPr>
                <w:rFonts w:ascii="Arial" w:cs="Arial" w:eastAsia="Arial" w:hAnsi="Arial"/>
                <w:sz w:val="23"/>
                <w:szCs w:val="23"/>
                <w:color w:val="auto"/>
                <w:vertAlign w:val="superscript"/>
              </w:rPr>
              <w:t>(13)</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300,000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300,000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(14)</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1,924,426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1,924,426</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5060" w:type="dxa"/>
            <w:vAlign w:val="bottom"/>
          </w:tcPr>
          <w:p>
            <w:pPr>
              <w:ind w:left="20"/>
              <w:spacing w:after="0" w:line="176" w:lineRule="exact"/>
              <w:rPr>
                <w:sz w:val="20"/>
                <w:szCs w:val="20"/>
                <w:color w:val="auto"/>
              </w:rPr>
            </w:pPr>
            <w:r>
              <w:rPr>
                <w:rFonts w:ascii="Arial" w:cs="Arial" w:eastAsia="Arial" w:hAnsi="Arial"/>
                <w:sz w:val="18"/>
                <w:szCs w:val="18"/>
                <w:color w:val="auto"/>
              </w:rPr>
              <w:t>Franklin Strategic Series – Franklin Biotechnology Discovery</w:t>
            </w:r>
          </w:p>
        </w:tc>
        <w:tc>
          <w:tcPr>
            <w:tcW w:w="1600" w:type="dxa"/>
            <w:vAlign w:val="bottom"/>
            <w:vMerge w:val="restart"/>
          </w:tcPr>
          <w:p>
            <w:pPr>
              <w:jc w:val="right"/>
              <w:ind w:right="330"/>
              <w:spacing w:after="0"/>
              <w:rPr>
                <w:sz w:val="20"/>
                <w:szCs w:val="20"/>
                <w:color w:val="auto"/>
              </w:rPr>
            </w:pPr>
            <w:r>
              <w:rPr>
                <w:rFonts w:ascii="Arial" w:cs="Arial" w:eastAsia="Arial" w:hAnsi="Arial"/>
                <w:sz w:val="18"/>
                <w:szCs w:val="18"/>
                <w:color w:val="auto"/>
              </w:rPr>
              <w:t>415,600</w:t>
            </w:r>
          </w:p>
        </w:tc>
        <w:tc>
          <w:tcPr>
            <w:tcW w:w="1780" w:type="dxa"/>
            <w:vAlign w:val="bottom"/>
            <w:vMerge w:val="restart"/>
          </w:tcPr>
          <w:p>
            <w:pPr>
              <w:jc w:val="right"/>
              <w:ind w:right="450"/>
              <w:spacing w:after="0"/>
              <w:rPr>
                <w:sz w:val="20"/>
                <w:szCs w:val="20"/>
                <w:color w:val="auto"/>
              </w:rPr>
            </w:pPr>
            <w:r>
              <w:rPr>
                <w:rFonts w:ascii="Arial" w:cs="Arial" w:eastAsia="Arial" w:hAnsi="Arial"/>
                <w:sz w:val="18"/>
                <w:szCs w:val="18"/>
                <w:color w:val="auto"/>
              </w:rPr>
              <w:t>415,600</w:t>
            </w:r>
          </w:p>
        </w:tc>
        <w:tc>
          <w:tcPr>
            <w:tcW w:w="1860" w:type="dxa"/>
            <w:vAlign w:val="bottom"/>
            <w:vMerge w:val="restart"/>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180"/>
              <w:spacing w:after="0" w:line="230" w:lineRule="exact"/>
              <w:rPr>
                <w:sz w:val="20"/>
                <w:szCs w:val="20"/>
                <w:color w:val="auto"/>
              </w:rPr>
            </w:pPr>
            <w:r>
              <w:rPr>
                <w:rFonts w:ascii="Arial" w:cs="Arial" w:eastAsia="Arial" w:hAnsi="Arial"/>
                <w:sz w:val="18"/>
                <w:szCs w:val="18"/>
                <w:color w:val="auto"/>
              </w:rPr>
              <w:t>Fund</w:t>
            </w:r>
            <w:r>
              <w:rPr>
                <w:rFonts w:ascii="Arial" w:cs="Arial" w:eastAsia="Arial" w:hAnsi="Arial"/>
                <w:sz w:val="23"/>
                <w:szCs w:val="23"/>
                <w:color w:val="auto"/>
                <w:vertAlign w:val="superscript"/>
              </w:rPr>
              <w:t>(15)</w:t>
            </w:r>
          </w:p>
        </w:tc>
        <w:tc>
          <w:tcPr>
            <w:tcW w:w="160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Franklin Templeton Investment Funds – Franklin Biotechnology</w:t>
            </w:r>
          </w:p>
        </w:tc>
        <w:tc>
          <w:tcPr>
            <w:tcW w:w="16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584,400</w:t>
            </w:r>
          </w:p>
        </w:tc>
        <w:tc>
          <w:tcPr>
            <w:tcW w:w="178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rPr>
              <w:t>584,400</w:t>
            </w:r>
          </w:p>
        </w:tc>
        <w:tc>
          <w:tcPr>
            <w:tcW w:w="1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Discovery Fund</w:t>
            </w:r>
            <w:r>
              <w:rPr>
                <w:rFonts w:ascii="Arial" w:cs="Arial" w:eastAsia="Arial" w:hAnsi="Arial"/>
                <w:sz w:val="23"/>
                <w:szCs w:val="23"/>
                <w:color w:val="auto"/>
                <w:vertAlign w:val="superscript"/>
              </w:rPr>
              <w:t>(15)</w:t>
            </w:r>
          </w:p>
        </w:tc>
        <w:tc>
          <w:tcPr>
            <w:tcW w:w="1600" w:type="dxa"/>
            <w:vAlign w:val="bottom"/>
            <w:vMerge w:val="continue"/>
            <w:shd w:val="clear" w:color="auto" w:fill="CCEEFF"/>
          </w:tcPr>
          <w:p>
            <w:pPr>
              <w:spacing w:after="0"/>
              <w:rPr>
                <w:sz w:val="19"/>
                <w:szCs w:val="19"/>
                <w:color w:val="auto"/>
              </w:rPr>
            </w:pPr>
          </w:p>
        </w:tc>
        <w:tc>
          <w:tcPr>
            <w:tcW w:w="1780" w:type="dxa"/>
            <w:vAlign w:val="bottom"/>
            <w:vMerge w:val="continue"/>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Funds Managed by RTW Investments, LP</w:t>
            </w:r>
            <w:r>
              <w:rPr>
                <w:rFonts w:ascii="Arial" w:cs="Arial" w:eastAsia="Arial" w:hAnsi="Arial"/>
                <w:sz w:val="23"/>
                <w:szCs w:val="23"/>
                <w:color w:val="auto"/>
                <w:vertAlign w:val="superscript"/>
              </w:rPr>
              <w:t>(16)</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1,100,000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600,000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500,000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(17)</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1,888,146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1,888,146</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Logos Global Master Fund, LP</w:t>
            </w:r>
            <w:r>
              <w:rPr>
                <w:rFonts w:ascii="Arial" w:cs="Arial" w:eastAsia="Arial" w:hAnsi="Arial"/>
                <w:sz w:val="23"/>
                <w:szCs w:val="23"/>
                <w:color w:val="auto"/>
                <w:vertAlign w:val="superscript"/>
              </w:rPr>
              <w:t>(18)</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400,000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400,000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Madrona Venture Fund VI-A, LP</w:t>
            </w:r>
            <w:r>
              <w:rPr>
                <w:rFonts w:ascii="Arial" w:cs="Arial" w:eastAsia="Arial" w:hAnsi="Arial"/>
                <w:sz w:val="23"/>
                <w:szCs w:val="23"/>
                <w:color w:val="auto"/>
                <w:vertAlign w:val="superscript"/>
              </w:rPr>
              <w:t>(19)</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222,376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222,376</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Madrona Venture Fund VI, LP</w:t>
            </w:r>
            <w:r>
              <w:rPr>
                <w:rFonts w:ascii="Arial" w:cs="Arial" w:eastAsia="Arial" w:hAnsi="Arial"/>
                <w:sz w:val="23"/>
                <w:szCs w:val="23"/>
                <w:color w:val="auto"/>
                <w:vertAlign w:val="superscript"/>
              </w:rPr>
              <w:t>(19)</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5,798,394</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5,798,394</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Matthew and Elizabeth Posard Trust</w:t>
            </w:r>
            <w:r>
              <w:rPr>
                <w:rFonts w:ascii="Arial" w:cs="Arial" w:eastAsia="Arial" w:hAnsi="Arial"/>
                <w:sz w:val="23"/>
                <w:szCs w:val="23"/>
                <w:color w:val="auto"/>
                <w:vertAlign w:val="superscript"/>
              </w:rPr>
              <w:t>(20)</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100,000</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100,000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(21)</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6,516,125</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6,379,155</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136,970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Matthew Posard</w:t>
            </w:r>
            <w:r>
              <w:rPr>
                <w:rFonts w:ascii="Arial" w:cs="Arial" w:eastAsia="Arial" w:hAnsi="Arial"/>
                <w:sz w:val="23"/>
                <w:szCs w:val="23"/>
                <w:color w:val="auto"/>
                <w:vertAlign w:val="superscript"/>
              </w:rPr>
              <w:t>(22)</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418,476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368,476</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50,000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(23)</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72,561</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72,561</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Nantahala Capital Partners Limited Partnership</w:t>
            </w:r>
            <w:r>
              <w:rPr>
                <w:rFonts w:ascii="Arial" w:cs="Arial" w:eastAsia="Arial" w:hAnsi="Arial"/>
                <w:sz w:val="23"/>
                <w:szCs w:val="23"/>
                <w:color w:val="auto"/>
                <w:vertAlign w:val="superscript"/>
              </w:rPr>
              <w:t>(11)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72,785</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29,502</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43,283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Nantahala Capital Partners SI, LP</w:t>
            </w:r>
            <w:r>
              <w:rPr>
                <w:rFonts w:ascii="Arial" w:cs="Arial" w:eastAsia="Arial" w:hAnsi="Arial"/>
                <w:sz w:val="23"/>
                <w:szCs w:val="23"/>
                <w:color w:val="auto"/>
                <w:vertAlign w:val="superscript"/>
              </w:rPr>
              <w:t>(11)</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533,925</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188,902</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345,023</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Nantahala Capital Partners II Limited Partnership</w:t>
            </w:r>
            <w:r>
              <w:rPr>
                <w:rFonts w:ascii="Arial" w:cs="Arial" w:eastAsia="Arial" w:hAnsi="Arial"/>
                <w:sz w:val="23"/>
                <w:szCs w:val="23"/>
                <w:color w:val="auto"/>
                <w:vertAlign w:val="superscript"/>
              </w:rPr>
              <w:t>(11)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194,666</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79,459</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115,207</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NCP QR LP</w:t>
            </w:r>
            <w:r>
              <w:rPr>
                <w:rFonts w:ascii="Arial" w:cs="Arial" w:eastAsia="Arial" w:hAnsi="Arial"/>
                <w:sz w:val="23"/>
                <w:szCs w:val="23"/>
                <w:color w:val="auto"/>
                <w:vertAlign w:val="superscript"/>
              </w:rPr>
              <w:t>(11)</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86,258</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32,704</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53,554</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NCP RFM LP</w:t>
            </w:r>
            <w:r>
              <w:rPr>
                <w:rFonts w:ascii="Arial" w:cs="Arial" w:eastAsia="Arial" w:hAnsi="Arial"/>
                <w:sz w:val="23"/>
                <w:szCs w:val="23"/>
                <w:color w:val="auto"/>
                <w:vertAlign w:val="superscript"/>
              </w:rPr>
              <w:t>(11)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80,200</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80,200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OrbiMed Genesis Master Fund, L.P.</w:t>
            </w:r>
            <w:r>
              <w:rPr>
                <w:rFonts w:ascii="Arial" w:cs="Arial" w:eastAsia="Arial" w:hAnsi="Arial"/>
                <w:sz w:val="23"/>
                <w:szCs w:val="23"/>
                <w:color w:val="auto"/>
                <w:vertAlign w:val="superscript"/>
              </w:rPr>
              <w:t>(24)</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363,800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100,000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263,800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OrbiMed Partners Master Fund Limited</w:t>
            </w:r>
            <w:r>
              <w:rPr>
                <w:rFonts w:ascii="Arial" w:cs="Arial" w:eastAsia="Arial" w:hAnsi="Arial"/>
                <w:sz w:val="23"/>
                <w:szCs w:val="23"/>
                <w:color w:val="auto"/>
                <w:vertAlign w:val="superscript"/>
              </w:rPr>
              <w:t>(25)</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1,182,900</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900,000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282,900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Parag Mallick</w:t>
            </w:r>
            <w:r>
              <w:rPr>
                <w:rFonts w:ascii="Arial" w:cs="Arial" w:eastAsia="Arial" w:hAnsi="Arial"/>
                <w:sz w:val="23"/>
                <w:szCs w:val="23"/>
                <w:color w:val="auto"/>
                <w:vertAlign w:val="superscript"/>
              </w:rPr>
              <w:t>(26)</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21,143,911</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21,143,911</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Perceptive Life Sciences Master Fund, Ltd</w:t>
            </w:r>
            <w:r>
              <w:rPr>
                <w:rFonts w:ascii="Arial" w:cs="Arial" w:eastAsia="Arial" w:hAnsi="Arial"/>
                <w:sz w:val="23"/>
                <w:szCs w:val="23"/>
                <w:color w:val="auto"/>
                <w:vertAlign w:val="superscript"/>
              </w:rPr>
              <w:t>(27)</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9,111,151</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8,414,113</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697,038</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PFV I, LLC</w:t>
            </w:r>
            <w:r>
              <w:rPr>
                <w:rFonts w:ascii="Arial" w:cs="Arial" w:eastAsia="Arial" w:hAnsi="Arial"/>
                <w:sz w:val="23"/>
                <w:szCs w:val="23"/>
                <w:color w:val="auto"/>
                <w:vertAlign w:val="superscript"/>
              </w:rPr>
              <w:t>(28)</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5,280,476</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5,280,476</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RA Capital Healthcare Fund, L.P.</w:t>
            </w:r>
            <w:r>
              <w:rPr>
                <w:rFonts w:ascii="Arial" w:cs="Arial" w:eastAsia="Arial" w:hAnsi="Arial"/>
                <w:sz w:val="23"/>
                <w:szCs w:val="23"/>
                <w:color w:val="auto"/>
                <w:vertAlign w:val="superscript"/>
              </w:rPr>
              <w:t>(29)</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2,471,430</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1,500,000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971,430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Saqib Islam</w:t>
            </w:r>
            <w:r>
              <w:rPr>
                <w:rFonts w:ascii="Arial" w:cs="Arial" w:eastAsia="Arial" w:hAnsi="Arial"/>
                <w:sz w:val="23"/>
                <w:szCs w:val="23"/>
                <w:color w:val="auto"/>
                <w:vertAlign w:val="superscript"/>
              </w:rPr>
              <w:t>(37)</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30,000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30,000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Silver Creek CS SAV, L.L.C.</w:t>
            </w:r>
            <w:r>
              <w:rPr>
                <w:rFonts w:ascii="Arial" w:cs="Arial" w:eastAsia="Arial" w:hAnsi="Arial"/>
                <w:sz w:val="23"/>
                <w:szCs w:val="23"/>
                <w:color w:val="auto"/>
                <w:vertAlign w:val="superscript"/>
              </w:rPr>
              <w:t>(11)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38,848</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7,955</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30,893</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60" w:type="dxa"/>
            <w:vAlign w:val="bottom"/>
          </w:tcPr>
          <w:p>
            <w:pPr>
              <w:ind w:left="20"/>
              <w:spacing w:after="0" w:line="230" w:lineRule="exact"/>
              <w:rPr>
                <w:sz w:val="20"/>
                <w:szCs w:val="20"/>
                <w:color w:val="auto"/>
              </w:rPr>
            </w:pPr>
            <w:r>
              <w:rPr>
                <w:rFonts w:ascii="Arial" w:cs="Arial" w:eastAsia="Arial" w:hAnsi="Arial"/>
                <w:sz w:val="18"/>
                <w:szCs w:val="18"/>
                <w:color w:val="auto"/>
              </w:rPr>
              <w:t>Sphera Biotech Master Fund, LP</w:t>
            </w:r>
            <w:r>
              <w:rPr>
                <w:rFonts w:ascii="Arial" w:cs="Arial" w:eastAsia="Arial" w:hAnsi="Arial"/>
                <w:sz w:val="23"/>
                <w:szCs w:val="23"/>
                <w:color w:val="auto"/>
                <w:vertAlign w:val="superscript"/>
              </w:rPr>
              <w:t>(30)</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295,200</w:t>
            </w:r>
          </w:p>
        </w:tc>
        <w:tc>
          <w:tcPr>
            <w:tcW w:w="1780" w:type="dxa"/>
            <w:vAlign w:val="bottom"/>
          </w:tcPr>
          <w:p>
            <w:pPr>
              <w:jc w:val="right"/>
              <w:ind w:right="450"/>
              <w:spacing w:after="0"/>
              <w:rPr>
                <w:sz w:val="20"/>
                <w:szCs w:val="20"/>
                <w:color w:val="auto"/>
              </w:rPr>
            </w:pPr>
            <w:r>
              <w:rPr>
                <w:rFonts w:ascii="Arial" w:cs="Arial" w:eastAsia="Arial" w:hAnsi="Arial"/>
                <w:sz w:val="18"/>
                <w:szCs w:val="18"/>
                <w:color w:val="auto"/>
              </w:rPr>
              <w:t>195,200</w:t>
            </w:r>
          </w:p>
        </w:tc>
        <w:tc>
          <w:tcPr>
            <w:tcW w:w="1860" w:type="dxa"/>
            <w:vAlign w:val="bottom"/>
          </w:tcPr>
          <w:p>
            <w:pPr>
              <w:jc w:val="right"/>
              <w:ind w:right="650"/>
              <w:spacing w:after="0"/>
              <w:rPr>
                <w:sz w:val="20"/>
                <w:szCs w:val="20"/>
                <w:color w:val="auto"/>
              </w:rPr>
            </w:pPr>
            <w:r>
              <w:rPr>
                <w:rFonts w:ascii="Arial" w:cs="Arial" w:eastAsia="Arial" w:hAnsi="Arial"/>
                <w:sz w:val="18"/>
                <w:szCs w:val="18"/>
                <w:color w:val="auto"/>
              </w:rPr>
              <w:t>100,000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Sphera Global Healthcare Master Fund</w:t>
            </w:r>
            <w:r>
              <w:rPr>
                <w:rFonts w:ascii="Arial" w:cs="Arial" w:eastAsia="Arial" w:hAnsi="Arial"/>
                <w:sz w:val="23"/>
                <w:szCs w:val="23"/>
                <w:color w:val="auto"/>
                <w:vertAlign w:val="superscript"/>
              </w:rPr>
              <w:t>(31)</w:t>
            </w:r>
          </w:p>
        </w:tc>
        <w:tc>
          <w:tcPr>
            <w:tcW w:w="16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504,800</w:t>
            </w:r>
          </w:p>
        </w:tc>
        <w:tc>
          <w:tcPr>
            <w:tcW w:w="17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204,800</w:t>
            </w:r>
          </w:p>
        </w:tc>
        <w:tc>
          <w:tcPr>
            <w:tcW w:w="1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rPr>
              <w:t>300,000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60" w:type="dxa"/>
            <w:vAlign w:val="bottom"/>
          </w:tcPr>
          <w:p>
            <w:pPr>
              <w:ind w:left="20"/>
              <w:spacing w:after="0"/>
              <w:rPr>
                <w:sz w:val="20"/>
                <w:szCs w:val="20"/>
                <w:color w:val="auto"/>
              </w:rPr>
            </w:pPr>
            <w:r>
              <w:rPr>
                <w:rFonts w:ascii="Arial" w:cs="Arial" w:eastAsia="Arial" w:hAnsi="Arial"/>
                <w:sz w:val="18"/>
                <w:szCs w:val="18"/>
                <w:color w:val="auto"/>
              </w:rPr>
              <w:t>Sujal Patel</w:t>
            </w:r>
            <w:r>
              <w:rPr>
                <w:rFonts w:ascii="Arial" w:cs="Arial" w:eastAsia="Arial" w:hAnsi="Arial"/>
                <w:sz w:val="23"/>
                <w:szCs w:val="23"/>
                <w:color w:val="auto"/>
                <w:vertAlign w:val="superscript"/>
              </w:rPr>
              <w:t>(32)</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17,747,732</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17,497,732</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250,000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w w:val="96"/>
              </w:rPr>
              <w:t>Sujal Patel 2020 Children’s Trust, u/a/d/ December 3, 2020</w:t>
            </w:r>
            <w:r>
              <w:rPr>
                <w:rFonts w:ascii="Arial" w:cs="Arial" w:eastAsia="Arial" w:hAnsi="Arial"/>
                <w:sz w:val="23"/>
                <w:szCs w:val="23"/>
                <w:color w:val="auto"/>
                <w:w w:val="96"/>
                <w:vertAlign w:val="superscript"/>
              </w:rPr>
              <w:t>(33)</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1,814,035</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1,814,035</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Todd Wider</w:t>
            </w:r>
            <w:r>
              <w:rPr>
                <w:rFonts w:ascii="Arial" w:cs="Arial" w:eastAsia="Arial" w:hAnsi="Arial"/>
                <w:sz w:val="23"/>
                <w:szCs w:val="23"/>
                <w:color w:val="auto"/>
                <w:vertAlign w:val="superscript"/>
              </w:rPr>
              <w:t>(37)</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30,000</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30,000</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VCVC V LLC</w:t>
            </w:r>
            <w:r>
              <w:rPr>
                <w:rFonts w:ascii="Arial" w:cs="Arial" w:eastAsia="Arial" w:hAnsi="Arial"/>
                <w:sz w:val="23"/>
                <w:szCs w:val="23"/>
                <w:color w:val="auto"/>
                <w:vertAlign w:val="superscript"/>
              </w:rPr>
              <w:t>(34)</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3,586,492</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3,586,492</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(35)</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36,280</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36,280</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Vulcan Capital Holdings Columbia LLC</w:t>
            </w:r>
            <w:r>
              <w:rPr>
                <w:rFonts w:ascii="Arial" w:cs="Arial" w:eastAsia="Arial" w:hAnsi="Arial"/>
                <w:sz w:val="23"/>
                <w:szCs w:val="23"/>
                <w:color w:val="auto"/>
                <w:vertAlign w:val="superscript"/>
              </w:rPr>
              <w:t>(34)</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3,586,493</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3,586,493</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20"/>
              <w:spacing w:after="0" w:line="230" w:lineRule="exact"/>
              <w:rPr>
                <w:sz w:val="20"/>
                <w:szCs w:val="20"/>
                <w:color w:val="auto"/>
              </w:rPr>
            </w:pPr>
            <w:r>
              <w:rPr>
                <w:rFonts w:ascii="Arial" w:cs="Arial" w:eastAsia="Arial" w:hAnsi="Arial"/>
                <w:sz w:val="18"/>
                <w:szCs w:val="18"/>
                <w:color w:val="auto"/>
              </w:rPr>
              <w:t>WS Investment Company, LLC (21A)</w:t>
            </w:r>
            <w:r>
              <w:rPr>
                <w:rFonts w:ascii="Arial" w:cs="Arial" w:eastAsia="Arial" w:hAnsi="Arial"/>
                <w:sz w:val="23"/>
                <w:szCs w:val="23"/>
                <w:color w:val="auto"/>
                <w:vertAlign w:val="superscript"/>
              </w:rPr>
              <w:t>(36)</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35,000</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35,000</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The Dream Finder Foundation</w:t>
            </w:r>
            <w:r>
              <w:rPr>
                <w:rFonts w:ascii="Arial" w:cs="Arial" w:eastAsia="Arial" w:hAnsi="Arial"/>
                <w:sz w:val="23"/>
                <w:szCs w:val="23"/>
                <w:color w:val="auto"/>
                <w:vertAlign w:val="superscript"/>
              </w:rPr>
              <w:t>(37)</w:t>
            </w:r>
          </w:p>
        </w:tc>
        <w:tc>
          <w:tcPr>
            <w:tcW w:w="17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200,000</w:t>
            </w:r>
          </w:p>
        </w:tc>
        <w:tc>
          <w:tcPr>
            <w:tcW w:w="17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200,000</w:t>
            </w:r>
          </w:p>
        </w:tc>
        <w:tc>
          <w:tcPr>
            <w:tcW w:w="186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4860" w:type="dxa"/>
            <w:vAlign w:val="bottom"/>
          </w:tcPr>
          <w:p>
            <w:pPr>
              <w:ind w:left="20"/>
              <w:spacing w:after="0" w:line="176" w:lineRule="exact"/>
              <w:rPr>
                <w:sz w:val="20"/>
                <w:szCs w:val="20"/>
                <w:color w:val="auto"/>
              </w:rPr>
            </w:pPr>
            <w:r>
              <w:rPr>
                <w:rFonts w:ascii="Arial" w:cs="Arial" w:eastAsia="Arial" w:hAnsi="Arial"/>
                <w:sz w:val="18"/>
                <w:szCs w:val="18"/>
                <w:color w:val="auto"/>
              </w:rPr>
              <w:t>Jesus A Zavaleta III C/F Janhavi Amrita Singhal UTMA/TX</w:t>
            </w:r>
          </w:p>
        </w:tc>
        <w:tc>
          <w:tcPr>
            <w:tcW w:w="1700" w:type="dxa"/>
            <w:vAlign w:val="bottom"/>
            <w:vMerge w:val="restart"/>
          </w:tcPr>
          <w:p>
            <w:pPr>
              <w:jc w:val="right"/>
              <w:ind w:right="330"/>
              <w:spacing w:after="0"/>
              <w:rPr>
                <w:sz w:val="20"/>
                <w:szCs w:val="20"/>
                <w:color w:val="auto"/>
              </w:rPr>
            </w:pPr>
            <w:r>
              <w:rPr>
                <w:rFonts w:ascii="Arial" w:cs="Arial" w:eastAsia="Arial" w:hAnsi="Arial"/>
                <w:sz w:val="18"/>
                <w:szCs w:val="18"/>
                <w:color w:val="auto"/>
              </w:rPr>
              <w:t>5,000</w:t>
            </w:r>
          </w:p>
        </w:tc>
        <w:tc>
          <w:tcPr>
            <w:tcW w:w="1700" w:type="dxa"/>
            <w:vAlign w:val="bottom"/>
            <w:vMerge w:val="restart"/>
          </w:tcPr>
          <w:p>
            <w:pPr>
              <w:jc w:val="right"/>
              <w:ind w:right="370"/>
              <w:spacing w:after="0"/>
              <w:rPr>
                <w:sz w:val="20"/>
                <w:szCs w:val="20"/>
                <w:color w:val="auto"/>
              </w:rPr>
            </w:pPr>
            <w:r>
              <w:rPr>
                <w:rFonts w:ascii="Arial" w:cs="Arial" w:eastAsia="Arial" w:hAnsi="Arial"/>
                <w:sz w:val="18"/>
                <w:szCs w:val="18"/>
                <w:color w:val="auto"/>
              </w:rPr>
              <w:t>5,000</w:t>
            </w:r>
          </w:p>
        </w:tc>
        <w:tc>
          <w:tcPr>
            <w:tcW w:w="1860" w:type="dxa"/>
            <w:vAlign w:val="bottom"/>
            <w:vMerge w:val="restart"/>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Pr>
          <w:p>
            <w:pPr>
              <w:ind w:left="180"/>
              <w:spacing w:after="0" w:line="230" w:lineRule="exact"/>
              <w:rPr>
                <w:sz w:val="20"/>
                <w:szCs w:val="20"/>
                <w:color w:val="auto"/>
              </w:rPr>
            </w:pPr>
            <w:r>
              <w:rPr>
                <w:rFonts w:ascii="Arial" w:cs="Arial" w:eastAsia="Arial" w:hAnsi="Arial"/>
                <w:sz w:val="18"/>
                <w:szCs w:val="18"/>
                <w:color w:val="auto"/>
              </w:rPr>
              <w:t>until Age 21</w:t>
            </w:r>
            <w:r>
              <w:rPr>
                <w:rFonts w:ascii="Arial" w:cs="Arial" w:eastAsia="Arial" w:hAnsi="Arial"/>
                <w:sz w:val="23"/>
                <w:szCs w:val="23"/>
                <w:color w:val="auto"/>
                <w:vertAlign w:val="superscript"/>
              </w:rPr>
              <w:t>(38)</w:t>
            </w:r>
          </w:p>
        </w:tc>
        <w:tc>
          <w:tcPr>
            <w:tcW w:w="1700" w:type="dxa"/>
            <w:vAlign w:val="bottom"/>
            <w:vMerge w:val="continue"/>
          </w:tcPr>
          <w:p>
            <w:pPr>
              <w:spacing w:after="0"/>
              <w:rPr>
                <w:sz w:val="19"/>
                <w:szCs w:val="19"/>
                <w:color w:val="auto"/>
              </w:rPr>
            </w:pPr>
          </w:p>
        </w:tc>
        <w:tc>
          <w:tcPr>
            <w:tcW w:w="1700" w:type="dxa"/>
            <w:vAlign w:val="bottom"/>
            <w:vMerge w:val="continue"/>
          </w:tcPr>
          <w:p>
            <w:pPr>
              <w:spacing w:after="0"/>
              <w:rPr>
                <w:sz w:val="19"/>
                <w:szCs w:val="19"/>
                <w:color w:val="auto"/>
              </w:rPr>
            </w:pPr>
          </w:p>
        </w:tc>
        <w:tc>
          <w:tcPr>
            <w:tcW w:w="186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Jesus A Zavaleta III C/F Jaya Nirmala Singhal UTMA/TX</w:t>
            </w:r>
          </w:p>
        </w:tc>
        <w:tc>
          <w:tcPr>
            <w:tcW w:w="1700" w:type="dxa"/>
            <w:vAlign w:val="bottom"/>
            <w:vMerge w:val="restart"/>
            <w:shd w:val="clear" w:color="auto" w:fill="CCEEFF"/>
          </w:tcPr>
          <w:p>
            <w:pPr>
              <w:jc w:val="right"/>
              <w:ind w:right="330"/>
              <w:spacing w:after="0"/>
              <w:rPr>
                <w:sz w:val="20"/>
                <w:szCs w:val="20"/>
                <w:color w:val="auto"/>
              </w:rPr>
            </w:pPr>
            <w:r>
              <w:rPr>
                <w:rFonts w:ascii="Arial" w:cs="Arial" w:eastAsia="Arial" w:hAnsi="Arial"/>
                <w:sz w:val="18"/>
                <w:szCs w:val="18"/>
                <w:color w:val="auto"/>
              </w:rPr>
              <w:t>5,000</w:t>
            </w:r>
          </w:p>
        </w:tc>
        <w:tc>
          <w:tcPr>
            <w:tcW w:w="1700" w:type="dxa"/>
            <w:vAlign w:val="bottom"/>
            <w:vMerge w:val="restart"/>
            <w:shd w:val="clear" w:color="auto" w:fill="CCEEFF"/>
          </w:tcPr>
          <w:p>
            <w:pPr>
              <w:jc w:val="right"/>
              <w:ind w:right="370"/>
              <w:spacing w:after="0"/>
              <w:rPr>
                <w:sz w:val="20"/>
                <w:szCs w:val="20"/>
                <w:color w:val="auto"/>
              </w:rPr>
            </w:pPr>
            <w:r>
              <w:rPr>
                <w:rFonts w:ascii="Arial" w:cs="Arial" w:eastAsia="Arial" w:hAnsi="Arial"/>
                <w:sz w:val="18"/>
                <w:szCs w:val="18"/>
                <w:color w:val="auto"/>
              </w:rPr>
              <w:t>5,000</w:t>
            </w:r>
          </w:p>
        </w:tc>
        <w:tc>
          <w:tcPr>
            <w:tcW w:w="1860" w:type="dxa"/>
            <w:vAlign w:val="bottom"/>
            <w:vMerge w:val="restart"/>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until Age 21</w:t>
            </w:r>
            <w:r>
              <w:rPr>
                <w:rFonts w:ascii="Arial" w:cs="Arial" w:eastAsia="Arial" w:hAnsi="Arial"/>
                <w:sz w:val="23"/>
                <w:szCs w:val="23"/>
                <w:color w:val="auto"/>
                <w:vertAlign w:val="superscript"/>
              </w:rPr>
              <w:t>(39)</w:t>
            </w:r>
          </w:p>
        </w:tc>
        <w:tc>
          <w:tcPr>
            <w:tcW w:w="1700" w:type="dxa"/>
            <w:vAlign w:val="bottom"/>
            <w:vMerge w:val="continue"/>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186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Arial" w:cs="Arial" w:eastAsia="Arial" w:hAnsi="Arial"/>
                <w:sz w:val="18"/>
                <w:szCs w:val="18"/>
                <w:color w:val="auto"/>
              </w:rPr>
              <w:t>Total Shares</w:t>
            </w:r>
          </w:p>
        </w:tc>
        <w:tc>
          <w:tcPr>
            <w:tcW w:w="1700" w:type="dxa"/>
            <w:vAlign w:val="bottom"/>
          </w:tcPr>
          <w:p>
            <w:pPr>
              <w:jc w:val="right"/>
              <w:ind w:right="330"/>
              <w:spacing w:after="0"/>
              <w:rPr>
                <w:sz w:val="20"/>
                <w:szCs w:val="20"/>
                <w:color w:val="auto"/>
              </w:rPr>
            </w:pPr>
            <w:r>
              <w:rPr>
                <w:rFonts w:ascii="Arial" w:cs="Arial" w:eastAsia="Arial" w:hAnsi="Arial"/>
                <w:sz w:val="18"/>
                <w:szCs w:val="18"/>
                <w:color w:val="auto"/>
              </w:rPr>
              <w:t>102,032,917</w:t>
            </w:r>
          </w:p>
        </w:tc>
        <w:tc>
          <w:tcPr>
            <w:tcW w:w="1700" w:type="dxa"/>
            <w:vAlign w:val="bottom"/>
          </w:tcPr>
          <w:p>
            <w:pPr>
              <w:jc w:val="right"/>
              <w:ind w:right="370"/>
              <w:spacing w:after="0"/>
              <w:rPr>
                <w:sz w:val="20"/>
                <w:szCs w:val="20"/>
                <w:color w:val="auto"/>
              </w:rPr>
            </w:pPr>
            <w:r>
              <w:rPr>
                <w:rFonts w:ascii="Arial" w:cs="Arial" w:eastAsia="Arial" w:hAnsi="Arial"/>
                <w:sz w:val="18"/>
                <w:szCs w:val="18"/>
                <w:color w:val="auto"/>
              </w:rPr>
              <w:t>95,645,056</w:t>
            </w:r>
          </w:p>
        </w:tc>
        <w:tc>
          <w:tcPr>
            <w:tcW w:w="1860" w:type="dxa"/>
            <w:vAlign w:val="bottom"/>
          </w:tcPr>
          <w:p>
            <w:pPr>
              <w:jc w:val="right"/>
              <w:ind w:right="590"/>
              <w:spacing w:after="0"/>
              <w:rPr>
                <w:sz w:val="20"/>
                <w:szCs w:val="20"/>
                <w:color w:val="auto"/>
              </w:rPr>
            </w:pPr>
            <w:r>
              <w:rPr>
                <w:rFonts w:ascii="Arial" w:cs="Arial" w:eastAsia="Arial" w:hAnsi="Arial"/>
                <w:sz w:val="18"/>
                <w:szCs w:val="18"/>
                <w:color w:val="auto"/>
              </w:rPr>
              <w:t>6,387,861</w:t>
            </w:r>
          </w:p>
        </w:tc>
        <w:tc>
          <w:tcPr>
            <w:tcW w:w="1120" w:type="dxa"/>
            <w:vAlign w:val="bottom"/>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83"/>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40" w:right="60" w:hanging="332"/>
        <w:spacing w:after="0" w:line="241"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AH Equity Partners Bio II, L.L.C (“AH EP Bio II”) has sole voting and dispositive power with regard to the securities held by AH Bio Fund II, L.P. (“AH Bio Fund II”) and AH Bio Fund II-B, L.P. (“AH Bio Fund II-B,” and together with AH Bio Fund II, the “AH Bio Fund II Entities”). The managing members of AH EP Bio II are Marc Andreessen and Ben Horowitz. Marc Andreessen and Ben Horowitz share voting and dispositive power with respect to the shares held by the AH Bio Fund II Entities. Vijay Pande, a member of the board of directors of the Company, is a general partner of entities affiliated with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The selling securityholder is a subsidiary of Alexandria Real Estate Equities, Inc., a publicly held corporation.</w:t>
      </w:r>
    </w:p>
    <w:p>
      <w:pPr>
        <w:spacing w:after="0" w:line="1" w:lineRule="exact"/>
        <w:rPr>
          <w:rFonts w:ascii="Arial" w:cs="Arial" w:eastAsia="Arial" w:hAnsi="Arial"/>
          <w:sz w:val="14"/>
          <w:szCs w:val="14"/>
          <w:color w:val="auto"/>
        </w:rPr>
      </w:pPr>
    </w:p>
    <w:p>
      <w:pPr>
        <w:ind w:left="340" w:right="200" w:hanging="332"/>
        <w:spacing w:after="0" w:line="241"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Mr. Fan Yu is the sole shareholder of ABG Management Ltd., which is the sole member of each of Ally Bridge MedAlpha Management GP, LLC and Ally Bridge Group (NY) LLC. Ally Bridge Group (NY) LLC and Ally Bridge MedAlpha Management L.P., acting through its general partner Ally Bridge MedAlpha Management GP, LLC,</w:t>
      </w:r>
    </w:p>
    <w:p>
      <w:pPr>
        <w:ind w:left="340" w:right="60"/>
        <w:spacing w:after="0" w:line="241" w:lineRule="auto"/>
        <w:rPr>
          <w:rFonts w:ascii="Arial" w:cs="Arial" w:eastAsia="Arial" w:hAnsi="Arial"/>
          <w:sz w:val="14"/>
          <w:szCs w:val="14"/>
          <w:color w:val="auto"/>
        </w:rPr>
      </w:pPr>
      <w:r>
        <w:rPr>
          <w:rFonts w:ascii="Arial" w:cs="Arial" w:eastAsia="Arial" w:hAnsi="Arial"/>
          <w:sz w:val="14"/>
          <w:szCs w:val="14"/>
          <w:color w:val="auto"/>
        </w:rPr>
        <w:t>manage Ally Bridge MedAlpha Master Fund L.P.’s (“Ally Bridge”) investments. As such, each of the foregoing entities and Mr. Fan Yu may be deemed to share beneficial ownership of the shares held of record by Ally Bridge. Each of them disclaims any such beneficial ownership.</w:t>
      </w:r>
    </w:p>
    <w:p>
      <w:pPr>
        <w:ind w:left="340" w:hanging="332"/>
        <w:spacing w:after="0" w:line="241"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Alyeska Investment Group, L.P. (“Alyeska Investment Group”), the investment manager of the selling securityholder, has voting and investment control of the shares held by the selling securityholder. Anand Parekh is the Chief Executive Officer of Alyeska Investment Group and may be deemed to be the beneficial owner of such shares. Mr. Parekh disclaims any beneficial ownership of the shares held by Alyeska Master Fund.</w:t>
      </w:r>
    </w:p>
    <w:p>
      <w:pPr>
        <w:spacing w:after="0" w:line="1" w:lineRule="exact"/>
        <w:rPr>
          <w:rFonts w:ascii="Arial" w:cs="Arial" w:eastAsia="Arial" w:hAnsi="Arial"/>
          <w:sz w:val="14"/>
          <w:szCs w:val="14"/>
          <w:color w:val="auto"/>
        </w:rPr>
      </w:pPr>
    </w:p>
    <w:p>
      <w:pPr>
        <w:jc w:val="both"/>
        <w:ind w:left="340" w:right="100" w:hanging="332"/>
        <w:spacing w:after="0" w:line="241"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AH Equity Partners LSV II, L.L.C. (“AH EP LSV II”) has sole voting and dispositive power with regard to the securities held by Andreessen Horowitz LSV Fund II, L.P. (“AH LSV Fund II”), Andreessen Horowitz LSV Fund II-B, L.P. (“AH LSV Fund II-B”) and Andreessen Horowitz LSV Fund II-Q, L.P. (“AH LSV Fund II-Q,” and together with AH LSV Fund II and AH LSV Fund II-B, the “AH LSV Fund II Entities”). The managing members of AH EP LSV II are Mark Andreessen and Ben Horowitz. Marc Andreessen and Ben Horowitz share voting and dispositive power with respect to the shares held by the AH LSV Fund II Entities. Vijay Pande, a member of the board of directors of the Company, is a general partner of entities affiliated with Andreessen Horowitz.</w:t>
      </w:r>
    </w:p>
    <w:p>
      <w:pPr>
        <w:spacing w:after="0" w:line="1" w:lineRule="exact"/>
        <w:rPr>
          <w:rFonts w:ascii="Arial" w:cs="Arial" w:eastAsia="Arial" w:hAnsi="Arial"/>
          <w:sz w:val="14"/>
          <w:szCs w:val="14"/>
          <w:color w:val="auto"/>
        </w:rPr>
      </w:pPr>
    </w:p>
    <w:p>
      <w:pPr>
        <w:ind w:left="340" w:right="360" w:hanging="332"/>
        <w:spacing w:after="0" w:line="241" w:lineRule="auto"/>
        <w:tabs>
          <w:tab w:leader="none" w:pos="332" w:val="left"/>
        </w:tabs>
        <w:numPr>
          <w:ilvl w:val="0"/>
          <w:numId w:val="84"/>
        </w:numPr>
        <w:rPr>
          <w:rFonts w:ascii="Arial" w:cs="Arial" w:eastAsia="Arial" w:hAnsi="Arial"/>
          <w:sz w:val="14"/>
          <w:szCs w:val="14"/>
          <w:color w:val="auto"/>
        </w:rPr>
      </w:pPr>
      <w:r>
        <w:rPr>
          <w:rFonts w:ascii="Arial" w:cs="Arial" w:eastAsia="Arial" w:hAnsi="Arial"/>
          <w:sz w:val="14"/>
          <w:szCs w:val="14"/>
          <w:color w:val="auto"/>
        </w:rPr>
        <w:t>Adam Stone and Michael Altman are members of the board of directors of the selling securityholder and have voting and investment power over the shares held by the selling securityholder. Each of Mr. Altman and Mr. Stone disclaim beneficial ownership of such securities except to the extent of his pecuniary interest therein. Mr. Altman is a member of the board of directors of the Company.</w:t>
      </w:r>
    </w:p>
    <w:p>
      <w:pPr>
        <w:spacing w:after="0" w:line="1" w:lineRule="exact"/>
        <w:rPr>
          <w:rFonts w:ascii="Arial" w:cs="Arial" w:eastAsia="Arial" w:hAnsi="Arial"/>
          <w:sz w:val="14"/>
          <w:szCs w:val="14"/>
          <w:color w:val="auto"/>
        </w:rPr>
      </w:pPr>
    </w:p>
    <w:p>
      <w:pPr>
        <w:ind w:left="340" w:right="360" w:hanging="332"/>
        <w:spacing w:after="0" w:line="260" w:lineRule="auto"/>
        <w:tabs>
          <w:tab w:leader="none" w:pos="332" w:val="left"/>
        </w:tabs>
        <w:numPr>
          <w:ilvl w:val="0"/>
          <w:numId w:val="84"/>
        </w:numPr>
        <w:rPr>
          <w:rFonts w:ascii="Arial" w:cs="Arial" w:eastAsia="Arial" w:hAnsi="Arial"/>
          <w:sz w:val="13"/>
          <w:szCs w:val="13"/>
          <w:color w:val="auto"/>
        </w:rPr>
      </w:pPr>
      <w:r>
        <w:rPr>
          <w:rFonts w:ascii="Arial" w:cs="Arial" w:eastAsia="Arial" w:hAnsi="Arial"/>
          <w:sz w:val="13"/>
          <w:szCs w:val="13"/>
          <w:color w:val="auto"/>
        </w:rPr>
        <w:t>Suvretta Capital Management, LLC (“Suvretta”), the investment manager of the selling securityholder, may be deemed to have voting and investment power with respect to the shares. Aaron Cowen, as control person of Suvretta, may be deemed to have voting and investment power with respect to the shares held by the selling securityholder.</w:t>
      </w:r>
    </w:p>
    <w:p>
      <w:pPr>
        <w:jc w:val="both"/>
        <w:ind w:left="340" w:right="60" w:hanging="332"/>
        <w:spacing w:after="0" w:line="260" w:lineRule="auto"/>
        <w:tabs>
          <w:tab w:leader="none" w:pos="332" w:val="left"/>
        </w:tabs>
        <w:numPr>
          <w:ilvl w:val="0"/>
          <w:numId w:val="84"/>
        </w:numPr>
        <w:rPr>
          <w:rFonts w:ascii="Arial" w:cs="Arial" w:eastAsia="Arial" w:hAnsi="Arial"/>
          <w:sz w:val="13"/>
          <w:szCs w:val="13"/>
          <w:color w:val="auto"/>
        </w:rPr>
      </w:pPr>
      <w:r>
        <w:rPr>
          <w:rFonts w:ascii="Arial" w:cs="Arial" w:eastAsia="Arial" w:hAnsi="Arial"/>
          <w:sz w:val="13"/>
          <w:szCs w:val="13"/>
          <w:color w:val="auto"/>
        </w:rPr>
        <w:t>Avidity Capital Partners Fund (GP) LP is the general partner of Avidity Master Fund LP (“Avidity Master Fund”) and Avidity Capital Fund II LP (“Avidity Capital Fund,” and together with Avidity Master Fund,” the “Avidity Funds”). Avidity Capital Partners (GP) LLC is the general partner of Avidity Capital Partners Fund (GP) LP. David Witzke and Michael Gregory are the managing members of Avidity Capital Partners (GP) LLC and may be deemed to have voting and dispositive power over the securities held directly by the Avidity Funds.</w:t>
      </w:r>
    </w:p>
    <w:p>
      <w:pPr>
        <w:ind w:left="320" w:hanging="312"/>
        <w:spacing w:after="0"/>
        <w:tabs>
          <w:tab w:leader="none" w:pos="320" w:val="left"/>
        </w:tabs>
        <w:numPr>
          <w:ilvl w:val="0"/>
          <w:numId w:val="84"/>
        </w:numPr>
        <w:rPr>
          <w:rFonts w:ascii="Arial" w:cs="Arial" w:eastAsia="Arial" w:hAnsi="Arial"/>
          <w:sz w:val="14"/>
          <w:szCs w:val="14"/>
          <w:color w:val="auto"/>
        </w:rPr>
      </w:pPr>
      <w:r>
        <w:rPr>
          <w:rFonts w:ascii="Arial" w:cs="Arial" w:eastAsia="Arial" w:hAnsi="Arial"/>
          <w:sz w:val="14"/>
          <w:szCs w:val="14"/>
          <w:color w:val="auto"/>
        </w:rPr>
        <w:t>Wanda M. Cook and Michael J. McCullough share voting and investment power over the shares held by the selling securityholder.</w:t>
      </w:r>
    </w:p>
    <w:p>
      <w:pPr>
        <w:spacing w:after="0" w:line="1" w:lineRule="exact"/>
        <w:rPr>
          <w:rFonts w:ascii="Arial" w:cs="Arial" w:eastAsia="Arial" w:hAnsi="Arial"/>
          <w:sz w:val="14"/>
          <w:szCs w:val="14"/>
          <w:color w:val="auto"/>
        </w:rPr>
      </w:pPr>
    </w:p>
    <w:p>
      <w:pPr>
        <w:jc w:val="both"/>
        <w:ind w:left="340" w:right="40" w:hanging="332"/>
        <w:spacing w:after="0" w:line="260" w:lineRule="auto"/>
        <w:tabs>
          <w:tab w:leader="none" w:pos="337" w:val="left"/>
        </w:tabs>
        <w:numPr>
          <w:ilvl w:val="0"/>
          <w:numId w:val="84"/>
        </w:numPr>
        <w:rPr>
          <w:rFonts w:ascii="Arial" w:cs="Arial" w:eastAsia="Arial" w:hAnsi="Arial"/>
          <w:sz w:val="13"/>
          <w:szCs w:val="13"/>
          <w:color w:val="auto"/>
        </w:rPr>
      </w:pPr>
      <w:r>
        <w:rPr>
          <w:rFonts w:ascii="Arial" w:cs="Arial" w:eastAsia="Arial" w:hAnsi="Arial"/>
          <w:sz w:val="13"/>
          <w:szCs w:val="13"/>
          <w:color w:val="auto"/>
        </w:rPr>
        <w:t>Bain Capital Life Sciences Investors, LLC (“BCLSI”), whose managers are Jeffrey Schwartz and Adam Koppel, is the manager of the general partner of Bain Capital Life Sciences Fund II, L.P. and governs the investment strategy and decision-making process with respect to investments held by BCIP Life Sciences Associates, LP. As a result, each of BCLSI, Mr. Schwartz and Dr. Koppel may be deemed to share voting and dispositive power over the shares held by Bain Capital Life Sciences Fund II, L.P. and BCIP Life Sciences Associates, LP.</w:t>
      </w:r>
    </w:p>
    <w:p>
      <w:pPr>
        <w:ind w:left="340" w:right="40" w:hanging="332"/>
        <w:spacing w:after="0" w:line="241" w:lineRule="auto"/>
        <w:tabs>
          <w:tab w:leader="none" w:pos="331" w:val="left"/>
        </w:tabs>
        <w:numPr>
          <w:ilvl w:val="0"/>
          <w:numId w:val="84"/>
        </w:numPr>
        <w:rPr>
          <w:rFonts w:ascii="Arial" w:cs="Arial" w:eastAsia="Arial" w:hAnsi="Arial"/>
          <w:sz w:val="14"/>
          <w:szCs w:val="14"/>
          <w:color w:val="auto"/>
        </w:rPr>
      </w:pPr>
      <w:r>
        <w:rPr>
          <w:rFonts w:ascii="Arial" w:cs="Arial" w:eastAsia="Arial" w:hAnsi="Arial"/>
          <w:sz w:val="14"/>
          <w:szCs w:val="14"/>
          <w:color w:val="auto"/>
        </w:rPr>
        <w:t>Nantahala Capital Management, LLC is a registered investment adviser and has been delegated the legal power to vote and/or direct the disposition of such securities on behalf of the selling securityholder as a general partner or investment manager and would be considered the beneficial owner of such securities. The above shall not be deemed to be an admission by the record owners or the selling securityholder that they are themselves beneficial owners of these securities for purposes of section 13(d) of the Securities Exchange Act of 1934, as amended, or the Exchange Act, or any other purpose. Wilmot Harkey and Daniel Mack are managing members of Nantahala Capital Management, LLC and may be deemed to have voting and dispositive power over the shares held by the selling securityholder.</w:t>
      </w:r>
    </w:p>
    <w:p>
      <w:pPr>
        <w:spacing w:after="0" w:line="1" w:lineRule="exact"/>
        <w:rPr>
          <w:rFonts w:ascii="Arial" w:cs="Arial" w:eastAsia="Arial" w:hAnsi="Arial"/>
          <w:sz w:val="14"/>
          <w:szCs w:val="14"/>
          <w:color w:val="auto"/>
        </w:rPr>
      </w:pPr>
    </w:p>
    <w:p>
      <w:pPr>
        <w:ind w:left="340" w:right="280" w:hanging="332"/>
        <w:spacing w:after="0" w:line="255" w:lineRule="auto"/>
        <w:tabs>
          <w:tab w:leader="none" w:pos="337" w:val="left"/>
        </w:tabs>
        <w:numPr>
          <w:ilvl w:val="0"/>
          <w:numId w:val="84"/>
        </w:numPr>
        <w:rPr>
          <w:rFonts w:ascii="Arial" w:cs="Arial" w:eastAsia="Arial" w:hAnsi="Arial"/>
          <w:sz w:val="14"/>
          <w:szCs w:val="14"/>
          <w:color w:val="auto"/>
        </w:rPr>
      </w:pPr>
      <w:r>
        <w:rPr>
          <w:rFonts w:ascii="Arial" w:cs="Arial" w:eastAsia="Arial" w:hAnsi="Arial"/>
          <w:sz w:val="14"/>
          <w:szCs w:val="14"/>
          <w:color w:val="auto"/>
        </w:rPr>
        <w:t>Casdin Capital, LLC (“Casdin Capital”) is the investment adviser to Casdin Partners Master Fund, L.P. (“Casdin Master Fund”), and Casdin Partners GP, LLC (“Casdin Partners”) is the general partner of Casdin Master Fund. Eli Casdin is the managing member of Casdin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39" w:lineRule="exact"/>
        <w:rPr>
          <w:sz w:val="20"/>
          <w:szCs w:val="20"/>
          <w:color w:val="auto"/>
        </w:rPr>
      </w:pPr>
    </w:p>
    <w:p>
      <w:pPr>
        <w:ind w:left="332" w:right="200"/>
        <w:spacing w:after="0" w:line="247" w:lineRule="auto"/>
        <w:rPr>
          <w:sz w:val="20"/>
          <w:szCs w:val="20"/>
          <w:color w:val="auto"/>
        </w:rPr>
      </w:pPr>
      <w:r>
        <w:rPr>
          <w:rFonts w:ascii="Arial" w:cs="Arial" w:eastAsia="Arial" w:hAnsi="Arial"/>
          <w:sz w:val="14"/>
          <w:szCs w:val="14"/>
          <w:color w:val="auto"/>
        </w:rPr>
        <w:t>and Casdin Partners. As such, each of Casdin Capital, Casdin Partners GP and Eli Casdin may be deemed to beneficially own the securities held by Casdin Master Fund by virtue of their shared voting and investment control over Casdin Master Fund. Each of Casdin Capital, Casdin Partners and Mr. Casdin disclaims beneficial ownership of such securities except to the extent of their respective pecuniary interest therein.</w:t>
      </w:r>
    </w:p>
    <w:p>
      <w:pPr>
        <w:spacing w:after="0" w:line="1" w:lineRule="exact"/>
        <w:rPr>
          <w:sz w:val="20"/>
          <w:szCs w:val="20"/>
          <w:color w:val="auto"/>
        </w:rPr>
      </w:pPr>
    </w:p>
    <w:p>
      <w:pPr>
        <w:ind w:left="332" w:right="32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Xiangmin Cui has voting and investment power over the shares held by the selling securityholder. The selling securityholder is an investment company registered under the Investment Company Act of 1940, as amended.</w:t>
      </w:r>
    </w:p>
    <w:p>
      <w:pPr>
        <w:ind w:left="332" w:right="6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36,280 shares of Common Stock issuable upon exercise of options held by Mr. Nazem and (ii) 1,888,146 shares of Common Stock held by HAND Capital, LLC. None of the 36,280 shares of Common Stock issuable upon exercise of options are exercisable within 60 days of June 30, 2021. One hundred percent (100%) of the shares subject to the options vest on the earlier of (a) January 31, 2022 and (b) the day immediately before the date of the Company’s next annual meeting of stockholders, subject to Mr. Nazem’s continued status as a service provider through such vesting date. Mr. Nazem is the manager of HAND Capital, LLC and as such has voting and investment power over the shares held by HAND Capital, LLC. Mr. Nazem is a member of the board of directors of the Company.</w:t>
      </w:r>
    </w:p>
    <w:p>
      <w:pPr>
        <w:spacing w:after="0" w:line="1" w:lineRule="exact"/>
        <w:rPr>
          <w:rFonts w:ascii="Arial" w:cs="Arial" w:eastAsia="Arial" w:hAnsi="Arial"/>
          <w:sz w:val="14"/>
          <w:szCs w:val="14"/>
          <w:color w:val="auto"/>
        </w:rPr>
      </w:pPr>
    </w:p>
    <w:p>
      <w:pPr>
        <w:ind w:left="332" w:right="12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Evan McCulloch, as the portfolio manager on behalf of Franklin Advisers, Inc., is the investment manager and has been delegated the voting and investment power over the shares held by the selling securityholder.</w:t>
      </w:r>
    </w:p>
    <w:p>
      <w:pPr>
        <w:ind w:left="332" w:right="12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298,128 shares of Common Stock held by RTW Innovation Master Fund, Ltd. (“RTW Innovation Fund”), (ii) 744,682 shares of Common Stock held by RTW Master Fund, Ltd. (“RTW Master Fund”), and (iii) 57,190 shares of Common Stock held by RTW Venture Fund Limited (“RTW Venture Fund,” and together with RTW Master Fund and RTW Innovation Fund, the “RTW Funds”). RTW Investments, LP is the investment manager to the RTW Funds. Roderick Wong, M.D., is the managing partner and chief investment officer of RTW Investments, LP. and as such has sole voting and investment control over such shares. Dr. Wong disclaims beneficial ownership of the reported securities held by the RTW Funds, except to the extent of any pecuniary interest therein.</w:t>
      </w:r>
    </w:p>
    <w:p>
      <w:pPr>
        <w:spacing w:after="0" w:line="1" w:lineRule="exact"/>
        <w:rPr>
          <w:rFonts w:ascii="Arial" w:cs="Arial" w:eastAsia="Arial" w:hAnsi="Arial"/>
          <w:sz w:val="14"/>
          <w:szCs w:val="14"/>
          <w:color w:val="auto"/>
        </w:rPr>
      </w:pPr>
    </w:p>
    <w:p>
      <w:pPr>
        <w:ind w:left="332" w:right="54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Farzad Nazem and Noosheen Hashemi have voting and investment power over the shares held by the selling securityholder. Mr. Nazem is a member of the board of directors of the Company.</w:t>
      </w:r>
    </w:p>
    <w:p>
      <w:pPr>
        <w:ind w:left="312" w:hanging="312"/>
        <w:spacing w:after="0"/>
        <w:tabs>
          <w:tab w:leader="none" w:pos="312" w:val="left"/>
        </w:tabs>
        <w:numPr>
          <w:ilvl w:val="0"/>
          <w:numId w:val="85"/>
        </w:numPr>
        <w:rPr>
          <w:rFonts w:ascii="Arial" w:cs="Arial" w:eastAsia="Arial" w:hAnsi="Arial"/>
          <w:sz w:val="13"/>
          <w:szCs w:val="13"/>
          <w:color w:val="auto"/>
        </w:rPr>
      </w:pPr>
      <w:r>
        <w:rPr>
          <w:rFonts w:ascii="Arial" w:cs="Arial" w:eastAsia="Arial" w:hAnsi="Arial"/>
          <w:sz w:val="13"/>
          <w:szCs w:val="13"/>
          <w:color w:val="auto"/>
        </w:rPr>
        <w:t>Arsani William is the selling securityholder’s managing partner and Chief Investment Officer and has voting and investment power over the shares held by the selling securityholder.</w:t>
      </w:r>
    </w:p>
    <w:p>
      <w:pPr>
        <w:spacing w:after="0" w:line="12" w:lineRule="exact"/>
        <w:rPr>
          <w:rFonts w:ascii="Arial" w:cs="Arial" w:eastAsia="Arial" w:hAnsi="Arial"/>
          <w:sz w:val="13"/>
          <w:szCs w:val="13"/>
          <w:color w:val="auto"/>
        </w:rPr>
      </w:pPr>
    </w:p>
    <w:p>
      <w:pPr>
        <w:ind w:left="332" w:right="12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Madrona Investment Partners VI, L.P. (“Madrona Partners VI”) is the general partner of each of Madrona Venture Fund VI-A, LP (“Madrona Fund VI-A”) and Madrona Venture Fund VI, LP (“Madrona Fund VI”),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Mr. McIlwain is a member of the board of directors of the Company.</w:t>
      </w:r>
    </w:p>
    <w:p>
      <w:pPr>
        <w:spacing w:after="0" w:line="1" w:lineRule="exact"/>
        <w:rPr>
          <w:rFonts w:ascii="Arial" w:cs="Arial" w:eastAsia="Arial" w:hAnsi="Arial"/>
          <w:sz w:val="14"/>
          <w:szCs w:val="14"/>
          <w:color w:val="auto"/>
        </w:rPr>
      </w:pPr>
    </w:p>
    <w:p>
      <w:pPr>
        <w:ind w:left="332" w:right="58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Matthew Posard and Elizabeth Posard share voting and investment power over the shares held by the selling securityholder. Mr. Posard is a member of the board of directors of the Company.</w:t>
      </w:r>
    </w:p>
    <w:p>
      <w:pPr>
        <w:ind w:left="332" w:right="40" w:hanging="332"/>
        <w:spacing w:after="0" w:line="260" w:lineRule="auto"/>
        <w:tabs>
          <w:tab w:leader="none" w:pos="329" w:val="left"/>
        </w:tabs>
        <w:numPr>
          <w:ilvl w:val="0"/>
          <w:numId w:val="85"/>
        </w:numPr>
        <w:rPr>
          <w:rFonts w:ascii="Arial" w:cs="Arial" w:eastAsia="Arial" w:hAnsi="Arial"/>
          <w:sz w:val="13"/>
          <w:szCs w:val="13"/>
          <w:color w:val="auto"/>
        </w:rPr>
      </w:pPr>
      <w:r>
        <w:rPr>
          <w:rFonts w:ascii="Arial" w:cs="Arial" w:eastAsia="Arial" w:hAnsi="Arial"/>
          <w:sz w:val="13"/>
          <w:szCs w:val="13"/>
          <w:color w:val="auto"/>
        </w:rPr>
        <w:t>Consists of (i) 459,075 shares of Common Stock held directly by Mr. McIlwain (322,105 of which are registered for resale pursuant to this prospectus), (ii) 36,280 shares of Common Stock issuable upon exercise of options held by Mr. McIlwain, (iii) 5,798,394 shares of Common Stock held by Madrona Fund VI, and (iv) 222,376 shares of Common Stock held by Madrona Fund VI-A. None of the 36,280 shares of Common Stock issuable upon exercise of options are exercisable within 60 days of June 30, 2021. One hundred percent (100%) of the options to purchase shares of Common Stock vest on the earlier of (a) January 31, 2022 and (b) the day immediately before the date of the Company’s next annual meeting of stockholders, subject to Mr. McIlwain’s continued status as a service provider through such vesting date. Mr. McIlwain is a member of the board of directors of the Company.</w:t>
      </w:r>
    </w:p>
    <w:p>
      <w:pPr>
        <w:ind w:left="332" w:right="8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268,476 shares of Common Stock issuable upon exercise of options held by Mr. Posard, (ii) 100,000 shares of Common Stock held by the Matthew and Elizabeth Posard Trust (the “Posard Trust”) and (iii) 50,000 shares of Common Stock held by Mr. Posard (which are not registered for resale under this prospectus). 154,039 options to purchase shares of Common Stock are exercisable within 60 days of June 30, 2021. Of the remaining options to purchase shares of Common Stock (i) 27,817 shares of Common Stock that are issuable upon exercise of options vest evenly on the 1st of each month through February 1, 2022, (ii) 50,340 shares of Common Stock that are issuable upon the exercise of options vest evenly on the 1st of each month through September 1, 2024, and (iii) 36,280 shares of Common Stock that are issuable upon exercise of options vest on the earlier of (a) January 31, 2022 and (b) the day immediately before the date of the Company’s next annual meeting of stockholders, subject to Mr. Posard’s continued status as a service provider through each vesting date. Mr. Posard is a member of the board of directors of the Company.</w:t>
      </w:r>
    </w:p>
    <w:p>
      <w:pPr>
        <w:spacing w:after="0" w:line="2" w:lineRule="exact"/>
        <w:rPr>
          <w:rFonts w:ascii="Arial" w:cs="Arial" w:eastAsia="Arial" w:hAnsi="Arial"/>
          <w:sz w:val="14"/>
          <w:szCs w:val="14"/>
          <w:color w:val="auto"/>
        </w:rPr>
      </w:pPr>
    </w:p>
    <w:p>
      <w:pPr>
        <w:ind w:left="332" w:right="2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72,561 shares of Common Stock issuable upon exercise of options held by Ms. Epperly. 12,092 options to purchase shares of common stock are exercisable within 60 days of June 30, 2021. The remaining options to purchase shares of Common Stock vest evenly on the last day of each month through January 31, 2024, subject to Ms. Epperly’s continued status as a service provider through each vesting date.</w:t>
      </w:r>
    </w:p>
    <w:p>
      <w:pPr>
        <w:spacing w:after="0" w:line="1" w:lineRule="exact"/>
        <w:rPr>
          <w:rFonts w:ascii="Arial" w:cs="Arial" w:eastAsia="Arial" w:hAnsi="Arial"/>
          <w:sz w:val="14"/>
          <w:szCs w:val="14"/>
          <w:color w:val="auto"/>
        </w:rPr>
      </w:pPr>
    </w:p>
    <w:p>
      <w:pPr>
        <w:ind w:left="332"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These securities are held of record by OrbiMed Genesis Master Fund, L.P. (“Genesis”). OrbiMed Genesis GP LLC (“Genesis GP”) is the general partner of Genesis. OrbiMed Advisors LLC (“OrbiMed Advisors”) is the managing member of Genesis GP. OrbiMed Advisors exercises investment and voting power through a management committee comprised of Carl L. Gordon, Sven H. Borho and Jonathan T. Silverstein. Each of Genesis GP and OrbiMed Advisors disclaims beneficial ownership of the shares held by Genesis, except to the extent of its or his pecuniary interest therein if any.</w:t>
      </w:r>
    </w:p>
    <w:p>
      <w:pPr>
        <w:spacing w:after="0" w:line="1" w:lineRule="exact"/>
        <w:rPr>
          <w:rFonts w:ascii="Arial" w:cs="Arial" w:eastAsia="Arial" w:hAnsi="Arial"/>
          <w:sz w:val="14"/>
          <w:szCs w:val="14"/>
          <w:color w:val="auto"/>
        </w:rPr>
      </w:pPr>
    </w:p>
    <w:p>
      <w:pPr>
        <w:ind w:left="332" w:right="340" w:hanging="332"/>
        <w:spacing w:after="0" w:line="241"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These securities are held of record by OrbiMed Partners Master Fund Limited (“OPM”). OrbiMed Capital LLC (“OrbiMed Capital”) is the sole investment advisor of OPM. OrbiMed Capital exercises investment and voting power through a management committee comprised of Carl L. Gordon, Sven H. Borho and Jonathan T. Silverstein. OrbiMed Capital disclaims beneficial ownership of the shares held by OPM, except to the extent of its or his pecuniary interest therein if any.</w:t>
      </w:r>
    </w:p>
    <w:p>
      <w:pPr>
        <w:spacing w:after="0" w:line="1" w:lineRule="exact"/>
        <w:rPr>
          <w:rFonts w:ascii="Arial" w:cs="Arial" w:eastAsia="Arial" w:hAnsi="Arial"/>
          <w:sz w:val="14"/>
          <w:szCs w:val="14"/>
          <w:color w:val="auto"/>
        </w:rPr>
      </w:pPr>
    </w:p>
    <w:p>
      <w:pPr>
        <w:ind w:left="332" w:right="60" w:hanging="332"/>
        <w:spacing w:after="0" w:line="246" w:lineRule="auto"/>
        <w:tabs>
          <w:tab w:leader="none" w:pos="329" w:val="left"/>
        </w:tabs>
        <w:numPr>
          <w:ilvl w:val="0"/>
          <w:numId w:val="85"/>
        </w:numPr>
        <w:rPr>
          <w:rFonts w:ascii="Arial" w:cs="Arial" w:eastAsia="Arial" w:hAnsi="Arial"/>
          <w:sz w:val="14"/>
          <w:szCs w:val="14"/>
          <w:color w:val="auto"/>
        </w:rPr>
      </w:pPr>
      <w:r>
        <w:rPr>
          <w:rFonts w:ascii="Arial" w:cs="Arial" w:eastAsia="Arial" w:hAnsi="Arial"/>
          <w:sz w:val="14"/>
          <w:szCs w:val="14"/>
          <w:color w:val="auto"/>
        </w:rPr>
        <w:t>Consists of (i) 20,479,892 shares of Common Stock directly owned by Dr. Mallick, (ii) 200,000 shares of Common Stock owned by The Dream Finder Foundation, as described in footnote 38 below, and (iii) 464,019 shares of Common Stock issuable upon exercise of options held by Dr. Mallick. . None of the 464,019 shares of Common Stock issuable upon exercise of options are exercisable within 60 days of June 30, 2021. 116,005 shares subject to the options vest on January 31, 2022 and 348,014 options to purchase shares of Common Stock vest monthly over 36 months thereafter, subject to Dr. Mallick’s continued service through each vesting date. If,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173355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42" w:name="page143"/>
    <w:bookmarkEnd w:id="142"/>
    <w:p>
      <w:pPr>
        <w:spacing w:after="0" w:line="139" w:lineRule="exact"/>
        <w:rPr>
          <w:sz w:val="20"/>
          <w:szCs w:val="20"/>
          <w:color w:val="auto"/>
        </w:rPr>
      </w:pPr>
    </w:p>
    <w:p>
      <w:pPr>
        <w:ind w:left="340" w:right="200"/>
        <w:spacing w:after="0" w:line="247" w:lineRule="auto"/>
        <w:rPr>
          <w:sz w:val="20"/>
          <w:szCs w:val="20"/>
          <w:color w:val="auto"/>
        </w:rPr>
      </w:pPr>
      <w:r>
        <w:rPr>
          <w:rFonts w:ascii="Arial" w:cs="Arial" w:eastAsia="Arial" w:hAnsi="Arial"/>
          <w:sz w:val="14"/>
          <w:szCs w:val="14"/>
          <w:color w:val="auto"/>
        </w:rPr>
        <w:t>beginning three months before a change in control through the one-year anniversary of a change in control, Dr. Mallick’s employment with the Company is terminated either (x) by the Company without cause, and excluding by reason of Dr. Mallick’s death or disability or (y) by Dr. Mallick for good reason, then 100% of any unvested shares shall immediately vest. Dr. Mallick is the Chief Scientist and a member of the board of directors of the Company.</w:t>
      </w:r>
    </w:p>
    <w:p>
      <w:pPr>
        <w:spacing w:after="0" w:line="1" w:lineRule="exact"/>
        <w:rPr>
          <w:sz w:val="20"/>
          <w:szCs w:val="20"/>
          <w:color w:val="auto"/>
        </w:rPr>
      </w:pPr>
    </w:p>
    <w:p>
      <w:pPr>
        <w:ind w:left="340" w:right="62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Perceptive Advisors LLC (“Perceptive”) is the investment advisor to Perceptive Life Sciences Master Fund, Ltd (the “Master Fund”). Joseph Edelman is the managing member of Perceptive. Perceptive and Mr. Edelman may be deemed to beneficially own the shares held by the Master Fund.</w:t>
      </w:r>
    </w:p>
    <w:p>
      <w:pPr>
        <w:ind w:left="340" w:right="18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Mr. Patel is the manager of PFV I, LLC (“PFV”) and as such has voting and investment control over the shares held by PFV. Mr. Patel is the President, Chief Executive Officer, Secretary and a member of the board of directors of the Company.</w:t>
      </w:r>
    </w:p>
    <w:p>
      <w:pPr>
        <w:ind w:left="340" w:right="20" w:hanging="332"/>
        <w:spacing w:after="0" w:line="260" w:lineRule="auto"/>
        <w:tabs>
          <w:tab w:leader="none" w:pos="337" w:val="left"/>
        </w:tabs>
        <w:numPr>
          <w:ilvl w:val="0"/>
          <w:numId w:val="86"/>
        </w:numPr>
        <w:rPr>
          <w:rFonts w:ascii="Arial" w:cs="Arial" w:eastAsia="Arial" w:hAnsi="Arial"/>
          <w:sz w:val="13"/>
          <w:szCs w:val="13"/>
          <w:color w:val="auto"/>
        </w:rPr>
      </w:pPr>
      <w:r>
        <w:rPr>
          <w:rFonts w:ascii="Arial" w:cs="Arial" w:eastAsia="Arial" w:hAnsi="Arial"/>
          <w:sz w:val="13"/>
          <w:szCs w:val="13"/>
          <w:color w:val="auto"/>
        </w:rPr>
        <w:t>RA Capital Management, L.P. is the investment manager for RA Capital Healthcare Fund, L.P. (“RACHF”). The general partner of RA Capital Management, L.P. is RA Capital Management GP, LLC, of which Peter Kolchinsky and Rajeev Shah are the managing members. Each of Mr. Kolchinsky and Mr. Shah may be deemed to have voting and investment power over the shares held by RACHF. Mr. Kolchinsky and Mr. Shah disclaim beneficial ownership of such shares, except to the extent of any pecuniary interest therein.</w:t>
      </w:r>
    </w:p>
    <w:p>
      <w:pPr>
        <w:ind w:left="340" w:right="14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Doron Breen is a director of Sphera Global Healthcare GP, Ltd., which is the general partner of Sphera Global Healthcare Management, LP, which is the general partner of Sphera Biotech GP, LP, which is the general partner of Sphera Biotech Master Fund, LP.</w:t>
      </w: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Doron Breen is a director of Sphera Global Healthcare Master Fund.</w:t>
      </w:r>
    </w:p>
    <w:p>
      <w:pPr>
        <w:spacing w:after="0" w:line="1" w:lineRule="exact"/>
        <w:rPr>
          <w:rFonts w:ascii="Arial" w:cs="Arial" w:eastAsia="Arial" w:hAnsi="Arial"/>
          <w:sz w:val="14"/>
          <w:szCs w:val="14"/>
          <w:color w:val="auto"/>
        </w:rPr>
      </w:pPr>
    </w:p>
    <w:p>
      <w:pPr>
        <w:ind w:left="340" w:hanging="332"/>
        <w:spacing w:after="0" w:line="260" w:lineRule="auto"/>
        <w:tabs>
          <w:tab w:leader="none" w:pos="337" w:val="left"/>
        </w:tabs>
        <w:numPr>
          <w:ilvl w:val="0"/>
          <w:numId w:val="86"/>
        </w:numPr>
        <w:rPr>
          <w:rFonts w:ascii="Arial" w:cs="Arial" w:eastAsia="Arial" w:hAnsi="Arial"/>
          <w:sz w:val="13"/>
          <w:szCs w:val="13"/>
          <w:color w:val="auto"/>
        </w:rPr>
      </w:pPr>
      <w:r>
        <w:rPr>
          <w:rFonts w:ascii="Arial" w:cs="Arial" w:eastAsia="Arial" w:hAnsi="Arial"/>
          <w:sz w:val="13"/>
          <w:szCs w:val="13"/>
          <w:color w:val="auto"/>
        </w:rPr>
        <w:t>Consists of (i) 9,864,388 shares of Common Stock directly owned by Mr. Patel (9,614,388 of which are registerd for resale under theis prospectus), (ii) 5,280,476 shares of Common Stock held by PFV, (iii) 1,814,035 shares of Common Stock held by the Patel Trust, and (iv) 788,833 shares of Common Stock issuable upon exercise of options held by Mr. Patel. None of the 788,833 shares of Common Stock issuable upon exercise of options are exercisable within 60 days of June 30, 2021. 197,208 options to purchase shares of Common Stock vest on January 31, 2022 and 591,625 options to purchase shares of Common Stock vest monthly over 36 months thereafter, subject to Mr. Patel’s continued service through each vesting date. If, during the period beginning three months before a change in control through the one-year anniversary of a change in control, Mr. Patel’s employment with the Company is terminated either (x) by the Company without cause, and excluding by reason of Mr. Patel’s death or disability or (y) by Mr. Patel for good reason, then 100% of any unvested shares shall immediately vest. Mr. Patel is the President, Chief Executive Officer, Secretary and a member of the board of directors of the Company.</w:t>
      </w:r>
    </w:p>
    <w:p>
      <w:pPr>
        <w:ind w:left="340" w:right="4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Mr. Patel is a trustee of the Sujal Patel 2020 Children’s Trust, u/a/d December 3, 2020 (the “Patel Trust”) and as such has voting and investment control over the shares held by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 Mr. Patel is the President, Chief Executive Officer, Secretary and a member of the board of directors of the Company.</w:t>
      </w:r>
    </w:p>
    <w:p>
      <w:pPr>
        <w:spacing w:after="0" w:line="1" w:lineRule="exact"/>
        <w:rPr>
          <w:rFonts w:ascii="Arial" w:cs="Arial" w:eastAsia="Arial" w:hAnsi="Arial"/>
          <w:sz w:val="14"/>
          <w:szCs w:val="14"/>
          <w:color w:val="auto"/>
        </w:rPr>
      </w:pPr>
    </w:p>
    <w:p>
      <w:pPr>
        <w:ind w:left="340" w:right="80" w:hanging="332"/>
        <w:spacing w:after="0" w:line="260" w:lineRule="auto"/>
        <w:tabs>
          <w:tab w:leader="none" w:pos="337" w:val="left"/>
        </w:tabs>
        <w:numPr>
          <w:ilvl w:val="0"/>
          <w:numId w:val="86"/>
        </w:numPr>
        <w:rPr>
          <w:rFonts w:ascii="Arial" w:cs="Arial" w:eastAsia="Arial" w:hAnsi="Arial"/>
          <w:sz w:val="13"/>
          <w:szCs w:val="13"/>
          <w:color w:val="auto"/>
        </w:rPr>
      </w:pPr>
      <w:r>
        <w:rPr>
          <w:rFonts w:ascii="Arial" w:cs="Arial" w:eastAsia="Arial" w:hAnsi="Arial"/>
          <w:sz w:val="13"/>
          <w:szCs w:val="13"/>
          <w:color w:val="auto"/>
        </w:rPr>
        <w:t>VCVC Management V LLC (“VCVC Management”) serves as the Manager of VCVC V LLC (“VCVC”) and Cougar Investment Holdings LLC (“Cougar”) serves as the Managing Member of VCVC Management. VCHC Management LLC (“Vulcan Capital Management”) serves as the Manager of Vulcan Capital Holdings Columbia LLC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Stuart Nagae, an affiliate of Vulcan Capital, was a member of the board of directors of Legacy Nautilus until June 9, 2021.</w:t>
      </w:r>
    </w:p>
    <w:p>
      <w:pPr>
        <w:ind w:left="340" w:right="12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Consists of 36,280 shares of Common Stock issuable upon exercise of options held by Mr. Pande. None of the 36,280 shares of Common Stock issuable upon exercise of options are exercisable within 60 days of June 30, 2021. One hundred percent (100%) of the options to purchase shares of Common Stock vest on the earlier of (a) January 31, 2022 and (b) the day immediately before the date of the Company’s next annual meeting of stockholders, subject to Mr. Pande’s continued status as a service provider through such vesting date. Mr. Pande has no voting or investment control over the shares held by entities affiliated with Andreessen Horowitz that are included in footnotes 1 and 5. Mr. Pande is a member of the board of directors of the Company.</w:t>
      </w:r>
    </w:p>
    <w:p>
      <w:pPr>
        <w:spacing w:after="0" w:line="1" w:lineRule="exact"/>
        <w:rPr>
          <w:rFonts w:ascii="Arial" w:cs="Arial" w:eastAsia="Arial" w:hAnsi="Arial"/>
          <w:sz w:val="14"/>
          <w:szCs w:val="14"/>
          <w:color w:val="auto"/>
        </w:rPr>
      </w:pPr>
    </w:p>
    <w:p>
      <w:pPr>
        <w:ind w:left="34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WS Investment Management Company, a California corporation (“WSIMCo.”) is the Manager of WS Investment Company, LLC (“WS”) and has sole voting and dispositive power with respect to the shares held by WS. The managing members of WSIMCo. are Mario Rosati, Robert Latta, Donald Bradley and James Terranova. By virtue of these relationships, the managing members may be deemed to have voting and investment power over the shares held by WS.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 selling securityholder was a member of the board of directors of ARYA Sciences Acquisition Corp III prior to the consummation of the Business Combination.</w:t>
      </w:r>
    </w:p>
    <w:p>
      <w:pPr>
        <w:spacing w:after="0" w:line="1" w:lineRule="exact"/>
        <w:rPr>
          <w:rFonts w:ascii="Arial" w:cs="Arial" w:eastAsia="Arial" w:hAnsi="Arial"/>
          <w:sz w:val="14"/>
          <w:szCs w:val="14"/>
          <w:color w:val="auto"/>
        </w:rPr>
      </w:pPr>
    </w:p>
    <w:p>
      <w:pPr>
        <w:ind w:left="340" w:right="160" w:hanging="332"/>
        <w:spacing w:after="0" w:line="241" w:lineRule="auto"/>
        <w:tabs>
          <w:tab w:leader="none" w:pos="337" w:val="left"/>
        </w:tabs>
        <w:numPr>
          <w:ilvl w:val="0"/>
          <w:numId w:val="86"/>
        </w:numPr>
        <w:rPr>
          <w:rFonts w:ascii="Arial" w:cs="Arial" w:eastAsia="Arial" w:hAnsi="Arial"/>
          <w:sz w:val="14"/>
          <w:szCs w:val="14"/>
          <w:color w:val="auto"/>
        </w:rPr>
      </w:pPr>
      <w:r>
        <w:rPr>
          <w:rFonts w:ascii="Arial" w:cs="Arial" w:eastAsia="Arial" w:hAnsi="Arial"/>
          <w:sz w:val="14"/>
          <w:szCs w:val="14"/>
          <w:color w:val="auto"/>
        </w:rPr>
        <w:t>Dr. Mallick has voting and investment control over the shares held by The Dream Finder Foundation. Dr. Mallick disclaims, for purposes of Section 16 of the Securities Exchange Act of 1934, beneficial ownership of the securities held by The Dream Finder Foundation, except to the extent of any pecuniary interest therein, and this report shall not be deemed an admission that Dr. Mallick is the beneficial owner of such securities for purposes of Section 16 or for any other purposes. Dr. Mallick is the Chief Scientist and a member of the board of directors of the Company.</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Jesus A Zavaleta III, custodian, has the power to vote and dispose of the common shares being registered on behalf of Janhavi Amrita Singhal UTMA/TX.</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86"/>
        </w:numPr>
        <w:rPr>
          <w:rFonts w:ascii="Arial" w:cs="Arial" w:eastAsia="Arial" w:hAnsi="Arial"/>
          <w:sz w:val="14"/>
          <w:szCs w:val="14"/>
          <w:color w:val="auto"/>
        </w:rPr>
      </w:pPr>
      <w:r>
        <w:rPr>
          <w:rFonts w:ascii="Arial" w:cs="Arial" w:eastAsia="Arial" w:hAnsi="Arial"/>
          <w:sz w:val="14"/>
          <w:szCs w:val="14"/>
          <w:color w:val="auto"/>
        </w:rPr>
        <w:t>Jesus A Zavaleta III, custodian, has the power to vote and dispose of the common shares being registered on behalf of Jaya Nirmala Singhal UTMA/TX.</w:t>
      </w:r>
    </w:p>
    <w:p>
      <w:pPr>
        <w:spacing w:after="0" w:line="398"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Please see the sections titled “Management,” “Executive Compensation” and “Certain Relationships, Related Party and Other Transactions” appearing elsewhere in this prospectus for information regarding material relationships with our selling securityholders within the past two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3" w:name="page144"/>
    <w:bookmarkEnd w:id="14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summary of certain provisions of our securities does not purport to be complete and is subject to our Certificate of Incorporation, our Bylaws and the provisions of applicable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authorized capital stock consists of 1,000,000,000 shares of our Common Stock, par value $0.0001 per share, and 200,000,000 shares of our Preferred Stock, par value $0.0001 per share. As of January 31, 2022, we have 124,425,923 shares of our Common Stock outstanding.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summary describes all material provisions of our capital stock.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w:t>
      </w:r>
    </w:p>
    <w:p>
      <w:pPr>
        <w:spacing w:after="0" w:line="17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b w:val="1"/>
          <w:bCs w:val="1"/>
          <w:i w:val="1"/>
          <w:iCs w:val="1"/>
          <w:color w:val="auto"/>
        </w:rPr>
        <w:t>Voting rights</w:t>
      </w:r>
      <w:r>
        <w:rPr>
          <w:rFonts w:ascii="Arial" w:cs="Arial" w:eastAsia="Arial" w:hAnsi="Arial"/>
          <w:sz w:val="16"/>
          <w:szCs w:val="16"/>
          <w:color w:val="auto"/>
        </w:rPr>
        <w:t>. Each share of our Common Stock is entitled to one vote per share on all matters (including the election of directors) submitted to a vote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stockholders, unless otherwise required by law or our certificate of incorporation. Our Certificate of Incorporation and our Bylaws do not provide for cumulative voting rights. Our directors are elected by plurality vote of the shares of our Common Stock present at an annual meeting and entitled to vote.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12"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b w:val="1"/>
          <w:bCs w:val="1"/>
          <w:i w:val="1"/>
          <w:iCs w:val="1"/>
          <w:color w:val="auto"/>
        </w:rPr>
        <w:t>Dividend rights</w:t>
      </w:r>
      <w:r>
        <w:rPr>
          <w:rFonts w:ascii="Arial" w:cs="Arial" w:eastAsia="Arial" w:hAnsi="Arial"/>
          <w:sz w:val="17"/>
          <w:szCs w:val="17"/>
          <w:color w:val="auto"/>
        </w:rPr>
        <w:t>. Subject to preferences that may be applicable to any then-outstanding preferred stock, holders of our Common Stock are entitled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receive dividends, if any, as may be declared from time to time by our board of directors out of legally available funds.</w:t>
      </w:r>
    </w:p>
    <w:p>
      <w:pPr>
        <w:spacing w:after="0" w:line="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color w:val="auto"/>
        </w:rPr>
        <w:t>. Upon a liquidation event, holders of our Common Stock are entitled to share ratably in the net assets legally available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to stockholders after the payment of all of our debts and other liabilities and the satisfaction of any liquidation preference granted to the holders of any then-outstanding shares of preferred stock.</w:t>
      </w:r>
    </w:p>
    <w:p>
      <w:pPr>
        <w:spacing w:after="0" w:line="130"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Other rights</w:t>
      </w:r>
      <w:r>
        <w:rPr>
          <w:rFonts w:ascii="Arial" w:cs="Arial" w:eastAsia="Arial" w:hAnsi="Arial"/>
          <w:sz w:val="17"/>
          <w:szCs w:val="17"/>
          <w:color w:val="auto"/>
        </w:rPr>
        <w:t>. Holders of our Common Stock have no preemptive, conversion, subscription or other rights, and there are no redemption or sinking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provisions applicable to our Common Stock. The rights, preferences and privileges of the holders of our Common Stock are subject to, and may be adversely affected by, the rights of the holders of shares of any series of preferred stock that we may designate in the future.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Our board of directors has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our Common Stock. The issuance of preferred stock could adversely affect the voting power of holders of our Common Stock and the likelihood that such holders will receive dividend payments and payments upon liquidation. In addition, the issuance of preferred stock could have the effect of delaying, deferring or preventing a change in control of our company or other corporate action. As of January 31, 2022, there are no shares of preferred stock outstanding, and we have no present plan to issue any shares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 and Vacancies; Board of Directors</w:t>
      </w:r>
    </w:p>
    <w:p>
      <w:pPr>
        <w:spacing w:after="0" w:line="17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Subject to the rights of the holders of any series of Preferred Stock to elect additional directors under specified circumstances, the number of directors of our board of directors shall be fixed solely and exclusively by resolution duly adopted from time to time by our board of directors, but currently consists of eight (8) directors, which are divided into three (3) classes, designated Class I, II and III, with each class consisting of three (3) directors. Under our Bylaws, at all meetings of stockholders called for the election of directors, directors shall be elected by a plurality of the voting power of the shares present in person or represented by proxy at the meeting and entitled to vote on the election of directors. All directors are elected to hold office until the expiration of the term for which they are elected and until their successors have been duly elected and qualified or until their earlier resignation or removal.</w:t>
      </w:r>
    </w:p>
    <w:p>
      <w:pPr>
        <w:spacing w:after="0" w:line="11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Except as the DGCL may otherwise require and subject to the rights, if any, of the holders of any series of our Preferred Stock, newly created directorships resulting from any increase in the number of directors and any vacancies on our board of directors resulting from death, resignation, disqualification, removal or other cause shall be filled only by the affirmative vote of a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spacing w:after="0" w:line="12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Subject to the rights, if any, of any series our Preferred Stock, any director or our entire board of directors may be removed from office at any time, but only for cause and only by the affirmative vote of the holders of at least 66 2/3% of the voting power of our issued and outstanding capital stock entitled to vote in the election of directors.</w:t>
      </w:r>
    </w:p>
    <w:p>
      <w:pPr>
        <w:spacing w:after="0" w:line="1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addition to the powers and authority expressly conferred upon them by statute or by our Certificate of Incorporation or our Bylaws, the directors are empowered to exercise all such powers and do all such acts and things as may be exercised or done by us, subject, nevertheless, to the provisions of the DGCL, our Certificate of Incorporation and our Bylaws adopted and in effect from time to time; provided, however, that no Bylaw adopted, amended, altered or repealed after the date of our Bylaws will invalidate any prior act of our directors or officers which would have been valid if such Bylaw had not been adopted, amended, altered or repealed.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5"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holders of a majority of the voting power of the capital stock issued and outstanding and entitled to vote thereat, present in person or represented by proxy, will constitute a quorum at all meetings of the stockholders for the transaction of business.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our Certificate of Incorporation or our Bylaws, each as amended from time to time.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Our Certificate of Incorporation and Our Bylaws</w:t>
      </w:r>
    </w:p>
    <w:p>
      <w:pPr>
        <w:spacing w:after="0" w:line="175"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Our Certificate of Incorporation and Bylaws contain provisions that may delay, defer or discourage another party from acquiring control of us. We expect that these provisions, which are summarized below, may discourage coercive takeover practices or inadequate takeover bids. These provisions are also designed to encourage persons seeking to acquire control of us to first negotiate with our board of directors, which we believe may result in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improvement of the terms of any such acquisition in favor of our stockholders. However, they also give our board of directors the power to discourage acquisitions that some stockholders may favor.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Delaware law does not require stockholder approval for any issuance of authorized shares. However, the listing requirements of Nasdaq, which would apply if and so long as our Common Stock remains listed on Nasdaq, require stockholder approval of certain issuances equal to or exceeding 20% of the then outstanding voting power or then outstanding number of shares of our Common Stock. Additional shares that may be issued in the future may be used for a variety of corporate purposes, including future public offerings, to raise additional capital or to facilitate acquisitions.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One of the effects of the existence of unissued and unreserved common stock may be to enable our board of directors to issue shares to persons friendly to our management, which issuance could render more difficult or discourage an attempt to obtain control of us by means of a merger, tender offer, proxy contest or otherwise and thereby protect the continuity of our management and possibly deprive stockholders of opportunities to sell their shares of our Common Stock at prices higher than prevailing market prices.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Action by Written Consent and Advance Notice Requirements for Stockholder Proposals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Unless otherwise required by law, and subject to the rights, if any, of the holders of any series of our Preferred Stock, special meetings of our stockholders may be called only by the Chairperson of our board of directors, our Chief Executive Officer, our President, or our board of directors acting pursuant to a resolution adopted by a majority of our board of directors. Unless otherwise required by law, written notice of a special meeting of stockholders, stating the time, place and purpose or purposes thereof, shall be given to each stockholder entitled to vote at such meeting, not less than ten (10) or more than sixty</w:t>
      </w:r>
    </w:p>
    <w:p>
      <w:pPr>
        <w:spacing w:after="0" w:line="1" w:lineRule="exact"/>
        <w:rPr>
          <w:sz w:val="20"/>
          <w:szCs w:val="20"/>
          <w:color w:val="auto"/>
        </w:rPr>
      </w:pPr>
    </w:p>
    <w:p>
      <w:pPr>
        <w:ind w:right="400" w:firstLine="8"/>
        <w:spacing w:after="0" w:line="260" w:lineRule="auto"/>
        <w:tabs>
          <w:tab w:leader="none" w:pos="3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days before the date fixed for the meeting. Business transacted at any special meeting of stockholders will be limited to the purposes stated in the notice.</w:t>
      </w:r>
    </w:p>
    <w:p>
      <w:pPr>
        <w:spacing w:after="0" w:line="13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Bylaws also provide that unless otherwise restricted by our Certificate of Incorporation or our Bylaws, any action required or permitted to be taken at any meeting of our board of directors or of any committee thereof may be taken without a meeting, if all members of our board of directors or of such committee, as the case may be, consent thereto in writing or by electronic transmission.</w:t>
      </w:r>
    </w:p>
    <w:p>
      <w:pPr>
        <w:spacing w:after="0" w:line="13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our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our board of directors, or by a stockholder of record on the record date for the meeting, who is entitled to vote at the meeting and who has delivered a timely written notice in proper form to our secretary, of the stockholder’s intention to bring such business before the meeting.</w:t>
      </w:r>
    </w:p>
    <w:p>
      <w:pPr>
        <w:spacing w:after="0" w:line="13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our outstanding voting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 and Bylaws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30"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Our Certificate of Incorporation will provide that the following provisions therein may be amended, altered, repealed or rescinded only by the affirmative vote of the holders of at least 66 2/3% in voting power of all the then outstanding shares of our stock entitled to vote thereon and the affirmative vote of at least 66 2/3% of the then outstanding voting securities of the Company, voting together as a single class:</w:t>
      </w:r>
    </w:p>
    <w:p>
      <w:pPr>
        <w:spacing w:after="0" w:line="130" w:lineRule="exact"/>
        <w:rPr>
          <w:sz w:val="20"/>
          <w:szCs w:val="20"/>
          <w:color w:val="auto"/>
        </w:rPr>
      </w:pPr>
    </w:p>
    <w:p>
      <w:pPr>
        <w:ind w:left="660" w:right="320" w:hanging="328"/>
        <w:spacing w:after="0" w:line="277" w:lineRule="auto"/>
        <w:tabs>
          <w:tab w:leader="none" w:pos="655"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provisions authorizing our board of directors to issues shares of our Preferred Stock, with any rights, preferences or privileges as they may designate;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6" w:name="page147"/>
    <w:bookmarkEnd w:id="146"/>
    <w:p>
      <w:pPr>
        <w:spacing w:after="0" w:line="144"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dividing our board of directors into three classes, each of which stands for election once every three years;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providing that a director may only be removed from our board of directors for cause only by the affirmative vote of the holders of at least 66 2/3% of the voting power of our issued and outstanding capital stock entitled to vote in the election of directors;</w:t>
      </w:r>
    </w:p>
    <w:p>
      <w:pPr>
        <w:spacing w:after="0" w:line="116"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providing that all vacancies, including newly created directorships, may, except as otherwise required by law, be filled by the affirmative vote of a majority of directors then in office, even if less than a quorum;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prohibiting cumulative voting;</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requiring that any action to be taken by our stockholders must be effected at a duly called annual or special meeting of stockholders and not be taken by written consent;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provisions regarding notice of stockholder nominations for the election of directors and of business to be brought by stockholders before any meeting of our stockholders;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provision regarding the approval requirements for such amendments;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Bylaws may be amended or repealed (A) by the affirmative vote of a majority of our entire board of directors then in office (subject to any bylaw requiring the affirmative vote of a larger percentage of the members of our board of directors) or (B) by our stockholders, provided that the affirmative vote of the holders of at least 66 2/3% of the total voting power of outstanding voting securities, voting together as a single class, shall be required for our stockholders to alter, amend or repeal, or adopt certain provisions of our Bylaws.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7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We are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our board of directors or holders of 66 2/3%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Certificate of Incorporation limits the liability of our directors to the fullest extent permitted by the DGCL, and our Bylaws provide that we will indemnify them to the fullest extent permitted by such law. We have entered into indemnification agreements with our directors and officers and we expect to continue to enter into agreements to indemnify our directors, executive officers and other employees as determined by our board of directors. Under the terms of such indemnification agreements, we will be required to indemnify each of its directors and officers, to the fullest extent permitted by the laws of the state of Delaware, if the basis of the indemnitee’s involvement was by reason of the fact that the indemnitee is or was a director or officer of us or any of our subsidiaries or was serving at our request in an official capacity for another entity. Any claims for indemnification by our directors and officers may reduce our available funds to satisfy successful third-party claims against it and may reduce the amount of money available to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47" w:name="page148"/>
    <w:bookmarkEnd w:id="14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 of Certain Actions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w:t>
      </w:r>
    </w:p>
    <w:p>
      <w:pPr>
        <w:spacing w:after="0" w:line="1" w:lineRule="exact"/>
        <w:rPr>
          <w:sz w:val="20"/>
          <w:szCs w:val="20"/>
          <w:color w:val="auto"/>
        </w:rPr>
      </w:pPr>
    </w:p>
    <w:p>
      <w:pPr>
        <w:ind w:firstLine="8"/>
        <w:spacing w:after="0" w:line="271" w:lineRule="auto"/>
        <w:tabs>
          <w:tab w:leader="none" w:pos="315" w:val="left"/>
        </w:tabs>
        <w:numPr>
          <w:ilvl w:val="0"/>
          <w:numId w:val="90"/>
        </w:numPr>
        <w:rPr>
          <w:rFonts w:ascii="Arial" w:cs="Arial" w:eastAsia="Arial" w:hAnsi="Arial"/>
          <w:sz w:val="17"/>
          <w:szCs w:val="17"/>
          <w:color w:val="auto"/>
        </w:rPr>
      </w:pPr>
      <w:r>
        <w:rPr>
          <w:rFonts w:ascii="Arial" w:cs="Arial" w:eastAsia="Arial" w:hAnsi="Arial"/>
          <w:sz w:val="17"/>
          <w:szCs w:val="17"/>
          <w:color w:val="auto"/>
        </w:rPr>
        <w:t>any action arising pursuant to any provision of the Delaware General Corporation Law or our Certificate of Incorporation or our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we give an Alternative Forum Consent, the federal district courts of the United States shall be the sole and exclusive forum for resolving any action asserting a claim arising under the Securities Act of 1933.</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our Common Stock is Continental Stock Transfer &amp; Trust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Listing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Nasdaq under the symbol “NAUT.”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48" w:name="page149"/>
    <w:bookmarkEnd w:id="148"/>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PLAN OF DISTRIBUTION</w:t>
      </w:r>
    </w:p>
    <w:p>
      <w:pPr>
        <w:spacing w:after="0" w:line="175"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We are registering the Securities covered by this prospectus to permit the selling securityholders to conduct public secondary trading of these Securities from time to time after the date of this prospectus. We will not receive any of the proceeds of the sale of the Securities offered by this prospectus. The aggregate proceeds to the selling securityholders from the sale of the Securities will be the purchase price of the Securities less any discounts and commissions. We will not pay any brokers’ or underwriters’ discounts and commissions in connection with the registration and sale of the Securities covered by this prospectus. The selling securityholders reserve the right to accept and, together with their respective agents, to reject, any proposed purchases of Securities to be made directly or through agents.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offered by this prospectus may be sold from time to time to purchasers:</w:t>
      </w:r>
    </w:p>
    <w:p>
      <w:pPr>
        <w:spacing w:after="0" w:line="171" w:lineRule="exact"/>
        <w:rPr>
          <w:sz w:val="20"/>
          <w:szCs w:val="20"/>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directly by the selling securityholders;</w:t>
      </w:r>
    </w:p>
    <w:p>
      <w:pPr>
        <w:spacing w:after="0" w:line="171" w:lineRule="exact"/>
        <w:rPr>
          <w:rFonts w:ascii="Arial" w:cs="Arial" w:eastAsia="Arial" w:hAnsi="Arial"/>
          <w:sz w:val="18"/>
          <w:szCs w:val="18"/>
          <w:color w:val="auto"/>
        </w:rPr>
      </w:pPr>
    </w:p>
    <w:p>
      <w:pPr>
        <w:ind w:left="660" w:right="320" w:hanging="328"/>
        <w:spacing w:after="0" w:line="277" w:lineRule="auto"/>
        <w:tabs>
          <w:tab w:leader="none" w:pos="655"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underwriters, broker-dealers or agents, who may receive compensation in the form of discounts, commissions or agent’s commissions from the selling securityholders or the purchasers of the Securities;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Any underwriters, broker-dealers or agents who participate in the sale or distribution of the Securities may be deemed to be “underwriters”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prospectus available to the selling securityholders for the purpose of satisfying the prospectus delivery requirements of the Securities Act. To our knowledge, there are currently no plans, arrangements or understandings between the selling securityholders and any underwriter, broker-dealer or agent regarding the sale of the Securities by the selling securityholders.</w:t>
      </w:r>
    </w:p>
    <w:p>
      <w:pPr>
        <w:spacing w:after="0" w:line="123"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The term “selling securityholders” includes donees, pledgees, transferees or other successors-in-interest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The Securities may be sold in one or more transactions at:</w:t>
      </w:r>
    </w:p>
    <w:p>
      <w:pPr>
        <w:spacing w:after="0" w:line="95" w:lineRule="exact"/>
        <w:rPr>
          <w:sz w:val="20"/>
          <w:szCs w:val="20"/>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fixed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prevailing market prices at the time of sale;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prices related to such prevailing market prices;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varying prices determined at the time of sale;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sales may be effected in one or more transactions:</w:t>
      </w:r>
    </w:p>
    <w:p>
      <w:pPr>
        <w:spacing w:after="0" w:line="171"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on any national securities exchange or quotation service on which the Securities may be listed or quoted at the time of sale, including Nasdaq;</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transactions otherwise than on such exchanges or services or in the over-the-counter market;</w:t>
      </w:r>
    </w:p>
    <w:p>
      <w:pPr>
        <w:spacing w:after="0" w:line="171" w:lineRule="exact"/>
        <w:rPr>
          <w:rFonts w:ascii="Arial" w:cs="Arial" w:eastAsia="Arial" w:hAnsi="Arial"/>
          <w:sz w:val="18"/>
          <w:szCs w:val="18"/>
          <w:color w:val="auto"/>
        </w:rPr>
      </w:pPr>
    </w:p>
    <w:p>
      <w:pPr>
        <w:jc w:val="both"/>
        <w:ind w:left="660" w:right="40" w:hanging="328"/>
        <w:spacing w:after="0" w:line="263" w:lineRule="auto"/>
        <w:tabs>
          <w:tab w:leader="none" w:pos="655"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through trading plans entered into by the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9" w:name="page150"/>
    <w:bookmarkEnd w:id="149"/>
    <w:p>
      <w:pPr>
        <w:spacing w:after="0" w:line="144" w:lineRule="exact"/>
        <w:rPr>
          <w:sz w:val="20"/>
          <w:szCs w:val="20"/>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through one or more underwritten offerings on a firm commitment or best efforts basis;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settlement of short sales entered into after the date of this prospectus;</w:t>
      </w:r>
    </w:p>
    <w:p>
      <w:pPr>
        <w:spacing w:after="0" w:line="171" w:lineRule="exact"/>
        <w:rPr>
          <w:rFonts w:ascii="Arial" w:cs="Arial" w:eastAsia="Arial" w:hAnsi="Arial"/>
          <w:sz w:val="18"/>
          <w:szCs w:val="18"/>
          <w:color w:val="auto"/>
        </w:rPr>
      </w:pPr>
    </w:p>
    <w:p>
      <w:pPr>
        <w:ind w:left="320" w:hanging="312"/>
        <w:spacing w:after="0"/>
        <w:tabs>
          <w:tab w:leader="none" w:pos="3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agreements with broker-dealers to sell a specified number of the securities at a stipulated price per share;</w:t>
      </w:r>
    </w:p>
    <w:p>
      <w:pPr>
        <w:spacing w:after="0" w:line="171" w:lineRule="exact"/>
        <w:rPr>
          <w:rFonts w:ascii="Arial" w:cs="Arial" w:eastAsia="Arial" w:hAnsi="Arial"/>
          <w:sz w:val="18"/>
          <w:szCs w:val="18"/>
          <w:color w:val="auto"/>
        </w:rPr>
      </w:pPr>
    </w:p>
    <w:p>
      <w:pPr>
        <w:ind w:left="660" w:right="340" w:hanging="328"/>
        <w:spacing w:after="0" w:line="263" w:lineRule="auto"/>
        <w:tabs>
          <w:tab w:leader="none" w:pos="655"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privately negotiated transactions;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options or other hedging transactions, whether through an options exchange or otherwise;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in distributions to members, limited partners or stockholders of selling securityholders;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any other method permitted by applicable law;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94"/>
        </w:numPr>
        <w:rPr>
          <w:rFonts w:ascii="Arial" w:cs="Arial" w:eastAsia="Arial" w:hAnsi="Arial"/>
          <w:sz w:val="18"/>
          <w:szCs w:val="18"/>
          <w:color w:val="auto"/>
        </w:rPr>
      </w:pPr>
      <w:r>
        <w:rPr>
          <w:rFonts w:ascii="Arial" w:cs="Arial" w:eastAsia="Arial" w:hAnsi="Arial"/>
          <w:sz w:val="18"/>
          <w:szCs w:val="18"/>
          <w:color w:val="auto"/>
        </w:rPr>
        <w:t>through any combination of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These transactions may include block transactions or crosses. Crosses are transactions in which the same broker acts as an agent on both sides of the trade.</w:t>
      </w:r>
    </w:p>
    <w:p>
      <w:pPr>
        <w:spacing w:after="0" w:line="194"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the Securities offered by this prospectus, which Securities such broker-dealer or other financial institution may resell pursuant to this prospectus (as supplemented or amended to reflect such transaction). The selling securityholders may also pledge the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11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 selling securityholder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the Securities covered by this prospectus and the applicable prospectus supplement, including in short sale transactions. If so, the third party may use securities pledged by any selling securityholder or borrowed from any selling securityholder or others to settle those sales or to close out any related open borrowings of stock, and may use securities received from any selling securityholder in settlement of those derivatives to close out any related open borrowings of stock. The third party in such sale transactions will be an underwriter and will be identified in the applicable prospectus supplement (or a post-effective amendment). In addition, any selling securityholder may otherwise loan or pledge the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127" w:lineRule="exact"/>
        <w:rPr>
          <w:sz w:val="20"/>
          <w:szCs w:val="20"/>
          <w:color w:val="auto"/>
        </w:rPr>
      </w:pPr>
    </w:p>
    <w:p>
      <w:pPr>
        <w:ind w:right="320"/>
        <w:spacing w:after="0" w:line="257" w:lineRule="auto"/>
        <w:rPr>
          <w:sz w:val="20"/>
          <w:szCs w:val="20"/>
          <w:color w:val="auto"/>
        </w:rPr>
      </w:pPr>
      <w:r>
        <w:rPr>
          <w:rFonts w:ascii="Arial" w:cs="Arial" w:eastAsia="Arial" w:hAnsi="Arial"/>
          <w:sz w:val="18"/>
          <w:szCs w:val="18"/>
          <w:color w:val="auto"/>
        </w:rPr>
        <w:t>At the time a particular offering of the Securities is made, a prospectus supplement, if required, will be distributed, which will set forth the name of the selling securityholders, the aggregate amount of Securities being offered and the terms of the offering, including, to the extent required, (1) the name or names of any underwriters, broker-dealers or agents, (2) any discounts, commissions and other terms constituting compensation from the selling securityholders and (3) any discounts, commissions or concessions allowed or reallowed to be paid to broker-dealers. We may suspend the sale of Securities by the selling securityholders pursuant to this prospectus for 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0" w:name="page151"/>
    <w:bookmarkEnd w:id="150"/>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periods of time for certain reasons, including if the prospectus is required to be supplemented or amended to include additional material information.</w:t>
      </w:r>
    </w:p>
    <w:p>
      <w:pPr>
        <w:spacing w:after="0" w:line="18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selling securityholders will act independently of us in making decisions with respect to the timing, manner, and size of each resale or other transfer. There can be no assurance that the selling securityholders will sell any or all of the Securities under this prospectus. Further, we cannot assure you that the selling securityholders will not transfer, distribute, devise or gift the Securities by other means not described in this prospectus. In addition, any Securities covered by this prospectus that qualify for sale under Rule 144 of the Securities Act may be sold under Rule 144 rather than under this prospectus. The Securities may be sold in some states only through registered or licensed brokers or dealers. In addition, in some states the Securities may not be sold unless they have been registered or qualified for sale or an exemption from registration or qualification is available and complied with.</w:t>
      </w:r>
    </w:p>
    <w:p>
      <w:pPr>
        <w:spacing w:after="0" w:line="1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selling securityholders and any other person participating in the sale of the Securities will be subject to the Exchange Act. The Exchange Act rules include, without limitation, Regulation M, which may limit the timing of purchases and sales of any of the Securities by the selling securityholders and any other person. In addition, Regulation M may restrict the ability of any person engaged in the distribution of the Securities to engage in market-making activities with respect to the particular securities being distributed. This may affect the marketability of the Securities and the ability of any person or entity to engage in market-making activities with respect to the Securities.</w:t>
      </w:r>
    </w:p>
    <w:p>
      <w:pPr>
        <w:spacing w:after="0" w:line="13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selling securityholders may, from time to time, pledge or grant a security interest in some shares of the Securities owned by them and, if a selling securityholder defaults in the performance of its secured obligations, the pledgees or secured parties may offer and sell such shares of the Securities, from time to time, under this prospectus, or under an amendment or supplement to this prospectus amending the list of the selling securityholders to include the pledgee, transferee or other successors in interest as the selling securityholders under this prospectus. The selling securityholders also may transfer shares of the Securities in other circumstances, in which case the transferees, pledgees or other successors in interest will be the selling beneficial owners for purposes of this prospectus.</w:t>
      </w:r>
    </w:p>
    <w:p>
      <w:pPr>
        <w:spacing w:after="0" w:line="13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selling securityholder that is an entity may elect to make an in-kind distribution of the Securities to its members, partners or shareholders pursuant to the registration statement of which this prospectus is a part by delivering a prospectus. To the extent that such members, partners or shareholders are not affiliates of ours, such members, partners or stockholders would thereby receive freely tradable shares of the Securities pursuant to the distribution through a registration statement.</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With respect to those Securities being registered pursuant to the Registration Rights Agreement, we have agreed to indemnify or provide contribution to the selling securityholders and all of their officers, directors and control persons, as applicable, and certain underwriters effecting sales of the Securities against certain liabilities, including certain liabilities under the Securities Act. The selling securityholders have agreed to indemnify us in certain circumstances against certain liabilities, including certain liabilities under the Securities Act. The selling securityholders may indemnify any broker or underwriter that participates in transactions involving the sale of the Securities against certain liabilities, including liabilities arising under the Securities Act.</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For additional information regarding expenses of registration, see the section titled “</w:t>
      </w:r>
      <w:r>
        <w:rPr>
          <w:rFonts w:ascii="Arial" w:cs="Arial" w:eastAsia="Arial" w:hAnsi="Arial"/>
          <w:sz w:val="17"/>
          <w:szCs w:val="17"/>
          <w:i w:val="1"/>
          <w:iCs w:val="1"/>
          <w:color w:val="auto"/>
        </w:rPr>
        <w:t>Use of Proceeds</w:t>
      </w:r>
      <w:r>
        <w:rPr>
          <w:rFonts w:ascii="Arial" w:cs="Arial" w:eastAsia="Arial" w:hAnsi="Arial"/>
          <w:sz w:val="17"/>
          <w:szCs w:val="17"/>
          <w:color w:val="auto"/>
        </w:rPr>
        <w:t>” appearing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51" w:name="page152"/>
    <w:bookmarkEnd w:id="151"/>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The validity of the Securities offered hereby has been passed upon for us by Wilson Sonsini Goodrich &amp; Rosati, Professional Corporation, Palo Alto, California. Certain members of, and investment partnerships comprised of members of, and persons associated with, Wilson Sonsini Goodrich &amp; Rosati, Professional Corporation, directly or indirectly own less than 0.3% of the outstanding shares of our common stock.</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financial statements as of December 31, 2021 and 2020 and for each of the two years in the period ended December 31, 2021 included in this Prospectus have been so included in reliance on the report of PricewaterhouseCoopers LLP (“PwC”), an independent registered public accounting firm, given on the authority of said firm as experts in auditing and accounting.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Certifying Accountant</w:t>
      </w:r>
    </w:p>
    <w:p>
      <w:pPr>
        <w:spacing w:after="0" w:line="17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On June 9, 2021, the audit committee of our board of directors approved a resolution appointing PwC as New Nautilus’ independent registered public accounting firm to audit New Nautilus’ consolidated financial statements for the fiscal year ending December 31, 2021. PwC served as the independent registered public accounting firm of Legacy Nautilus prior to the Business Combination. Accordingly, Withum, ARYA’s independent registered public accounting firm prior to the Business Combination, was informed on June 9, 2021 that it was dismissed as New Nautilus’ independent registered public accounting firm.</w:t>
      </w:r>
    </w:p>
    <w:p>
      <w:pPr>
        <w:spacing w:after="0" w:line="134"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reports of Withum on ARYA’s financial statements as of and for the most recent fiscal year ending December 31, 2020 did not contain an adverse opinion or a disclaimer of opinion, and were not qualified or modified as to uncertainties, audit scope or accounting principles.</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ARYA’s fiscal year ending December 31, 2020 and the subsequent interim period through June 9, 2021, there were no disagreements between ARYA and Withum on any matter of accounting principles or practices, financial disclosure or auditing scope or procedure, which disagreements, if not resolved to the satisfaction of Withum, would have caused it to make reference to the subject matter of the disagreements in its reports on ARYA’s financial statements for such year.</w:t>
      </w:r>
    </w:p>
    <w:p>
      <w:pPr>
        <w:spacing w:after="0" w:line="133"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During ARYA’s fiscal year ending December 31, 2020 and the subsequent interim period through June 9, 2021, there were no “reportable events” (as defined in Item 304(a)(1)(v) of Regulation S-K under the Securities Exchange Act of 1934, as amended (the “Exchange Act”)).</w:t>
      </w:r>
    </w:p>
    <w:p>
      <w:pPr>
        <w:spacing w:after="0" w:line="9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New Nautilus provided Withum with a copy of the foregoing disclosures and has requested that Withum furnish Nautilus Biotechnology, Inc. with a letter addressed to the SEC stating whether it agrees with the statements made by New Nautilus set forth above. A copy of Withum’s letter, dated June 9, 2021, is filed as an exhibit hereto.</w:t>
      </w:r>
    </w:p>
    <w:p>
      <w:pPr>
        <w:spacing w:after="0" w:line="13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During the fiscal year ending December 31, 2020 and the subsequent interim period through June 9, 2021, neither New Nautilus, nor any party on behalf of New Nautilus, consulted with PwC with respect to either (i) the application of accounting principles to a specified transaction, either completed or proposed, or the type of the audit opinion that might be rendered with respect to New Nautilus’ consolidated financial statements, and no written report or oral advice was provided to New Nautilus by PwC that was an important factor considered by New Nautilus in reaching a decision as to any accounting, auditing or financial reporting issue, or (ii) any matter that was subject to any disagreement (as that term is defined in Item 304(a)(1)(iv) of Regulation S-K and the related instructions) or a reportable event (as that term is defined in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52" w:name="page153"/>
    <w:bookmarkEnd w:id="152"/>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7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filed with the SEC a registration statement on Form S-1 under the Securities Act that registers the shares of our Common Stock to be sold in this offering. The registration statement, including the attached exhibits and schedules, contains additional relevant information about us and our capital stock. The rules and regulations of the SEC allow us to omit from this prospectus certain information included in the registration statement. For further information about us and the Securities, you should refer to the registration statement and the exhibits and schedules filed with the registration statement. With respect to the statements contained in this prospectus regarding the contents of any agreement or any other document, in each instance, the statement is qualified in all respects by the complete text of the agreement or document, a copy of which has been filed as an exhibit to the registration statement.</w:t>
      </w:r>
    </w:p>
    <w:p>
      <w:pPr>
        <w:spacing w:after="0" w:line="11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We are subject to the informational reporting requirements of the Exchange Act. We file reports, proxy statements and other information with the SEC under the Exchange Act. Our SEC filings are available over the Internet at the SEC’s website at http://www.sec.gov. Our website address is www.nautilus.bio. The information on, or that can be accessed through,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153" w:name="page154"/>
    <w:bookmarkEnd w:id="15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340" w:type="dxa"/>
            <w:vAlign w:val="bottom"/>
            <w:gridSpan w:val="3"/>
          </w:tcPr>
          <w:p>
            <w:pPr>
              <w:ind w:left="460"/>
              <w:spacing w:after="0"/>
              <w:rPr>
                <w:sz w:val="20"/>
                <w:szCs w:val="20"/>
                <w:color w:val="auto"/>
              </w:rPr>
            </w:pPr>
            <w:r>
              <w:rPr>
                <w:rFonts w:ascii="Arial" w:cs="Arial" w:eastAsia="Arial" w:hAnsi="Arial"/>
                <w:sz w:val="18"/>
                <w:szCs w:val="18"/>
                <w:b w:val="1"/>
                <w:bCs w:val="1"/>
                <w:color w:val="auto"/>
              </w:rPr>
              <w:t>INDEX TO FINANCIAL STATEMENTS</w:t>
            </w: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8"/>
        </w:trPr>
        <w:tc>
          <w:tcPr>
            <w:tcW w:w="9900" w:type="dxa"/>
            <w:vAlign w:val="bottom"/>
            <w:gridSpan w:val="9"/>
          </w:tcPr>
          <w:p>
            <w:pPr>
              <w:spacing w:after="0"/>
              <w:rPr>
                <w:sz w:val="20"/>
                <w:szCs w:val="20"/>
                <w:color w:val="auto"/>
              </w:rPr>
            </w:pPr>
            <w:r>
              <w:rPr>
                <w:rFonts w:ascii="Arial" w:cs="Arial" w:eastAsia="Arial" w:hAnsi="Arial"/>
                <w:sz w:val="18"/>
                <w:szCs w:val="18"/>
                <w:b w:val="1"/>
                <w:bCs w:val="1"/>
                <w:color w:val="auto"/>
                <w:w w:val="95"/>
              </w:rPr>
              <w:t>Audited Financial Statements for Nautilus Biotechnology, Inc. As of and for the Years Ended December 31, 2021 and 2020</w:t>
            </w: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6"/>
              </w:rPr>
              <w:t>Page(s)</w:t>
            </w:r>
          </w:p>
        </w:tc>
      </w:tr>
      <w:tr>
        <w:trPr>
          <w:trHeight w:val="216"/>
        </w:trPr>
        <w:tc>
          <w:tcPr>
            <w:tcW w:w="20" w:type="dxa"/>
            <w:vAlign w:val="bottom"/>
          </w:tcPr>
          <w:p>
            <w:pPr>
              <w:spacing w:after="0"/>
              <w:rPr>
                <w:sz w:val="18"/>
                <w:szCs w:val="18"/>
                <w:color w:val="auto"/>
              </w:rPr>
            </w:pPr>
          </w:p>
        </w:tc>
        <w:tc>
          <w:tcPr>
            <w:tcW w:w="9880" w:type="dxa"/>
            <w:vAlign w:val="bottom"/>
            <w:gridSpan w:val="8"/>
          </w:tcPr>
          <w:p>
            <w:pPr>
              <w:spacing w:after="0"/>
              <w:rPr>
                <w:rFonts w:ascii="Arial" w:cs="Arial" w:eastAsia="Arial" w:hAnsi="Arial"/>
                <w:sz w:val="18"/>
                <w:szCs w:val="18"/>
                <w:color w:val="0000FF"/>
              </w:rPr>
            </w:pPr>
            <w:hyperlink w:anchor="page154">
              <w:r>
                <w:rPr>
                  <w:rFonts w:ascii="Arial" w:cs="Arial" w:eastAsia="Arial" w:hAnsi="Arial"/>
                  <w:sz w:val="18"/>
                  <w:szCs w:val="18"/>
                  <w:color w:val="0000FF"/>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FF"/>
              </w:rPr>
              <w:t xml:space="preserve"> </w:t>
            </w:r>
            <w:r>
              <w:rPr>
                <w:rFonts w:ascii="Arial" w:cs="Arial" w:eastAsia="Arial" w:hAnsi="Arial"/>
                <w:sz w:val="18"/>
                <w:szCs w:val="18"/>
                <w:color w:val="000000"/>
              </w:rPr>
              <w:t>ID 238)</w:t>
            </w:r>
          </w:p>
        </w:tc>
        <w:tc>
          <w:tcPr>
            <w:tcW w:w="1080" w:type="dxa"/>
            <w:vAlign w:val="bottom"/>
            <w:gridSpan w:val="3"/>
          </w:tcPr>
          <w:p>
            <w:pPr>
              <w:jc w:val="center"/>
              <w:ind w:left="450"/>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4">
              <w:r>
                <w:rPr>
                  <w:rFonts w:ascii="Arial" w:cs="Arial" w:eastAsia="Arial" w:hAnsi="Arial"/>
                  <w:sz w:val="18"/>
                  <w:szCs w:val="18"/>
                  <w:color w:val="0000FF"/>
                  <w:w w:val="96"/>
                </w:rPr>
                <w:t>2</w:t>
              </w:r>
            </w:hyperlink>
          </w:p>
        </w:tc>
      </w:tr>
      <w:tr>
        <w:trPr>
          <w:trHeight w:val="318"/>
        </w:trPr>
        <w:tc>
          <w:tcPr>
            <w:tcW w:w="20" w:type="dxa"/>
            <w:vAlign w:val="bottom"/>
          </w:tcPr>
          <w:p>
            <w:pPr>
              <w:spacing w:after="0"/>
              <w:rPr>
                <w:sz w:val="24"/>
                <w:szCs w:val="24"/>
                <w:color w:val="auto"/>
              </w:rPr>
            </w:pPr>
          </w:p>
        </w:tc>
        <w:tc>
          <w:tcPr>
            <w:tcW w:w="2100" w:type="dxa"/>
            <w:vAlign w:val="bottom"/>
            <w:tcBorders>
              <w:top w:val="single" w:sz="8" w:color="0000FF"/>
              <w:bottom w:val="single" w:sz="8" w:color="0000FF"/>
            </w:tcBorders>
          </w:tcPr>
          <w:p>
            <w:pPr>
              <w:spacing w:after="0"/>
              <w:rPr>
                <w:rFonts w:ascii="Arial" w:cs="Arial" w:eastAsia="Arial" w:hAnsi="Arial"/>
                <w:sz w:val="18"/>
                <w:szCs w:val="18"/>
                <w:color w:val="0000FF"/>
                <w:w w:val="88"/>
              </w:rPr>
            </w:pPr>
            <w:hyperlink w:anchor="page155">
              <w:r>
                <w:rPr>
                  <w:rFonts w:ascii="Arial" w:cs="Arial" w:eastAsia="Arial" w:hAnsi="Arial"/>
                  <w:sz w:val="18"/>
                  <w:szCs w:val="18"/>
                  <w:color w:val="0000FF"/>
                  <w:w w:val="88"/>
                </w:rPr>
                <w:t>Consolidated Balance Sheets</w:t>
              </w:r>
            </w:hyperlink>
          </w:p>
        </w:tc>
        <w:tc>
          <w:tcPr>
            <w:tcW w:w="2120" w:type="dxa"/>
            <w:vAlign w:val="bottom"/>
            <w:tcBorders>
              <w:top w:val="single" w:sz="8" w:color="0000FF"/>
            </w:tcBorders>
            <w:gridSpan w:val="5"/>
          </w:tcPr>
          <w:p>
            <w:pPr>
              <w:spacing w:after="0"/>
              <w:rPr>
                <w:sz w:val="24"/>
                <w:szCs w:val="24"/>
                <w:color w:val="auto"/>
              </w:rPr>
            </w:pPr>
          </w:p>
        </w:tc>
        <w:tc>
          <w:tcPr>
            <w:tcW w:w="566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5">
              <w:r>
                <w:rPr>
                  <w:rFonts w:ascii="Arial" w:cs="Arial" w:eastAsia="Arial" w:hAnsi="Arial"/>
                  <w:sz w:val="18"/>
                  <w:szCs w:val="18"/>
                  <w:color w:val="0000FF"/>
                  <w:w w:val="96"/>
                </w:rPr>
                <w:t>3</w:t>
              </w:r>
            </w:hyperlink>
          </w:p>
        </w:tc>
        <w:tc>
          <w:tcPr>
            <w:tcW w:w="14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282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156">
              <w:r>
                <w:rPr>
                  <w:rFonts w:ascii="Arial" w:cs="Arial" w:eastAsia="Arial" w:hAnsi="Arial"/>
                  <w:sz w:val="18"/>
                  <w:szCs w:val="18"/>
                  <w:color w:val="0000FF"/>
                  <w:w w:val="89"/>
                </w:rPr>
                <w:t>Consolidated Statements of Operations</w:t>
              </w:r>
            </w:hyperlink>
          </w:p>
        </w:tc>
        <w:tc>
          <w:tcPr>
            <w:tcW w:w="7060" w:type="dxa"/>
            <w:vAlign w:val="bottom"/>
            <w:gridSpan w:val="6"/>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6">
              <w:r>
                <w:rPr>
                  <w:rFonts w:ascii="Arial" w:cs="Arial" w:eastAsia="Arial" w:hAnsi="Arial"/>
                  <w:sz w:val="18"/>
                  <w:szCs w:val="18"/>
                  <w:color w:val="0000FF"/>
                  <w:w w:val="96"/>
                </w:rPr>
                <w:t>4</w:t>
              </w:r>
            </w:hyperlink>
          </w:p>
        </w:tc>
        <w:tc>
          <w:tcPr>
            <w:tcW w:w="140" w:type="dxa"/>
            <w:vAlign w:val="bottom"/>
          </w:tcPr>
          <w:p>
            <w:pPr>
              <w:spacing w:after="0"/>
              <w:rPr>
                <w:sz w:val="22"/>
                <w:szCs w:val="22"/>
                <w:color w:val="auto"/>
              </w:rPr>
            </w:pPr>
          </w:p>
        </w:tc>
      </w:tr>
      <w:tr>
        <w:trPr>
          <w:trHeight w:val="263"/>
        </w:trPr>
        <w:tc>
          <w:tcPr>
            <w:tcW w:w="20" w:type="dxa"/>
            <w:vAlign w:val="bottom"/>
          </w:tcPr>
          <w:p>
            <w:pPr>
              <w:spacing w:after="0"/>
              <w:rPr>
                <w:sz w:val="22"/>
                <w:szCs w:val="22"/>
                <w:color w:val="auto"/>
              </w:rPr>
            </w:pPr>
          </w:p>
        </w:tc>
        <w:tc>
          <w:tcPr>
            <w:tcW w:w="9880" w:type="dxa"/>
            <w:vAlign w:val="bottom"/>
            <w:gridSpan w:val="8"/>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Consolidated Statements of Comprehensive Loss</w:t>
              </w:r>
            </w:hyperlink>
          </w:p>
        </w:tc>
        <w:tc>
          <w:tcPr>
            <w:tcW w:w="1080" w:type="dxa"/>
            <w:vAlign w:val="bottom"/>
            <w:gridSpan w:val="3"/>
          </w:tcPr>
          <w:p>
            <w:pPr>
              <w:jc w:val="center"/>
              <w:ind w:left="450"/>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7">
              <w:r>
                <w:rPr>
                  <w:rFonts w:ascii="Arial" w:cs="Arial" w:eastAsia="Arial" w:hAnsi="Arial"/>
                  <w:sz w:val="18"/>
                  <w:szCs w:val="18"/>
                  <w:color w:val="0000FF"/>
                  <w:w w:val="96"/>
                </w:rPr>
                <w:t>5</w:t>
              </w:r>
            </w:hyperlink>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80" w:type="dxa"/>
            <w:vAlign w:val="bottom"/>
            <w:gridSpan w:val="8"/>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Consolidated Statements of Redeemable Convertible Preferred Stock and Stockholders’ Equity (Deficit)</w:t>
              </w:r>
            </w:hyperlink>
          </w:p>
        </w:tc>
        <w:tc>
          <w:tcPr>
            <w:tcW w:w="1080" w:type="dxa"/>
            <w:vAlign w:val="bottom"/>
            <w:gridSpan w:val="3"/>
          </w:tcPr>
          <w:p>
            <w:pPr>
              <w:jc w:val="center"/>
              <w:ind w:left="450"/>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8">
              <w:r>
                <w:rPr>
                  <w:rFonts w:ascii="Arial" w:cs="Arial" w:eastAsia="Arial" w:hAnsi="Arial"/>
                  <w:sz w:val="18"/>
                  <w:szCs w:val="18"/>
                  <w:color w:val="0000FF"/>
                  <w:w w:val="96"/>
                </w:rPr>
                <w:t>6</w:t>
              </w:r>
            </w:hyperlink>
          </w:p>
        </w:tc>
      </w:tr>
      <w:tr>
        <w:trPr>
          <w:trHeight w:val="263"/>
        </w:trPr>
        <w:tc>
          <w:tcPr>
            <w:tcW w:w="20" w:type="dxa"/>
            <w:vAlign w:val="bottom"/>
          </w:tcPr>
          <w:p>
            <w:pPr>
              <w:spacing w:after="0"/>
              <w:rPr>
                <w:sz w:val="22"/>
                <w:szCs w:val="22"/>
                <w:color w:val="auto"/>
              </w:rPr>
            </w:pPr>
          </w:p>
        </w:tc>
        <w:tc>
          <w:tcPr>
            <w:tcW w:w="288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9"/>
              </w:rPr>
            </w:pPr>
            <w:hyperlink w:anchor="page159">
              <w:r>
                <w:rPr>
                  <w:rFonts w:ascii="Arial" w:cs="Arial" w:eastAsia="Arial" w:hAnsi="Arial"/>
                  <w:sz w:val="18"/>
                  <w:szCs w:val="18"/>
                  <w:color w:val="0000FF"/>
                  <w:w w:val="89"/>
                </w:rPr>
                <w:t>Consolidated Statements of Cash Flows</w:t>
              </w:r>
            </w:hyperlink>
          </w:p>
        </w:tc>
        <w:tc>
          <w:tcPr>
            <w:tcW w:w="4640" w:type="dxa"/>
            <w:vAlign w:val="bottom"/>
            <w:tcBorders>
              <w:top w:val="single" w:sz="8" w:color="0000FF"/>
            </w:tcBorders>
            <w:gridSpan w:val="4"/>
          </w:tcPr>
          <w:p>
            <w:pPr>
              <w:spacing w:after="0"/>
              <w:rPr>
                <w:sz w:val="22"/>
                <w:szCs w:val="22"/>
                <w:color w:val="auto"/>
              </w:rPr>
            </w:pPr>
          </w:p>
        </w:tc>
        <w:tc>
          <w:tcPr>
            <w:tcW w:w="2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Borders>
              <w:top w:val="single" w:sz="8" w:color="0000FF"/>
              <w:bottom w:val="single" w:sz="8" w:color="0000FF"/>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59">
              <w:r>
                <w:rPr>
                  <w:rFonts w:ascii="Arial" w:cs="Arial" w:eastAsia="Arial" w:hAnsi="Arial"/>
                  <w:sz w:val="18"/>
                  <w:szCs w:val="18"/>
                  <w:color w:val="0000FF"/>
                  <w:w w:val="96"/>
                </w:rPr>
                <w:t>7</w:t>
              </w:r>
            </w:hyperlink>
          </w:p>
        </w:tc>
        <w:tc>
          <w:tcPr>
            <w:tcW w:w="14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31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60">
              <w:r>
                <w:rPr>
                  <w:rFonts w:ascii="Arial" w:cs="Arial" w:eastAsia="Arial" w:hAnsi="Arial"/>
                  <w:sz w:val="18"/>
                  <w:szCs w:val="18"/>
                  <w:color w:val="0000FF"/>
                  <w:w w:val="89"/>
                </w:rPr>
                <w:t>Notes to Consolidated Financial Statements</w:t>
              </w:r>
            </w:hyperlink>
          </w:p>
        </w:tc>
        <w:tc>
          <w:tcPr>
            <w:tcW w:w="6720" w:type="dxa"/>
            <w:vAlign w:val="bottom"/>
            <w:gridSpan w:val="4"/>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Borders>
              <w:bottom w:val="single" w:sz="8" w:color="0000FF"/>
            </w:tcBorders>
          </w:tcPr>
          <w:p>
            <w:pPr>
              <w:jc w:val="center"/>
              <w:spacing w:after="0"/>
              <w:rPr>
                <w:rFonts w:ascii="Arial" w:cs="Arial" w:eastAsia="Arial" w:hAnsi="Arial"/>
                <w:sz w:val="18"/>
                <w:szCs w:val="18"/>
                <w:color w:val="0000FF"/>
                <w:w w:val="96"/>
              </w:rPr>
            </w:pPr>
            <w:r>
              <w:rPr>
                <w:rFonts w:ascii="Arial" w:cs="Arial" w:eastAsia="Arial" w:hAnsi="Arial"/>
                <w:sz w:val="18"/>
                <w:szCs w:val="18"/>
                <w:color w:val="0000FF"/>
                <w:w w:val="96"/>
              </w:rPr>
              <w:t>F-</w:t>
            </w:r>
            <w:hyperlink w:anchor="page160">
              <w:r>
                <w:rPr>
                  <w:rFonts w:ascii="Arial" w:cs="Arial" w:eastAsia="Arial" w:hAnsi="Arial"/>
                  <w:sz w:val="18"/>
                  <w:szCs w:val="18"/>
                  <w:color w:val="0000FF"/>
                  <w:w w:val="96"/>
                </w:rPr>
                <w:t>8</w:t>
              </w:r>
            </w:hyperlink>
          </w:p>
        </w:tc>
        <w:tc>
          <w:tcPr>
            <w:tcW w:w="140" w:type="dxa"/>
            <w:vAlign w:val="bottom"/>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440" w:right="599" w:bottom="1440" w:gutter="0" w:footer="0" w:header="0"/>
        </w:sectPr>
      </w:pPr>
    </w:p>
    <w:bookmarkStart w:id="154" w:name="page155"/>
    <w:bookmarkEnd w:id="154"/>
    <w:p>
      <w:pPr>
        <w:spacing w:after="0" w:line="140" w:lineRule="exact"/>
        <w:rPr>
          <w:sz w:val="20"/>
          <w:szCs w:val="20"/>
          <w:color w:val="auto"/>
        </w:rPr>
      </w:pPr>
    </w:p>
    <w:p>
      <w:pPr>
        <w:ind w:right="336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Nautilus Biotechnology, Inc. </w:t>
      </w:r>
      <w:r>
        <w:rPr>
          <w:rFonts w:ascii="Arial" w:cs="Arial" w:eastAsia="Arial" w:hAnsi="Arial"/>
          <w:sz w:val="18"/>
          <w:szCs w:val="18"/>
          <w:b w:val="1"/>
          <w:bCs w:val="1"/>
          <w:i w:val="1"/>
          <w:iCs w:val="1"/>
          <w:color w:val="auto"/>
        </w:rPr>
        <w:t>Opinion on the Financial Statements</w:t>
      </w:r>
    </w:p>
    <w:p>
      <w:pPr>
        <w:spacing w:after="0" w:line="2"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have audited the accompanying consolidated balance sheets of Nautilus Biotechnology, Inc. and its subsidiary (the “Company”) as of December 31, 2021 and 2020, and the related consolidated statements of operations, of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rPr>
          <w:sz w:val="20"/>
          <w:szCs w:val="20"/>
          <w:color w:val="auto"/>
        </w:rPr>
      </w:pPr>
      <w:r>
        <w:rPr>
          <w:rFonts w:ascii="Arial" w:cs="Arial" w:eastAsia="Arial" w:hAnsi="Arial"/>
          <w:sz w:val="18"/>
          <w:szCs w:val="18"/>
          <w:color w:val="auto"/>
        </w:rPr>
        <w:t>February 24, 2022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Balance Sheets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At December 31, 2021 and 2020</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185,619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36,607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398,450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Equity (Deficit)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5,812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3,018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29,062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34,874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6,314</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Commitments and contingencies (Note 10)</w:t>
            </w: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80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Series Seed redeemable convertible preferred stock - par value $0.0001, 0 and 13,174,805 shares authorized,</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3"/>
              </w:rPr>
              <w:t>issued and outstanding as of December 31, 2021 and 2020, respectively (liquidation preference of $0 and</w:t>
            </w:r>
          </w:p>
        </w:tc>
        <w:tc>
          <w:tcPr>
            <w:tcW w:w="14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$7,263 as of December 31, 2021 and 2020, respectively)</w:t>
            </w: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Series A redeemable convertible preferred stock - par value $0.0001, 0 and 16,836,436 shares authorized,</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issued and outstanding as of December 31, 2021 and 2020, respectively (liquidation preference of $0 and</w:t>
            </w:r>
          </w:p>
        </w:tc>
        <w:tc>
          <w:tcPr>
            <w:tcW w:w="14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$27,200 as of December 31, 2021 and 2020, respectively)</w:t>
            </w:r>
          </w:p>
        </w:tc>
        <w:tc>
          <w:tcPr>
            <w:tcW w:w="14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89"/>
              </w:rPr>
              <w:t>Series B redeemable convertible preferred stock - par value $0.0001, 0 and 22,527,535 shares authorized as of</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9"/>
              </w:rPr>
              <w:t>December 31, 2021 and 2020, respectively, 0 and 22,164,724 shares issued and outstanding as of</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3"/>
              </w:rPr>
              <w:t>December 31, 2021 and 2020, respectively (liquidation preference of $0 and $76,060 as of December 31,</w:t>
            </w:r>
          </w:p>
        </w:tc>
        <w:tc>
          <w:tcPr>
            <w:tcW w:w="140" w:type="dxa"/>
            <w:vAlign w:val="bottom"/>
          </w:tcPr>
          <w:p>
            <w:pPr>
              <w:spacing w:after="0"/>
              <w:rPr>
                <w:sz w:val="15"/>
                <w:szCs w:val="15"/>
                <w:color w:val="auto"/>
              </w:rPr>
            </w:pPr>
          </w:p>
        </w:tc>
        <w:tc>
          <w:tcPr>
            <w:tcW w:w="15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2021 and 2020, respectively)</w:t>
            </w:r>
          </w:p>
        </w:tc>
        <w:tc>
          <w:tcPr>
            <w:tcW w:w="14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80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4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Stockholders’ equity (deficit):</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Preferred stock, $0.0001 par value, 200,000,000 and 0 shares authorized as of December 31, 2021 and 2020,</w:t>
            </w:r>
          </w:p>
        </w:tc>
        <w:tc>
          <w:tcPr>
            <w:tcW w:w="140" w:type="dxa"/>
            <w:vAlign w:val="bottom"/>
            <w:shd w:val="clear" w:color="auto" w:fill="CCEEFF"/>
          </w:tcPr>
          <w:p>
            <w:pPr>
              <w:spacing w:after="0"/>
              <w:rPr>
                <w:sz w:val="15"/>
                <w:szCs w:val="15"/>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 and 0 shares issued and outstanding as of December 31, 2021 and 2020</w:t>
            </w:r>
          </w:p>
        </w:tc>
        <w:tc>
          <w:tcPr>
            <w:tcW w:w="14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Common stock, $0.0001 par value, 1,000,000,000 and 98,672,620 shares authorized as of December 31, 2021</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89"/>
              </w:rPr>
              <w:t>and 2020, respectively; 124,303,083 and 33,069,513 shares issued and outstanding as of December 31, 2021</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and 2020, respectively</w:t>
            </w: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equity (deficit)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363,576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equity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Operations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Years Ended December 31, 2021 and 2020</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15"/>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29,352</w:t>
            </w:r>
          </w:p>
        </w:tc>
        <w:tc>
          <w:tcPr>
            <w:tcW w:w="80" w:type="dxa"/>
            <w:vAlign w:val="bottom"/>
          </w:tcPr>
          <w:p>
            <w:pPr>
              <w:spacing w:after="0"/>
              <w:rPr>
                <w:sz w:val="19"/>
                <w:szCs w:val="19"/>
                <w:color w:val="auto"/>
              </w:rPr>
            </w:pPr>
          </w:p>
        </w:tc>
        <w:tc>
          <w:tcPr>
            <w:tcW w:w="320" w:type="dxa"/>
            <w:vAlign w:val="bottom"/>
          </w:tcPr>
          <w:p>
            <w:pPr>
              <w:jc w:val="right"/>
              <w:ind w:right="115"/>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12,432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21,146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50,498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15,744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84,464,081</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29,089,778</w:t>
            </w:r>
          </w:p>
        </w:tc>
        <w:tc>
          <w:tcPr>
            <w:tcW w:w="0" w:type="dxa"/>
            <w:vAlign w:val="bottom"/>
          </w:tcPr>
          <w:p>
            <w:pPr>
              <w:spacing w:after="0"/>
              <w:rPr>
                <w:sz w:val="1"/>
                <w:szCs w:val="1"/>
                <w:color w:val="auto"/>
              </w:rPr>
            </w:pPr>
          </w:p>
        </w:tc>
      </w:tr>
      <w:tr>
        <w:trPr>
          <w:trHeight w:val="203"/>
        </w:trPr>
        <w:tc>
          <w:tcPr>
            <w:tcW w:w="802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Comprehensive Loss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Years Ended December 31, 2021 and 2020</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Other comprehensive loss: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on securities available-for-sale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loss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(50,502)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(15,623)</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right="1660"/>
        <w:spacing w:after="0" w:line="246" w:lineRule="auto"/>
        <w:rPr>
          <w:sz w:val="20"/>
          <w:szCs w:val="20"/>
          <w:color w:val="auto"/>
        </w:rPr>
      </w:pPr>
      <w:r>
        <w:rPr>
          <w:rFonts w:ascii="Arial" w:cs="Arial" w:eastAsia="Arial" w:hAnsi="Arial"/>
          <w:sz w:val="22"/>
          <w:szCs w:val="22"/>
          <w:b w:val="1"/>
          <w:bCs w:val="1"/>
          <w:color w:val="auto"/>
        </w:rPr>
        <w:t>Consolidated Statements of Redeemable Convertible Preferred Stock and Stockholders’ Equity (Deficit) Years Ended December 31, 2021 and 2020</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700" w:type="dxa"/>
            <w:vAlign w:val="bottom"/>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900" w:type="dxa"/>
            <w:vAlign w:val="bottom"/>
            <w:tcBorders>
              <w:bottom w:val="single" w:sz="8" w:color="auto"/>
            </w:tcBorders>
            <w:gridSpan w:val="9"/>
          </w:tcPr>
          <w:p>
            <w:pPr>
              <w:jc w:val="center"/>
              <w:ind w:right="400"/>
              <w:spacing w:after="0"/>
              <w:rPr>
                <w:sz w:val="20"/>
                <w:szCs w:val="20"/>
                <w:color w:val="auto"/>
              </w:rPr>
            </w:pPr>
            <w:r>
              <w:rPr>
                <w:rFonts w:ascii="Arial" w:cs="Arial" w:eastAsia="Arial" w:hAnsi="Arial"/>
                <w:sz w:val="13"/>
                <w:szCs w:val="13"/>
                <w:b w:val="1"/>
                <w:bCs w:val="1"/>
                <w:color w:val="auto"/>
                <w:w w:val="88"/>
              </w:rPr>
              <w:t>Redeemable Convertible Preferred Stock</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center"/>
              <w:ind w:right="7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61"/>
        </w:trPr>
        <w:tc>
          <w:tcPr>
            <w:tcW w:w="1700" w:type="dxa"/>
            <w:vAlign w:val="bottom"/>
          </w:tcPr>
          <w:p>
            <w:pPr>
              <w:spacing w:after="0"/>
              <w:rPr>
                <w:sz w:val="5"/>
                <w:szCs w:val="5"/>
                <w:color w:val="auto"/>
              </w:rPr>
            </w:pPr>
          </w:p>
        </w:tc>
        <w:tc>
          <w:tcPr>
            <w:tcW w:w="1480" w:type="dxa"/>
            <w:vAlign w:val="bottom"/>
            <w:gridSpan w:val="5"/>
            <w:vMerge w:val="restart"/>
          </w:tcPr>
          <w:p>
            <w:pPr>
              <w:ind w:left="400"/>
              <w:spacing w:after="0" w:line="138" w:lineRule="exact"/>
              <w:rPr>
                <w:sz w:val="20"/>
                <w:szCs w:val="20"/>
                <w:color w:val="auto"/>
              </w:rPr>
            </w:pPr>
            <w:r>
              <w:rPr>
                <w:rFonts w:ascii="Arial" w:cs="Arial" w:eastAsia="Arial" w:hAnsi="Arial"/>
                <w:sz w:val="13"/>
                <w:szCs w:val="13"/>
                <w:b w:val="1"/>
                <w:bCs w:val="1"/>
                <w:color w:val="auto"/>
              </w:rPr>
              <w:t>Series Seed</w:t>
            </w:r>
          </w:p>
        </w:tc>
        <w:tc>
          <w:tcPr>
            <w:tcW w:w="1080" w:type="dxa"/>
            <w:vAlign w:val="bottom"/>
            <w:gridSpan w:val="3"/>
            <w:vMerge w:val="restart"/>
          </w:tcPr>
          <w:p>
            <w:pPr>
              <w:jc w:val="center"/>
              <w:ind w:left="289"/>
              <w:spacing w:after="0" w:line="138" w:lineRule="exact"/>
              <w:rPr>
                <w:sz w:val="20"/>
                <w:szCs w:val="20"/>
                <w:color w:val="auto"/>
              </w:rPr>
            </w:pPr>
            <w:r>
              <w:rPr>
                <w:rFonts w:ascii="Arial" w:cs="Arial" w:eastAsia="Arial" w:hAnsi="Arial"/>
                <w:sz w:val="13"/>
                <w:szCs w:val="13"/>
                <w:b w:val="1"/>
                <w:bCs w:val="1"/>
                <w:color w:val="auto"/>
                <w:w w:val="84"/>
              </w:rPr>
              <w:t>Series A</w:t>
            </w:r>
          </w:p>
        </w:tc>
        <w:tc>
          <w:tcPr>
            <w:tcW w:w="3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3"/>
            <w:vMerge w:val="restart"/>
          </w:tcPr>
          <w:p>
            <w:pPr>
              <w:jc w:val="right"/>
              <w:spacing w:after="0" w:line="138" w:lineRule="exact"/>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3"/>
            <w:vMerge w:val="restart"/>
          </w:tcPr>
          <w:p>
            <w:pPr>
              <w:jc w:val="right"/>
              <w:spacing w:after="0" w:line="138" w:lineRule="exact"/>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gridSpan w:val="2"/>
            <w:vMerge w:val="restart"/>
          </w:tcPr>
          <w:p>
            <w:pPr>
              <w:jc w:val="center"/>
              <w:spacing w:after="0" w:line="138"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76"/>
        </w:trPr>
        <w:tc>
          <w:tcPr>
            <w:tcW w:w="1700" w:type="dxa"/>
            <w:vAlign w:val="bottom"/>
          </w:tcPr>
          <w:p>
            <w:pPr>
              <w:spacing w:after="0"/>
              <w:rPr>
                <w:sz w:val="6"/>
                <w:szCs w:val="6"/>
                <w:color w:val="auto"/>
              </w:rPr>
            </w:pPr>
          </w:p>
        </w:tc>
        <w:tc>
          <w:tcPr>
            <w:tcW w:w="1480" w:type="dxa"/>
            <w:vAlign w:val="bottom"/>
            <w:gridSpan w:val="5"/>
            <w:vMerge w:val="continue"/>
          </w:tcPr>
          <w:p>
            <w:pPr>
              <w:spacing w:after="0"/>
              <w:rPr>
                <w:sz w:val="6"/>
                <w:szCs w:val="6"/>
                <w:color w:val="auto"/>
              </w:rPr>
            </w:pPr>
          </w:p>
        </w:tc>
        <w:tc>
          <w:tcPr>
            <w:tcW w:w="1080" w:type="dxa"/>
            <w:vAlign w:val="bottom"/>
            <w:gridSpan w:val="3"/>
            <w:vMerge w:val="continue"/>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8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3"/>
            <w:vMerge w:val="restart"/>
          </w:tcPr>
          <w:p>
            <w:pPr>
              <w:jc w:val="center"/>
              <w:ind w:right="80"/>
              <w:spacing w:after="0" w:line="102" w:lineRule="exact"/>
              <w:rPr>
                <w:sz w:val="20"/>
                <w:szCs w:val="20"/>
                <w:color w:val="auto"/>
              </w:rPr>
            </w:pPr>
            <w:r>
              <w:rPr>
                <w:rFonts w:ascii="Arial" w:cs="Arial" w:eastAsia="Arial" w:hAnsi="Arial"/>
                <w:sz w:val="10"/>
                <w:szCs w:val="10"/>
                <w:b w:val="1"/>
                <w:bCs w:val="1"/>
                <w:color w:val="auto"/>
              </w:rPr>
              <w:t>Additional</w:t>
            </w:r>
          </w:p>
        </w:tc>
        <w:tc>
          <w:tcPr>
            <w:tcW w:w="100" w:type="dxa"/>
            <w:vAlign w:val="bottom"/>
          </w:tcPr>
          <w:p>
            <w:pPr>
              <w:spacing w:after="0"/>
              <w:rPr>
                <w:sz w:val="6"/>
                <w:szCs w:val="6"/>
                <w:color w:val="auto"/>
              </w:rPr>
            </w:pPr>
          </w:p>
        </w:tc>
        <w:tc>
          <w:tcPr>
            <w:tcW w:w="900" w:type="dxa"/>
            <w:vAlign w:val="bottom"/>
            <w:gridSpan w:val="2"/>
            <w:vMerge w:val="restart"/>
          </w:tcPr>
          <w:p>
            <w:pPr>
              <w:jc w:val="center"/>
              <w:ind w:right="180"/>
              <w:spacing w:after="0" w:line="102" w:lineRule="exact"/>
              <w:rPr>
                <w:sz w:val="20"/>
                <w:szCs w:val="20"/>
                <w:color w:val="auto"/>
              </w:rPr>
            </w:pPr>
            <w:r>
              <w:rPr>
                <w:rFonts w:ascii="Arial" w:cs="Arial" w:eastAsia="Arial" w:hAnsi="Arial"/>
                <w:sz w:val="10"/>
                <w:szCs w:val="10"/>
                <w:b w:val="1"/>
                <w:bCs w:val="1"/>
                <w:color w:val="auto"/>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70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80" w:type="dxa"/>
            <w:vAlign w:val="bottom"/>
            <w:vMerge w:val="restart"/>
          </w:tcPr>
          <w:p>
            <w:pPr>
              <w:jc w:val="center"/>
              <w:ind w:right="7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02"/>
        </w:trPr>
        <w:tc>
          <w:tcPr>
            <w:tcW w:w="1700" w:type="dxa"/>
            <w:vAlign w:val="bottom"/>
          </w:tcPr>
          <w:p>
            <w:pPr>
              <w:ind w:left="20"/>
              <w:spacing w:after="0" w:line="102" w:lineRule="exact"/>
              <w:rPr>
                <w:sz w:val="20"/>
                <w:szCs w:val="20"/>
                <w:color w:val="auto"/>
              </w:rPr>
            </w:pPr>
            <w:r>
              <w:rPr>
                <w:rFonts w:ascii="Arial" w:cs="Arial" w:eastAsia="Arial" w:hAnsi="Arial"/>
                <w:sz w:val="10"/>
                <w:szCs w:val="10"/>
                <w:i w:val="1"/>
                <w:iCs w:val="1"/>
                <w:color w:val="auto"/>
              </w:rPr>
              <w:t>(in thousands, except share</w:t>
            </w:r>
          </w:p>
        </w:tc>
        <w:tc>
          <w:tcPr>
            <w:tcW w:w="78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3"/>
              </w:rPr>
              <w:t>Amount</w:t>
            </w:r>
          </w:p>
        </w:tc>
        <w:tc>
          <w:tcPr>
            <w:tcW w:w="80" w:type="dxa"/>
            <w:vAlign w:val="bottom"/>
            <w:vMerge w:val="restart"/>
          </w:tcPr>
          <w:p>
            <w:pPr>
              <w:spacing w:after="0"/>
              <w:rPr>
                <w:sz w:val="8"/>
                <w:szCs w:val="8"/>
                <w:color w:val="auto"/>
              </w:rPr>
            </w:pPr>
          </w:p>
        </w:tc>
        <w:tc>
          <w:tcPr>
            <w:tcW w:w="78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80" w:type="dxa"/>
            <w:vAlign w:val="bottom"/>
            <w:gridSpan w:val="2"/>
            <w:vMerge w:val="restart"/>
          </w:tcPr>
          <w:p>
            <w:pPr>
              <w:jc w:val="right"/>
              <w:ind w:right="8"/>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8"/>
                <w:szCs w:val="8"/>
                <w:color w:val="auto"/>
              </w:rPr>
            </w:pPr>
          </w:p>
        </w:tc>
        <w:tc>
          <w:tcPr>
            <w:tcW w:w="78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w w:val="99"/>
              </w:rPr>
              <w:t xml:space="preserve">Shares </w:t>
            </w:r>
            <w:r>
              <w:rPr>
                <w:rFonts w:ascii="Arial" w:cs="Arial" w:eastAsia="Arial" w:hAnsi="Arial"/>
                <w:sz w:val="16"/>
                <w:szCs w:val="16"/>
                <w:b w:val="1"/>
                <w:bCs w:val="1"/>
                <w:color w:val="auto"/>
                <w:w w:val="99"/>
                <w:vertAlign w:val="superscript"/>
              </w:rPr>
              <w:t>(1)</w:t>
            </w:r>
          </w:p>
        </w:tc>
        <w:tc>
          <w:tcPr>
            <w:tcW w:w="80" w:type="dxa"/>
            <w:vAlign w:val="bottom"/>
            <w:vMerge w:val="restart"/>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100" w:type="dxa"/>
            <w:vAlign w:val="bottom"/>
            <w:tcBorders>
              <w:right w:val="single" w:sz="8" w:color="auto"/>
            </w:tcBorders>
            <w:vMerge w:val="restart"/>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restart"/>
          </w:tcPr>
          <w:p>
            <w:pPr>
              <w:jc w:val="right"/>
              <w:ind w:right="89"/>
              <w:spacing w:after="0"/>
              <w:rPr>
                <w:sz w:val="20"/>
                <w:szCs w:val="20"/>
                <w:color w:val="auto"/>
              </w:rPr>
            </w:pPr>
            <w:r>
              <w:rPr>
                <w:rFonts w:ascii="Arial" w:cs="Arial" w:eastAsia="Arial" w:hAnsi="Arial"/>
                <w:sz w:val="13"/>
                <w:szCs w:val="13"/>
                <w:b w:val="1"/>
                <w:bCs w:val="1"/>
                <w:color w:val="auto"/>
              </w:rPr>
              <w:t xml:space="preserve">Shares </w:t>
            </w:r>
            <w:r>
              <w:rPr>
                <w:rFonts w:ascii="Arial" w:cs="Arial" w:eastAsia="Arial" w:hAnsi="Arial"/>
                <w:sz w:val="16"/>
                <w:szCs w:val="16"/>
                <w:b w:val="1"/>
                <w:bCs w:val="1"/>
                <w:color w:val="auto"/>
                <w:vertAlign w:val="superscript"/>
              </w:rPr>
              <w:t>(1)</w:t>
            </w:r>
          </w:p>
        </w:tc>
        <w:tc>
          <w:tcPr>
            <w:tcW w:w="80" w:type="dxa"/>
            <w:vAlign w:val="bottom"/>
            <w:vMerge w:val="restart"/>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center"/>
              <w:ind w:right="180"/>
              <w:spacing w:after="0" w:line="102" w:lineRule="exact"/>
              <w:rPr>
                <w:sz w:val="20"/>
                <w:szCs w:val="20"/>
                <w:color w:val="auto"/>
              </w:rPr>
            </w:pPr>
            <w:r>
              <w:rPr>
                <w:rFonts w:ascii="Arial" w:cs="Arial" w:eastAsia="Arial" w:hAnsi="Arial"/>
                <w:sz w:val="10"/>
                <w:szCs w:val="10"/>
                <w:b w:val="1"/>
                <w:bCs w:val="1"/>
                <w:color w:val="auto"/>
              </w:rPr>
              <w:t>Paid-in</w:t>
            </w:r>
          </w:p>
        </w:tc>
        <w:tc>
          <w:tcPr>
            <w:tcW w:w="1000" w:type="dxa"/>
            <w:vAlign w:val="bottom"/>
            <w:gridSpan w:val="3"/>
          </w:tcPr>
          <w:p>
            <w:pPr>
              <w:jc w:val="center"/>
              <w:ind w:right="80"/>
              <w:spacing w:after="0" w:line="102"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ind w:left="40"/>
              <w:spacing w:after="0" w:line="102" w:lineRule="exact"/>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rPr>
              <w:t>amounts)</w:t>
            </w: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8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right w:val="single" w:sz="8" w:color="auto"/>
            </w:tcBorders>
            <w:vMerge w:val="continue"/>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5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5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15"/>
        </w:trPr>
        <w:tc>
          <w:tcPr>
            <w:tcW w:w="1700" w:type="dxa"/>
            <w:vAlign w:val="bottom"/>
            <w:shd w:val="clear" w:color="auto" w:fill="CCEEFF"/>
          </w:tcPr>
          <w:p>
            <w:pPr>
              <w:ind w:left="20"/>
              <w:spacing w:after="0" w:line="115" w:lineRule="exact"/>
              <w:rPr>
                <w:sz w:val="20"/>
                <w:szCs w:val="20"/>
                <w:color w:val="auto"/>
              </w:rPr>
            </w:pPr>
            <w:r>
              <w:rPr>
                <w:rFonts w:ascii="Arial" w:cs="Arial" w:eastAsia="Arial" w:hAnsi="Arial"/>
                <w:sz w:val="13"/>
                <w:szCs w:val="13"/>
                <w:color w:val="auto"/>
              </w:rPr>
              <w:t>Balances at December 31,</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8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88"/>
              </w:rPr>
              <w:t>$ 27,067</w:t>
            </w:r>
          </w:p>
        </w:tc>
        <w:tc>
          <w:tcPr>
            <w:tcW w:w="80" w:type="dxa"/>
            <w:vAlign w:val="bottom"/>
            <w:shd w:val="clear" w:color="auto" w:fill="CCEEFF"/>
          </w:tcPr>
          <w:p>
            <w:pPr>
              <w:spacing w:after="0"/>
              <w:rPr>
                <w:sz w:val="10"/>
                <w:szCs w:val="10"/>
                <w:color w:val="auto"/>
              </w:rPr>
            </w:pP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32,932,218</w:t>
            </w:r>
          </w:p>
        </w:tc>
        <w:tc>
          <w:tcPr>
            <w:tcW w:w="80" w:type="dxa"/>
            <w:vAlign w:val="bottom"/>
            <w:shd w:val="clear" w:color="auto" w:fill="CCEEFF"/>
          </w:tcPr>
          <w:p>
            <w:pPr>
              <w:spacing w:after="0"/>
              <w:rPr>
                <w:sz w:val="10"/>
                <w:szCs w:val="10"/>
                <w:color w:val="auto"/>
              </w:rPr>
            </w:pPr>
          </w:p>
        </w:tc>
        <w:tc>
          <w:tcPr>
            <w:tcW w:w="300" w:type="dxa"/>
            <w:vAlign w:val="bottom"/>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0"/>
                <w:szCs w:val="10"/>
                <w:color w:val="auto"/>
              </w:rPr>
            </w:pPr>
          </w:p>
        </w:tc>
        <w:tc>
          <w:tcPr>
            <w:tcW w:w="160" w:type="dxa"/>
            <w:vAlign w:val="bottom"/>
            <w:vMerge w:val="restart"/>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95"/>
              </w:rPr>
              <w:t>(14,706)</w:t>
            </w:r>
          </w:p>
        </w:tc>
        <w:tc>
          <w:tcPr>
            <w:tcW w:w="8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4"/>
                <w:szCs w:val="14"/>
                <w:color w:val="auto"/>
              </w:rPr>
              <w:t>upon exercise of vested</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137,295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6"/>
        </w:trPr>
        <w:tc>
          <w:tcPr>
            <w:tcW w:w="170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Series B</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redeemable convertible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75,857</w:t>
            </w: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w w:val="98"/>
              </w:rPr>
              <w:t>Stock-based compensation</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9"/>
        </w:trPr>
        <w:tc>
          <w:tcPr>
            <w:tcW w:w="1700" w:type="dxa"/>
            <w:vAlign w:val="bottom"/>
          </w:tcPr>
          <w:p>
            <w:pPr>
              <w:ind w:left="20"/>
              <w:spacing w:after="0"/>
              <w:rPr>
                <w:sz w:val="20"/>
                <w:szCs w:val="20"/>
                <w:color w:val="auto"/>
              </w:rPr>
            </w:pPr>
            <w:r>
              <w:rPr>
                <w:rFonts w:ascii="Arial" w:cs="Arial" w:eastAsia="Arial" w:hAnsi="Arial"/>
                <w:sz w:val="14"/>
                <w:szCs w:val="14"/>
                <w:color w:val="auto"/>
              </w:rPr>
              <w:t>expense</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369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8"/>
                <w:szCs w:val="18"/>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40" w:type="dxa"/>
            <w:vAlign w:val="bottom"/>
          </w:tcPr>
          <w:p>
            <w:pPr>
              <w:ind w:left="120"/>
              <w:spacing w:after="0"/>
              <w:rPr>
                <w:sz w:val="20"/>
                <w:szCs w:val="20"/>
                <w:color w:val="auto"/>
              </w:rPr>
            </w:pPr>
            <w:r>
              <w:rPr>
                <w:rFonts w:ascii="Arial" w:cs="Arial" w:eastAsia="Arial" w:hAnsi="Arial"/>
                <w:sz w:val="14"/>
                <w:szCs w:val="14"/>
                <w:color w:val="auto"/>
                <w:w w:val="95"/>
              </w:rPr>
              <w:t>(15,619)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(15,619)</w:t>
            </w:r>
          </w:p>
        </w:tc>
        <w:tc>
          <w:tcPr>
            <w:tcW w:w="0" w:type="dxa"/>
            <w:vAlign w:val="bottom"/>
          </w:tcPr>
          <w:p>
            <w:pPr>
              <w:spacing w:after="0"/>
              <w:rPr>
                <w:sz w:val="1"/>
                <w:szCs w:val="1"/>
                <w:color w:val="auto"/>
              </w:rPr>
            </w:pPr>
          </w:p>
        </w:tc>
      </w:tr>
      <w:tr>
        <w:trPr>
          <w:trHeight w:val="115"/>
        </w:trPr>
        <w:tc>
          <w:tcPr>
            <w:tcW w:w="1700" w:type="dxa"/>
            <w:vAlign w:val="bottom"/>
            <w:tcBorders>
              <w:top w:val="single" w:sz="8" w:color="CCEEFF"/>
            </w:tcBorders>
            <w:shd w:val="clear" w:color="auto" w:fill="CCEEFF"/>
          </w:tcPr>
          <w:p>
            <w:pPr>
              <w:ind w:left="20"/>
              <w:spacing w:after="0" w:line="115" w:lineRule="exact"/>
              <w:rPr>
                <w:sz w:val="20"/>
                <w:szCs w:val="20"/>
                <w:color w:val="auto"/>
              </w:rPr>
            </w:pPr>
            <w:r>
              <w:rPr>
                <w:rFonts w:ascii="Arial" w:cs="Arial" w:eastAsia="Arial" w:hAnsi="Arial"/>
                <w:sz w:val="13"/>
                <w:szCs w:val="13"/>
                <w:color w:val="auto"/>
              </w:rPr>
              <w:t>Balances at December 31,</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13,174,805</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16,836,436</w:t>
            </w:r>
          </w:p>
        </w:tc>
        <w:tc>
          <w:tcPr>
            <w:tcW w:w="8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auto"/>
            </w:tcBorders>
            <w:gridSpan w:val="2"/>
            <w:vMerge w:val="restart"/>
            <w:shd w:val="clear" w:color="auto" w:fill="CCEEFF"/>
          </w:tcPr>
          <w:p>
            <w:pPr>
              <w:jc w:val="right"/>
              <w:ind w:right="8"/>
              <w:spacing w:after="0"/>
              <w:rPr>
                <w:sz w:val="20"/>
                <w:szCs w:val="20"/>
                <w:color w:val="auto"/>
              </w:rPr>
            </w:pPr>
            <w:r>
              <w:rPr>
                <w:rFonts w:ascii="Arial" w:cs="Arial" w:eastAsia="Arial" w:hAnsi="Arial"/>
                <w:sz w:val="14"/>
                <w:szCs w:val="14"/>
                <w:color w:val="auto"/>
                <w:w w:val="88"/>
              </w:rPr>
              <w:t>$ 27,067</w:t>
            </w:r>
          </w:p>
        </w:tc>
        <w:tc>
          <w:tcPr>
            <w:tcW w:w="8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9"/>
              </w:rPr>
              <w:t>22,164,724</w:t>
            </w:r>
          </w:p>
        </w:tc>
        <w:tc>
          <w:tcPr>
            <w:tcW w:w="8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w w:val="88"/>
              </w:rPr>
              <w:t>$ 75,857</w:t>
            </w:r>
          </w:p>
        </w:tc>
        <w:tc>
          <w:tcPr>
            <w:tcW w:w="10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33,069,513</w:t>
            </w: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vMerge w:val="restart"/>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vMerge w:val="restart"/>
            <w:shd w:val="clear" w:color="auto" w:fill="CCEEFF"/>
          </w:tcPr>
          <w:p>
            <w:pPr>
              <w:ind w:left="120"/>
              <w:spacing w:after="0"/>
              <w:rPr>
                <w:sz w:val="20"/>
                <w:szCs w:val="20"/>
                <w:color w:val="auto"/>
              </w:rPr>
            </w:pPr>
            <w:r>
              <w:rPr>
                <w:rFonts w:ascii="Arial" w:cs="Arial" w:eastAsia="Arial" w:hAnsi="Arial"/>
                <w:sz w:val="14"/>
                <w:szCs w:val="14"/>
                <w:color w:val="auto"/>
                <w:w w:val="95"/>
              </w:rPr>
              <w:t>(30,325)</w:t>
            </w: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gridSpan w:val="2"/>
            <w:vMerge w:val="continue"/>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rPr>
              <w:t>Issuance of common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4"/>
                <w:szCs w:val="14"/>
                <w:color w:val="auto"/>
              </w:rPr>
              <w:t>upon exercise of vested</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273,696</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86"/>
        </w:trPr>
        <w:tc>
          <w:tcPr>
            <w:tcW w:w="1700" w:type="dxa"/>
            <w:vAlign w:val="bottom"/>
          </w:tcPr>
          <w:p>
            <w:pPr>
              <w:ind w:left="180"/>
              <w:spacing w:after="0"/>
              <w:rPr>
                <w:sz w:val="20"/>
                <w:szCs w:val="20"/>
                <w:color w:val="auto"/>
              </w:rPr>
            </w:pPr>
            <w:r>
              <w:rPr>
                <w:rFonts w:ascii="Arial" w:cs="Arial" w:eastAsia="Arial" w:hAnsi="Arial"/>
                <w:sz w:val="14"/>
                <w:szCs w:val="14"/>
                <w:color w:val="auto"/>
              </w:rPr>
              <w:t>stock options</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62,772</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3"/>
              </w:rPr>
              <w:t>upon exercise of warrants</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rPr>
              <w:t>Conversion of redeemable</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4"/>
                <w:szCs w:val="14"/>
                <w:color w:val="auto"/>
              </w:rPr>
              <w:t>convertible preferred</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4"/>
                <w:szCs w:val="14"/>
                <w:color w:val="auto"/>
                <w:w w:val="97"/>
              </w:rPr>
              <w:t>stock into common stock</w:t>
            </w: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180"/>
              <w:spacing w:after="0" w:line="135" w:lineRule="exact"/>
              <w:rPr>
                <w:sz w:val="20"/>
                <w:szCs w:val="20"/>
                <w:color w:val="auto"/>
              </w:rPr>
            </w:pPr>
            <w:r>
              <w:rPr>
                <w:rFonts w:ascii="Arial" w:cs="Arial" w:eastAsia="Arial" w:hAnsi="Arial"/>
                <w:sz w:val="14"/>
                <w:szCs w:val="14"/>
                <w:color w:val="auto"/>
              </w:rPr>
              <w:t>in connection with the</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(13,174,805)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w w:val="90"/>
              </w:rPr>
              <w:t>(5,494)</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(16,836,436)</w:t>
            </w:r>
          </w:p>
        </w:tc>
        <w:tc>
          <w:tcPr>
            <w:tcW w:w="80" w:type="dxa"/>
            <w:vAlign w:val="bottom"/>
          </w:tcPr>
          <w:p>
            <w:pPr>
              <w:spacing w:after="0"/>
              <w:rPr>
                <w:sz w:val="11"/>
                <w:szCs w:val="11"/>
                <w:color w:val="auto"/>
              </w:rPr>
            </w:pPr>
          </w:p>
        </w:tc>
        <w:tc>
          <w:tcPr>
            <w:tcW w:w="58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(27,067)</w:t>
            </w:r>
          </w:p>
        </w:tc>
        <w:tc>
          <w:tcPr>
            <w:tcW w:w="8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w w:val="93"/>
              </w:rPr>
              <w:t>(22,164,724)</w:t>
            </w:r>
          </w:p>
        </w:tc>
        <w:tc>
          <w:tcPr>
            <w:tcW w:w="80" w:type="dxa"/>
            <w:vAlign w:val="bottom"/>
          </w:tcPr>
          <w:p>
            <w:pPr>
              <w:spacing w:after="0"/>
              <w:rPr>
                <w:sz w:val="11"/>
                <w:szCs w:val="1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color w:val="auto"/>
                <w:w w:val="99"/>
              </w:rPr>
              <w:t>(75,857)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52,175,965</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4"/>
              </w:rPr>
              <w:t>108,411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108,418</w:t>
            </w:r>
          </w:p>
        </w:tc>
        <w:tc>
          <w:tcPr>
            <w:tcW w:w="0" w:type="dxa"/>
            <w:vAlign w:val="bottom"/>
          </w:tcPr>
          <w:p>
            <w:pPr>
              <w:spacing w:after="0"/>
              <w:rPr>
                <w:sz w:val="1"/>
                <w:szCs w:val="1"/>
                <w:color w:val="auto"/>
              </w:rPr>
            </w:pPr>
          </w:p>
        </w:tc>
      </w:tr>
      <w:tr>
        <w:trPr>
          <w:trHeight w:val="186"/>
        </w:trPr>
        <w:tc>
          <w:tcPr>
            <w:tcW w:w="1700" w:type="dxa"/>
            <w:vAlign w:val="bottom"/>
          </w:tcPr>
          <w:p>
            <w:pPr>
              <w:ind w:left="180"/>
              <w:spacing w:after="0"/>
              <w:rPr>
                <w:sz w:val="20"/>
                <w:szCs w:val="20"/>
                <w:color w:val="auto"/>
              </w:rPr>
            </w:pPr>
            <w:r>
              <w:rPr>
                <w:rFonts w:ascii="Arial" w:cs="Arial" w:eastAsia="Arial" w:hAnsi="Arial"/>
                <w:sz w:val="14"/>
                <w:szCs w:val="14"/>
                <w:color w:val="auto"/>
              </w:rPr>
              <w:t>reverse recapitalization</w:t>
            </w: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Issuance of common stock</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upon the reverse</w:t>
            </w: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tcBorders>
              <w:right w:val="single" w:sz="8" w:color="auto"/>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0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recapitalization, net of</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4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38,721,137</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4"/>
              </w:rPr>
              <w:t>327,276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327,280</w:t>
            </w:r>
          </w:p>
        </w:tc>
        <w:tc>
          <w:tcPr>
            <w:tcW w:w="0" w:type="dxa"/>
            <w:vAlign w:val="bottom"/>
          </w:tcPr>
          <w:p>
            <w:pPr>
              <w:spacing w:after="0"/>
              <w:rPr>
                <w:sz w:val="1"/>
                <w:szCs w:val="1"/>
                <w:color w:val="auto"/>
              </w:rPr>
            </w:pPr>
          </w:p>
        </w:tc>
      </w:tr>
      <w:tr>
        <w:trPr>
          <w:trHeight w:val="189"/>
        </w:trPr>
        <w:tc>
          <w:tcPr>
            <w:tcW w:w="1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costs</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00" w:type="dxa"/>
            <w:vAlign w:val="bottom"/>
          </w:tcPr>
          <w:p>
            <w:pPr>
              <w:ind w:left="20"/>
              <w:spacing w:after="0" w:line="135" w:lineRule="exact"/>
              <w:rPr>
                <w:sz w:val="20"/>
                <w:szCs w:val="20"/>
                <w:color w:val="auto"/>
              </w:rPr>
            </w:pPr>
            <w:r>
              <w:rPr>
                <w:rFonts w:ascii="Arial" w:cs="Arial" w:eastAsia="Arial" w:hAnsi="Arial"/>
                <w:sz w:val="14"/>
                <w:szCs w:val="14"/>
                <w:color w:val="auto"/>
                <w:w w:val="98"/>
              </w:rPr>
              <w:t>Stock-based compensation</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4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1"/>
                <w:szCs w:val="11"/>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7,934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7,934</w:t>
            </w:r>
          </w:p>
        </w:tc>
        <w:tc>
          <w:tcPr>
            <w:tcW w:w="0" w:type="dxa"/>
            <w:vAlign w:val="bottom"/>
          </w:tcPr>
          <w:p>
            <w:pPr>
              <w:spacing w:after="0"/>
              <w:rPr>
                <w:sz w:val="1"/>
                <w:szCs w:val="1"/>
                <w:color w:val="auto"/>
              </w:rPr>
            </w:pPr>
          </w:p>
        </w:tc>
      </w:tr>
      <w:tr>
        <w:trPr>
          <w:trHeight w:val="186"/>
        </w:trPr>
        <w:tc>
          <w:tcPr>
            <w:tcW w:w="1700" w:type="dxa"/>
            <w:vAlign w:val="bottom"/>
          </w:tcPr>
          <w:p>
            <w:pPr>
              <w:ind w:left="20"/>
              <w:spacing w:after="0"/>
              <w:rPr>
                <w:sz w:val="20"/>
                <w:szCs w:val="20"/>
                <w:color w:val="auto"/>
              </w:rPr>
            </w:pPr>
            <w:r>
              <w:rPr>
                <w:rFonts w:ascii="Arial" w:cs="Arial" w:eastAsia="Arial" w:hAnsi="Arial"/>
                <w:sz w:val="14"/>
                <w:szCs w:val="14"/>
                <w:color w:val="auto"/>
              </w:rPr>
              <w:t>expense</w:t>
            </w: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gridSpan w:val="2"/>
            <w:vMerge w:val="continue"/>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5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209"/>
        </w:trPr>
        <w:tc>
          <w:tcPr>
            <w:tcW w:w="1700" w:type="dxa"/>
            <w:vAlign w:val="bottom"/>
          </w:tcPr>
          <w:p>
            <w:pPr>
              <w:ind w:left="20"/>
              <w:spacing w:after="0"/>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w w:val="95"/>
              </w:rPr>
              <w:t>(50,315)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(50,315)</w:t>
            </w:r>
          </w:p>
        </w:tc>
        <w:tc>
          <w:tcPr>
            <w:tcW w:w="0" w:type="dxa"/>
            <w:vAlign w:val="bottom"/>
          </w:tcPr>
          <w:p>
            <w:pPr>
              <w:spacing w:after="0"/>
              <w:rPr>
                <w:sz w:val="1"/>
                <w:szCs w:val="1"/>
                <w:color w:val="auto"/>
              </w:rPr>
            </w:pPr>
          </w:p>
        </w:tc>
      </w:tr>
      <w:tr>
        <w:trPr>
          <w:trHeight w:val="122"/>
        </w:trPr>
        <w:tc>
          <w:tcPr>
            <w:tcW w:w="1700" w:type="dxa"/>
            <w:vAlign w:val="bottom"/>
          </w:tcPr>
          <w:p>
            <w:pPr>
              <w:ind w:left="20"/>
              <w:spacing w:after="0" w:line="122" w:lineRule="exact"/>
              <w:rPr>
                <w:sz w:val="20"/>
                <w:szCs w:val="20"/>
                <w:color w:val="auto"/>
              </w:rPr>
            </w:pPr>
            <w:r>
              <w:rPr>
                <w:rFonts w:ascii="Arial" w:cs="Arial" w:eastAsia="Arial" w:hAnsi="Arial"/>
                <w:sz w:val="14"/>
                <w:szCs w:val="14"/>
                <w:color w:val="auto"/>
              </w:rPr>
              <w:t>Balances at December 31,</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220" w:type="dxa"/>
            <w:vAlign w:val="bottom"/>
            <w:vMerge w:val="restart"/>
          </w:tcPr>
          <w:p>
            <w:pPr>
              <w:jc w:val="right"/>
              <w:ind w:right="50"/>
              <w:spacing w:after="0"/>
              <w:rPr>
                <w:sz w:val="20"/>
                <w:szCs w:val="20"/>
                <w:color w:val="auto"/>
              </w:rPr>
            </w:pPr>
            <w:r>
              <w:rPr>
                <w:rFonts w:ascii="Arial" w:cs="Arial" w:eastAsia="Arial" w:hAnsi="Arial"/>
                <w:sz w:val="14"/>
                <w:szCs w:val="14"/>
                <w:color w:val="auto"/>
              </w:rPr>
              <w:t>$</w:t>
            </w:r>
          </w:p>
        </w:tc>
        <w:tc>
          <w:tcPr>
            <w:tcW w:w="36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 w:type="dxa"/>
            <w:vAlign w:val="bottom"/>
            <w:vMerge w:val="restart"/>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vMerge w:val="restart"/>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2"/>
              </w:rPr>
              <w:t>124,303,083</w:t>
            </w:r>
          </w:p>
        </w:tc>
        <w:tc>
          <w:tcPr>
            <w:tcW w:w="80" w:type="dxa"/>
            <w:vAlign w:val="bottom"/>
          </w:tcPr>
          <w:p>
            <w:pPr>
              <w:spacing w:after="0"/>
              <w:rPr>
                <w:sz w:val="10"/>
                <w:szCs w:val="10"/>
                <w:color w:val="auto"/>
              </w:rPr>
            </w:pPr>
          </w:p>
        </w:tc>
        <w:tc>
          <w:tcPr>
            <w:tcW w:w="300" w:type="dxa"/>
            <w:vAlign w:val="bottom"/>
            <w:vMerge w:val="restart"/>
          </w:tcPr>
          <w:p>
            <w:pPr>
              <w:jc w:val="right"/>
              <w:ind w:right="13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4"/>
              </w:rPr>
              <w:t>444,388</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(184)</w:t>
            </w:r>
          </w:p>
        </w:tc>
        <w:tc>
          <w:tcPr>
            <w:tcW w:w="80" w:type="dxa"/>
            <w:vAlign w:val="bottom"/>
          </w:tcPr>
          <w:p>
            <w:pPr>
              <w:spacing w:after="0"/>
              <w:rPr>
                <w:sz w:val="10"/>
                <w:szCs w:val="10"/>
                <w:color w:val="auto"/>
              </w:rPr>
            </w:pPr>
          </w:p>
        </w:tc>
        <w:tc>
          <w:tcPr>
            <w:tcW w:w="160" w:type="dxa"/>
            <w:vAlign w:val="bottom"/>
            <w:vMerge w:val="restart"/>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ind w:left="120"/>
              <w:spacing w:after="0"/>
              <w:rPr>
                <w:sz w:val="20"/>
                <w:szCs w:val="20"/>
                <w:color w:val="auto"/>
              </w:rPr>
            </w:pPr>
            <w:r>
              <w:rPr>
                <w:rFonts w:ascii="Arial" w:cs="Arial" w:eastAsia="Arial" w:hAnsi="Arial"/>
                <w:sz w:val="14"/>
                <w:szCs w:val="14"/>
                <w:color w:val="auto"/>
                <w:w w:val="95"/>
              </w:rPr>
              <w:t>(80,640)</w:t>
            </w:r>
          </w:p>
        </w:tc>
        <w:tc>
          <w:tcPr>
            <w:tcW w:w="8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363,576</w:t>
            </w:r>
          </w:p>
        </w:tc>
        <w:tc>
          <w:tcPr>
            <w:tcW w:w="0" w:type="dxa"/>
            <w:vAlign w:val="bottom"/>
          </w:tcPr>
          <w:p>
            <w:pPr>
              <w:spacing w:after="0"/>
              <w:rPr>
                <w:sz w:val="1"/>
                <w:szCs w:val="1"/>
                <w:color w:val="auto"/>
              </w:rPr>
            </w:pPr>
          </w:p>
        </w:tc>
      </w:tr>
      <w:tr>
        <w:trPr>
          <w:trHeight w:val="207"/>
        </w:trPr>
        <w:tc>
          <w:tcPr>
            <w:tcW w:w="1700" w:type="dxa"/>
            <w:vAlign w:val="bottom"/>
          </w:tcPr>
          <w:p>
            <w:pPr>
              <w:ind w:left="20"/>
              <w:spacing w:after="0"/>
              <w:rPr>
                <w:sz w:val="20"/>
                <w:szCs w:val="20"/>
                <w:color w:val="auto"/>
              </w:rPr>
            </w:pPr>
            <w:r>
              <w:rPr>
                <w:rFonts w:ascii="Arial" w:cs="Arial" w:eastAsia="Arial" w:hAnsi="Arial"/>
                <w:sz w:val="14"/>
                <w:szCs w:val="14"/>
                <w:color w:val="auto"/>
              </w:rPr>
              <w:t>2021</w:t>
            </w:r>
          </w:p>
        </w:tc>
        <w:tc>
          <w:tcPr>
            <w:tcW w:w="7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44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3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vMerge w:val="continue"/>
          </w:tcPr>
          <w:p>
            <w:pPr>
              <w:spacing w:after="0"/>
              <w:rPr>
                <w:sz w:val="17"/>
                <w:szCs w:val="17"/>
                <w:color w:val="auto"/>
              </w:rPr>
            </w:pPr>
          </w:p>
        </w:tc>
        <w:tc>
          <w:tcPr>
            <w:tcW w:w="100" w:type="dxa"/>
            <w:vAlign w:val="bottom"/>
            <w:tcBorders>
              <w:right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6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6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340" w:right="320" w:hanging="332"/>
        <w:spacing w:after="0" w:line="273" w:lineRule="auto"/>
        <w:tabs>
          <w:tab w:leader="none" w:pos="220" w:val="left"/>
        </w:tabs>
        <w:numPr>
          <w:ilvl w:val="0"/>
          <w:numId w:val="95"/>
        </w:numPr>
        <w:rPr>
          <w:rFonts w:ascii="Arial" w:cs="Arial" w:eastAsia="Arial" w:hAnsi="Arial"/>
          <w:sz w:val="14"/>
          <w:szCs w:val="14"/>
          <w:color w:val="auto"/>
        </w:rPr>
      </w:pPr>
      <w:r>
        <w:rPr>
          <w:rFonts w:ascii="Arial" w:cs="Arial" w:eastAsia="Arial" w:hAnsi="Arial"/>
          <w:sz w:val="14"/>
          <w:szCs w:val="14"/>
          <w:color w:val="auto"/>
        </w:rPr>
        <w:t>The shares of the Company’s common and redeemable convertible preferred stock, prior to the Business Combination (as defined in Note 1) have been retroactively restated to reflect the exchange ratio of approximately 3.6281 established in the Business Combination as described in Note 3.</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59" w:name="page160"/>
    <w:bookmarkEnd w:id="159"/>
    <w:p>
      <w:pPr>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Statements of Cash Flows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Years Ended December 31, 2021 and 2020</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31, 2021</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1,823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premiums on securities, net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1,261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(221,795)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(2,269)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44,001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(138,964)</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proceeds from reverse recapitalization and PIPE financing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335,409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Payments of offering costs</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(8,129)</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327,447</w:t>
            </w:r>
          </w:p>
        </w:tc>
        <w:tc>
          <w:tcPr>
            <w:tcW w:w="8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75,899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in cash, cash equivalents and restricted cash</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186,461</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Supplementary cash flow information on non-cash activities:</w:t>
            </w: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Conversion of redeemable convertible preferred stock into common stock in connection with the reverse</w:t>
            </w:r>
          </w:p>
        </w:tc>
        <w:tc>
          <w:tcPr>
            <w:tcW w:w="3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108,418</w:t>
            </w:r>
          </w:p>
        </w:tc>
        <w:tc>
          <w:tcPr>
            <w:tcW w:w="8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recapitalization</w:t>
            </w:r>
          </w:p>
        </w:tc>
        <w:tc>
          <w:tcPr>
            <w:tcW w:w="32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Right-of-use assets obtained in exchange for operating lease liability</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29,893</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reclassified to equity</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Modification to reduce right-of-use assets and lease liability</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3,535</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60" w:name="page161"/>
    <w:bookmarkEnd w:id="160"/>
    <w:p>
      <w:pPr>
        <w:ind w:left="20"/>
        <w:spacing w:after="0"/>
        <w:rPr>
          <w:sz w:val="20"/>
          <w:szCs w:val="20"/>
          <w:color w:val="auto"/>
        </w:rPr>
      </w:pPr>
      <w:r>
        <w:rPr>
          <w:rFonts w:ascii="Arial" w:cs="Arial" w:eastAsia="Arial" w:hAnsi="Arial"/>
          <w:sz w:val="22"/>
          <w:szCs w:val="22"/>
          <w:b w:val="1"/>
          <w:bCs w:val="1"/>
          <w:color w:val="auto"/>
        </w:rPr>
        <w:t>Nautilus Biotechnology, Inc.</w:t>
      </w:r>
    </w:p>
    <w:p>
      <w:pPr>
        <w:ind w:left="20"/>
        <w:spacing w:after="0"/>
        <w:rPr>
          <w:sz w:val="20"/>
          <w:szCs w:val="20"/>
          <w:color w:val="auto"/>
        </w:rPr>
      </w:pPr>
      <w:r>
        <w:rPr>
          <w:rFonts w:ascii="Arial" w:cs="Arial" w:eastAsia="Arial" w:hAnsi="Arial"/>
          <w:sz w:val="22"/>
          <w:szCs w:val="22"/>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660" w:hanging="652"/>
        <w:spacing w:after="0"/>
        <w:tabs>
          <w:tab w:leader="none" w:pos="66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June 9, 2021 (the “Closing Date”), Nautilus Biotechnology, Inc. a Delaware corporate (f/k/a ARYA Sciences Acquisition Corp. III, a Cayman Islands exempted company and the Company’s predecessor company (“ARYA”)), consummated the previously announced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spacing w:after="0" w:line="112"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Note 3 “Reverse Recapitalization” for further details of the Business Combination.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consolidated financial statements and accompanying notes were prepared in accordance with accounting principles generally accepted in the United States of America (“U.S. GAAP”) and regulations of the U.S. Securities and Exchange Commission. The accompanying financial statements are consolidated for the year ended December 31, 2021 and include the accounts of Nautilus Biotechnology, Inc. (i.e. former ARYA) and its wholly-owned subsidiary, Legacy Nautilus, following the Reverse Recapitalization as further discussed in Note 3 “Reverse Recapitalization.” All other accompanying financial statements as of December 31, 2020 and for the year ended December 31, 2020 include only the accounts of Legacy Nautilus. All intercompany transactions and balances have been eliminated upon consolidation. The Company’s reporting currency is the U.S. dollar.</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Company’s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2021, the Company had an accumulated deficit of $80.6 million.</w:t>
      </w:r>
    </w:p>
    <w:p>
      <w:pPr>
        <w:spacing w:after="0" w:line="12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The Company has funded its operations primarily with proceeds from the issuance of redeemable convertible preferred stock and common stock. The Company had cash, cash equivalents, and short-term investments of $345.7 million as of December 31, 2021. In June 2021, the Company received gross proceeds of approximately $345.5 million from PIPE Investors and the Business Combination offset by approximately $18.2 million of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61" w:name="page162"/>
    <w:bookmarkEnd w:id="16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costs and underwriters’ fees relating to the closing of the Business Combination. As of the date on which these consolidated financial statements were available to be issued, the Company believes that its cash, cash equivalents, and short-term investments will be sufficient to fund its operations for the next twelve months following the issuance of the consolidated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While the duration and extent of the COVID-19 pandemic depends on future developments that cannot be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the Company’s research and development activities.</w:t>
      </w:r>
    </w:p>
    <w:p>
      <w:pPr>
        <w:spacing w:after="0" w:line="138"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62" w:name="page163"/>
    <w:bookmarkEnd w:id="16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prior to the date the Company became public, research and development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Credit risk represents the accounting loss that would be recognized as of the reporting date if counterparties failed completely to perform as contracted.</w:t>
      </w:r>
    </w:p>
    <w:p>
      <w:pPr>
        <w:spacing w:after="0" w:line="19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platform. The loss of any of these single source suppliers would require us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spacing w:after="0" w:line="12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63" w:name="page164"/>
    <w:bookmarkEnd w:id="16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considers all highly-liquid investments with an original maturity of three months or less as of the date of acquisition to be cash equivalents.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 classifies those investments that are not required for use in current operations and that mature in more than 12 months as long-term investments.</w:t>
      </w:r>
    </w:p>
    <w:p>
      <w:pPr>
        <w:spacing w:after="0" w:line="130" w:lineRule="exact"/>
        <w:rPr>
          <w:sz w:val="20"/>
          <w:szCs w:val="20"/>
          <w:color w:val="auto"/>
        </w:rPr>
      </w:pPr>
    </w:p>
    <w:p>
      <w:pPr>
        <w:jc w:val="both"/>
        <w:ind w:right="60"/>
        <w:spacing w:after="0" w:line="311" w:lineRule="auto"/>
        <w:rPr>
          <w:sz w:val="20"/>
          <w:szCs w:val="20"/>
          <w:color w:val="auto"/>
        </w:rPr>
      </w:pPr>
      <w:r>
        <w:rPr>
          <w:rFonts w:ascii="Arial" w:cs="Arial" w:eastAsia="Arial" w:hAnsi="Arial"/>
          <w:sz w:val="16"/>
          <w:szCs w:val="16"/>
          <w:color w:val="auto"/>
        </w:rPr>
        <w:t>The Company classifies its investments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consolidated statement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Other-than-temporary Impairment</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evaluates its investments with unrealized losses for other-than-temporary impairment. When assessing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consolidated statement of operations and consolidated statement of comprehensive loss. No such adjustments were necessary during the periods presented.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w:t>
      </w:r>
    </w:p>
    <w:p>
      <w:pPr>
        <w:spacing w:after="0" w:line="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Level 1, defined as observable inputs such as quoted prices for identical instruments in active markets;</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116"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carrying amounts of cash and cash equivalents, prepaid expenses and other current assets, accounts payable and accrued expenses and other liabilities approximate their respective fair values due to their short-term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80" w:right="399" w:bottom="1440" w:gutter="0" w:footer="0" w:header="0"/>
        </w:sectPr>
      </w:pPr>
    </w:p>
    <w:bookmarkStart w:id="164" w:name="page165"/>
    <w:bookmarkEnd w:id="16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Offering Costs</w:t>
      </w:r>
    </w:p>
    <w:p>
      <w:pPr>
        <w:spacing w:after="0" w:line="17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Specific incremental costs (i.e. consisting of legal, accounting and other fees and costs) directly attributable to a proposed or actual offering of securities are deferred and charged against the gross proceeds of the offering. In the event of a significant delay or cancellation of a planned offering of securities, all of the costs are expensed. Offering costs capitalized as of December 31, 2020 were $0.2 million and are included within Other long term assets on the Company's consolidated balance sheets. There were no deferred offering costs capitalized as of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Property and equipment, net, consisting primarily of laboratory equipment, computers, furniture and fixtures, and office equipment are recorded at cost and are depreciated on a straight-line basis over their estimated useful life.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Useful lives assigned to property and equipment are as follows:</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57"/>
        </w:trPr>
        <w:tc>
          <w:tcPr>
            <w:tcW w:w="2980" w:type="dxa"/>
            <w:vAlign w:val="bottom"/>
          </w:tcPr>
          <w:p>
            <w:pPr>
              <w:spacing w:after="0"/>
              <w:rPr>
                <w:sz w:val="20"/>
                <w:szCs w:val="20"/>
                <w:color w:val="auto"/>
              </w:rPr>
            </w:pPr>
            <w:r>
              <w:rPr>
                <w:rFonts w:ascii="Arial" w:cs="Arial" w:eastAsia="Arial" w:hAnsi="Arial"/>
                <w:sz w:val="18"/>
                <w:szCs w:val="18"/>
                <w:color w:val="auto"/>
              </w:rPr>
              <w:t>Laboratory equipment</w:t>
            </w:r>
          </w:p>
        </w:tc>
        <w:tc>
          <w:tcPr>
            <w:tcW w:w="5120" w:type="dxa"/>
            <w:vAlign w:val="bottom"/>
          </w:tcPr>
          <w:p>
            <w:pPr>
              <w:ind w:left="1140"/>
              <w:spacing w:after="0"/>
              <w:rPr>
                <w:sz w:val="20"/>
                <w:szCs w:val="20"/>
                <w:color w:val="auto"/>
              </w:rPr>
            </w:pPr>
            <w:r>
              <w:rPr>
                <w:rFonts w:ascii="Arial" w:cs="Arial" w:eastAsia="Arial" w:hAnsi="Arial"/>
                <w:sz w:val="18"/>
                <w:szCs w:val="18"/>
                <w:color w:val="auto"/>
              </w:rPr>
              <w:t>3 years to 5 years</w:t>
            </w:r>
          </w:p>
        </w:tc>
        <w:tc>
          <w:tcPr>
            <w:tcW w:w="0" w:type="dxa"/>
            <w:vAlign w:val="bottom"/>
          </w:tcPr>
          <w:p>
            <w:pPr>
              <w:spacing w:after="0"/>
              <w:rPr>
                <w:sz w:val="1"/>
                <w:szCs w:val="1"/>
                <w:color w:val="auto"/>
              </w:rPr>
            </w:pPr>
          </w:p>
        </w:tc>
      </w:tr>
      <w:tr>
        <w:trPr>
          <w:trHeight w:val="243"/>
        </w:trPr>
        <w:tc>
          <w:tcPr>
            <w:tcW w:w="2980" w:type="dxa"/>
            <w:vAlign w:val="bottom"/>
            <w:vMerge w:val="restart"/>
          </w:tcPr>
          <w:p>
            <w:pPr>
              <w:spacing w:after="0"/>
              <w:rPr>
                <w:sz w:val="20"/>
                <w:szCs w:val="20"/>
                <w:color w:val="auto"/>
              </w:rPr>
            </w:pPr>
            <w:r>
              <w:rPr>
                <w:rFonts w:ascii="Arial" w:cs="Arial" w:eastAsia="Arial" w:hAnsi="Arial"/>
                <w:sz w:val="18"/>
                <w:szCs w:val="18"/>
                <w:color w:val="auto"/>
              </w:rPr>
              <w:t>Computer hardware</w:t>
            </w:r>
          </w:p>
        </w:tc>
        <w:tc>
          <w:tcPr>
            <w:tcW w:w="5120" w:type="dxa"/>
            <w:vAlign w:val="bottom"/>
          </w:tcPr>
          <w:p>
            <w:pPr>
              <w:ind w:left="11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980" w:type="dxa"/>
            <w:vAlign w:val="bottom"/>
            <w:vMerge w:val="restart"/>
          </w:tcPr>
          <w:p>
            <w:pPr>
              <w:spacing w:after="0"/>
              <w:rPr>
                <w:sz w:val="20"/>
                <w:szCs w:val="20"/>
                <w:color w:val="auto"/>
              </w:rPr>
            </w:pPr>
            <w:r>
              <w:rPr>
                <w:rFonts w:ascii="Arial" w:cs="Arial" w:eastAsia="Arial" w:hAnsi="Arial"/>
                <w:sz w:val="18"/>
                <w:szCs w:val="18"/>
                <w:color w:val="auto"/>
              </w:rPr>
              <w:t>Furniture and fixtures</w:t>
            </w:r>
          </w:p>
        </w:tc>
        <w:tc>
          <w:tcPr>
            <w:tcW w:w="5120" w:type="dxa"/>
            <w:vAlign w:val="bottom"/>
          </w:tcPr>
          <w:p>
            <w:pPr>
              <w:ind w:left="1140"/>
              <w:spacing w:after="0"/>
              <w:rPr>
                <w:sz w:val="20"/>
                <w:szCs w:val="20"/>
                <w:color w:val="auto"/>
              </w:rPr>
            </w:pPr>
            <w:r>
              <w:rPr>
                <w:rFonts w:ascii="Arial" w:cs="Arial" w:eastAsia="Arial" w:hAnsi="Arial"/>
                <w:sz w:val="18"/>
                <w:szCs w:val="18"/>
                <w:color w:val="auto"/>
              </w:rPr>
              <w:t>3 years</w:t>
            </w:r>
          </w:p>
        </w:tc>
        <w:tc>
          <w:tcPr>
            <w:tcW w:w="0" w:type="dxa"/>
            <w:vAlign w:val="bottom"/>
          </w:tcPr>
          <w:p>
            <w:pPr>
              <w:spacing w:after="0"/>
              <w:rPr>
                <w:sz w:val="1"/>
                <w:szCs w:val="1"/>
                <w:color w:val="auto"/>
              </w:rPr>
            </w:pPr>
          </w:p>
        </w:tc>
      </w:tr>
      <w:tr>
        <w:trPr>
          <w:trHeight w:val="162"/>
        </w:trPr>
        <w:tc>
          <w:tcPr>
            <w:tcW w:w="2980" w:type="dxa"/>
            <w:vAlign w:val="bottom"/>
            <w:vMerge w:val="continue"/>
          </w:tcPr>
          <w:p>
            <w:pPr>
              <w:spacing w:after="0"/>
              <w:rPr>
                <w:sz w:val="14"/>
                <w:szCs w:val="14"/>
                <w:color w:val="auto"/>
              </w:rPr>
            </w:pPr>
          </w:p>
        </w:tc>
        <w:tc>
          <w:tcPr>
            <w:tcW w:w="5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2980" w:type="dxa"/>
            <w:vAlign w:val="bottom"/>
          </w:tcPr>
          <w:p>
            <w:pPr>
              <w:spacing w:after="0"/>
              <w:rPr>
                <w:sz w:val="20"/>
                <w:szCs w:val="20"/>
                <w:color w:val="auto"/>
              </w:rPr>
            </w:pPr>
            <w:r>
              <w:rPr>
                <w:rFonts w:ascii="Arial" w:cs="Arial" w:eastAsia="Arial" w:hAnsi="Arial"/>
                <w:sz w:val="18"/>
                <w:szCs w:val="18"/>
                <w:color w:val="212529"/>
              </w:rPr>
              <w:t>Office equipment</w:t>
            </w:r>
          </w:p>
        </w:tc>
        <w:tc>
          <w:tcPr>
            <w:tcW w:w="5120" w:type="dxa"/>
            <w:vAlign w:val="bottom"/>
          </w:tcPr>
          <w:p>
            <w:pPr>
              <w:ind w:left="1140"/>
              <w:spacing w:after="0"/>
              <w:rPr>
                <w:sz w:val="20"/>
                <w:szCs w:val="20"/>
                <w:color w:val="auto"/>
              </w:rPr>
            </w:pPr>
            <w:r>
              <w:rPr>
                <w:rFonts w:ascii="Arial" w:cs="Arial" w:eastAsia="Arial" w:hAnsi="Arial"/>
                <w:sz w:val="18"/>
                <w:szCs w:val="18"/>
                <w:color w:val="auto"/>
              </w:rPr>
              <w:t>3 years to 5 years</w:t>
            </w:r>
          </w:p>
        </w:tc>
        <w:tc>
          <w:tcPr>
            <w:tcW w:w="0" w:type="dxa"/>
            <w:vAlign w:val="bottom"/>
          </w:tcPr>
          <w:p>
            <w:pPr>
              <w:spacing w:after="0"/>
              <w:rPr>
                <w:sz w:val="1"/>
                <w:szCs w:val="1"/>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212529"/>
              </w:rPr>
              <w:t>Leasehold improvements</w:t>
            </w:r>
          </w:p>
        </w:tc>
        <w:tc>
          <w:tcPr>
            <w:tcW w:w="5120" w:type="dxa"/>
            <w:vAlign w:val="bottom"/>
          </w:tcPr>
          <w:p>
            <w:pPr>
              <w:ind w:left="1140"/>
              <w:spacing w:after="0"/>
              <w:rPr>
                <w:sz w:val="20"/>
                <w:szCs w:val="20"/>
                <w:color w:val="auto"/>
              </w:rPr>
            </w:pPr>
            <w:r>
              <w:rPr>
                <w:rFonts w:ascii="Arial" w:cs="Arial" w:eastAsia="Arial" w:hAnsi="Arial"/>
                <w:sz w:val="18"/>
                <w:szCs w:val="18"/>
                <w:color w:val="212529"/>
                <w:w w:val="90"/>
              </w:rPr>
              <w:t>Shorter of estimated useful life or remaining lease term</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When assets are retired or otherwise disposed of, the cost and related accumulated depreciation are removed from the accounts, and any resulting gain or loss is recognized as income or loss for the period.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Maintenance and repairs are charged to operating expense in the period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periodically reviews its long-lived assets, including property and equipment, for impairment whenever events or changes in circumstances indicate that the carrying amount of the asset may not be recoverable.</w:t>
      </w:r>
    </w:p>
    <w:p>
      <w:pPr>
        <w:spacing w:after="0" w:line="11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With respect to property and equipment subject to depreciation, the Company compares the carrying value of the long-lived assets with the estimated future net undiscounted cash flows expected to result from the use and 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in any of the periods presented.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65" w:name="page166"/>
    <w:bookmarkEnd w:id="16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11"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9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As part of the process of preparing its financial statements, the Company estimates its accrued expenses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7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 xml:space="preserve">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w:t>
      </w:r>
      <w:r>
        <w:rPr>
          <w:rFonts w:ascii="Arial" w:cs="Arial" w:eastAsia="Arial" w:hAnsi="Arial"/>
          <w:sz w:val="16"/>
          <w:szCs w:val="16"/>
          <w:i w:val="1"/>
          <w:iCs w:val="1"/>
          <w:color w:val="auto"/>
        </w:rPr>
        <w:t>Valuation of Privately-Held-Company Equity Securities Issued as Compensation.</w:t>
      </w:r>
      <w:r>
        <w:rPr>
          <w:rFonts w:ascii="Arial" w:cs="Arial" w:eastAsia="Arial" w:hAnsi="Arial"/>
          <w:sz w:val="16"/>
          <w:szCs w:val="16"/>
          <w:color w:val="auto"/>
        </w:rPr>
        <w:t xml:space="preserve"> Determining the best estimated fair value of the Company’s common stock requires significant judgement and management considers several factors, including the Company’s stage of development, equity market conditions affecting comparable public companies, significant milestones and progress of research and development efforts. Subsequent to the completion of the Business Combination (as defined in Note 1 and further described in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66" w:name="page167"/>
    <w:bookmarkEnd w:id="16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960"/>
        <w:spacing w:after="0" w:line="438" w:lineRule="auto"/>
        <w:rPr>
          <w:sz w:val="20"/>
          <w:szCs w:val="20"/>
          <w:color w:val="auto"/>
        </w:rPr>
      </w:pPr>
      <w:r>
        <w:rPr>
          <w:rFonts w:ascii="Arial" w:cs="Arial" w:eastAsia="Arial" w:hAnsi="Arial"/>
          <w:sz w:val="18"/>
          <w:szCs w:val="18"/>
          <w:color w:val="auto"/>
        </w:rPr>
        <w:t xml:space="preserve">the fair value of the Company’s common stock is determined by using the closing price per share of common stock as reported on the Nasdaq. </w:t>
      </w:r>
      <w:r>
        <w:rPr>
          <w:rFonts w:ascii="Arial" w:cs="Arial" w:eastAsia="Arial" w:hAnsi="Arial"/>
          <w:sz w:val="18"/>
          <w:szCs w:val="18"/>
          <w:b w:val="1"/>
          <w:bCs w:val="1"/>
          <w:i w:val="1"/>
          <w:iCs w:val="1"/>
          <w:color w:val="auto"/>
        </w:rPr>
        <w:t>Stock-based Compensation</w:t>
      </w:r>
    </w:p>
    <w:p>
      <w:pPr>
        <w:spacing w:after="0" w:line="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 The Company’s stock-based compensation programs include stock options grants, as well as shares issued under its 2021 Employee Stock Purchase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Company calculates the expected term as the mid-point between the requisite service period and the contractual term of the award.</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bases its estimate of expected volatility on the historical volatility of comparable companies from a representative peer group selected based on industry, financial, and market capitalization data.</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never declared or paid any dividends and does not currently expect to do so in the future. The risk-free interest rate used in the model is based on the implied yield currently available in the U.S. Treasury securities at maturity with an equivalent term.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Comprehensive loss consists of net loss and other gains or losses affecting stockholders’ equity (deficit) that, under U.S. GAAP are excluded from net loss.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For the years ended December 31, 2021 and 2020, unrealized losses on debt securities were included as components of comprehensive loss.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the redeemable convertible preferred stock, common stock subject to repurchase, stock options and common stock warrants are considered to be potentially dilutive securities. Basic and diluted net loss per share attributable to common stockholders is presented in conformity with the two-class method required for participating securities as the redeemable convertible preferred stock and early exercised stock options are considered to be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undistributed earnings as if all income (loss) for the period had been distributed. The Company’s redeemable convertible preferred stock does not have a contractual obligation to share in the Company’s losses. As such, the net loss is attributed entirely to common stockholders. Since the Company has reported a net loss for all periods presented, diluted net loss per common share is the same as basic net loss per common share for those periods.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167" w:name="page168"/>
    <w:bookmarkEnd w:id="16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adopted this guidance effective January 1, 2021 using the prospective method, which did not have a material impact on the Company’s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7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Financial Instruments- 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which amends existing guidance on the impairment of financial assets and adds an impairment model that is based on expected losses rather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This ASU is effective for the Company for its fiscal year ending December 31, 2023. Early adoption is permitted. The Company is in the process of evaluating the impact of the adoption of this ASU on its consolidated financial statements and related disclosures. The Company does not anticipate adoption to have a material impact on its consolidated financial statements.</w:t>
      </w:r>
    </w:p>
    <w:p>
      <w:pPr>
        <w:spacing w:after="0" w:line="124"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 xml:space="preserve">In December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This ASU is effective for the Company for its fiscal year ending December 31, 2022. Early adoption is permitted. The Company is in the process of evaluating the impact of the adoption of this ASU on its consolidated financial statements and related disclosures. The Company does not anticipate adoption to have a material impact on its consolidated financial statements.</w:t>
      </w:r>
    </w:p>
    <w:p>
      <w:pPr>
        <w:spacing w:after="0" w:line="1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of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consolidated financial statements and related disclosures. The Company does not anticipate adoption to have a material impact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68" w:name="page169"/>
    <w:bookmarkEnd w:id="16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Reverse Recapitalization</w:t>
      </w:r>
    </w:p>
    <w:p>
      <w:pPr>
        <w:spacing w:after="0" w:line="1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On June 9, 2021, Mako Merger Sub merged with Legacy Nautilus, with Legacy Nautilus surviving as the surviving company and as a wholly-owned subsidiary of ARYA.</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Business Combination, Legacy Nautilus equity holders received an aggregate number of shares of New Nautilus Common Stock equal to</w:t>
      </w:r>
    </w:p>
    <w:p>
      <w:pPr>
        <w:spacing w:after="0" w:line="46" w:lineRule="exact"/>
        <w:rPr>
          <w:sz w:val="20"/>
          <w:szCs w:val="20"/>
          <w:color w:val="auto"/>
        </w:rPr>
      </w:pPr>
    </w:p>
    <w:p>
      <w:pPr>
        <w:ind w:right="20" w:firstLine="8"/>
        <w:spacing w:after="0" w:line="285" w:lineRule="auto"/>
        <w:tabs>
          <w:tab w:leader="none" w:pos="215" w:val="left"/>
        </w:tabs>
        <w:numPr>
          <w:ilvl w:val="0"/>
          <w:numId w:val="99"/>
        </w:numPr>
        <w:rPr>
          <w:rFonts w:ascii="Arial" w:cs="Arial" w:eastAsia="Arial" w:hAnsi="Arial"/>
          <w:sz w:val="16"/>
          <w:szCs w:val="16"/>
          <w:color w:val="auto"/>
        </w:rPr>
      </w:pPr>
      <w:r>
        <w:rPr>
          <w:rFonts w:ascii="Arial" w:cs="Arial" w:eastAsia="Arial" w:hAnsi="Arial"/>
          <w:sz w:val="16"/>
          <w:szCs w:val="16"/>
          <w:color w:val="auto"/>
        </w:rPr>
        <w:t>$900.0 million plus $24.3 million, which reflects the aggregate exercise price of all stock options (whether vested or unvested) of Legacy Nautilus at the consummation of the Business Combination, divided by (ii) $10.00 giving effect to the exchange ratio of approximately 3.6281 (“Exchange Ratio”) based on the terms of the Business Combination Agreement. For purposes of calculating the aggregate number of New Nautilus Common Stock issuable to each holder of Legacy Nautilus Common Stock pursuant to the Business Combination Agreement, all Legacy Nautilus Common Stock held by such holder was aggregated, and the Exchange Ratio was applied to that aggregate number of shares held by such holder, and not on a share-by-share basis, and the number of New Nautilus Common Stock issued was rounded down to the nearest whole share. At the Closing Date, (i) an aggregate of 18,721,137 shares of Class A and Class B ordinary shares of ARYA were exchanged for an equivalent number of Common Stock, (ii) an aggregate of 85,324,118 shares of Common Stock were issued in exchange for the shares of Nautilus outstanding as of immediately prior to the Business Combination and (iii) an aggregate of 20,000,000 shares of Common stock were issued to the PIPE Investors in the PIPE Financing with total gross proceeds of $200.0 million. Moreover, at the Closing, all options to purchase shares of Nautilus were exchanged for comparable options to purchase shares of Common Stock based on an implied Legacy Nautilus equity value of $900.0 million. Immediately after giving effect to the transactions, there were 124,045,255 shares of Common Stock outstanding and 7,106,767 shares of Common Stock subject to outstanding options under the 2017 Plan.</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Business Combination is accounted for as a reverse recapitalization under U.S. GAAP. This determination is primarily based on Legacy Nautilus stockholders comprising a relative majority of the voting power of Nautilus and having the ability to nominate the members of the Board, Legacy Nautilus’s operations prior to the acquisition comprising the only ongoing operations of Nautilus, and Legacy Nautilus’s senior management comprising a majority of the senior management of Nautilus. Under this method of accounting, ARYA is treated as the “acquired” company for financial reporting purposes. Accordingly, for accounting purposes, the financial statements of Nautilus represent a continuation of the financial statements of Legacy Nautilus with the Business Combination being treated as the equivalent of Nautilus issuing stock for the net assets of ARYA, accompanied by a recapitalization. The net assets of ARYA are stated at historical costs, with no goodwill or other intangible assets recorded. Operations prior to the Business Combination are presented as those of Nautilus. All periods prior to the Business Combination have been retrospectively adjusted using the Exchange Ratio for the equivalent number of shares outstanding immediately after the Business Combination to effect the reverse recapitalization.</w:t>
      </w:r>
    </w:p>
    <w:p>
      <w:pPr>
        <w:spacing w:after="0" w:line="11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Business Combination, the Company raised $335.4 million of net proceeds. This amount was comprised of $135.4 million of cash held in ARYA’s trust account from its initial public offering, net of ARYA’s transaction costs and underwriters’ fees of $10.1 million, and $200.0 million of cash in connection with the PIPE Financing. The Company incurred $8.1 million of transaction costs, consisting of banking, legal, and other professional fees which were recorded as a reduction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80" w:right="359" w:bottom="1440" w:gutter="0" w:footer="0" w:header="0"/>
        </w:sectPr>
      </w:pPr>
    </w:p>
    <w:bookmarkStart w:id="169" w:name="page170"/>
    <w:bookmarkEnd w:id="16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Common Stock issued immediately following the consummation of the Business Combination was: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3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Number of shares</w:t>
            </w:r>
          </w:p>
        </w:tc>
      </w:tr>
      <w:tr>
        <w:trPr>
          <w:trHeight w:val="24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of ARYA outstanding prior to the Business Combination</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19,186,500</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redemption of ARYA shares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(465,363)</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of ARYA</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18,721,137</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issued in PIPE Financing</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20,000,000</w:t>
            </w:r>
          </w:p>
        </w:tc>
      </w:tr>
      <w:tr>
        <w:trPr>
          <w:trHeight w:val="223"/>
        </w:trPr>
        <w:tc>
          <w:tcPr>
            <w:tcW w:w="9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Combination and PIPE Financing shares</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38,721,137</w:t>
            </w:r>
          </w:p>
        </w:tc>
      </w:tr>
      <w:tr>
        <w:trPr>
          <w:trHeight w:val="229"/>
        </w:trPr>
        <w:tc>
          <w:tcPr>
            <w:tcW w:w="9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Legacy Nautilus shares</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85,324,118</w:t>
            </w:r>
          </w:p>
        </w:tc>
      </w:tr>
      <w:tr>
        <w:trPr>
          <w:trHeight w:val="248"/>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immediately after the Business Combination</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124,045,255</w:t>
            </w: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December 31,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7"/>
          </w:tcPr>
          <w:p>
            <w:pPr>
              <w:ind w:left="420"/>
              <w:spacing w:after="0"/>
              <w:rPr>
                <w:sz w:val="20"/>
                <w:szCs w:val="20"/>
                <w:color w:val="auto"/>
              </w:rPr>
            </w:pPr>
            <w:r>
              <w:rPr>
                <w:rFonts w:ascii="Arial" w:cs="Arial" w:eastAsia="Arial" w:hAnsi="Arial"/>
                <w:sz w:val="14"/>
                <w:szCs w:val="14"/>
                <w:b w:val="1"/>
                <w:bCs w:val="1"/>
                <w:color w:val="auto"/>
              </w:rPr>
              <w:t>Gross Unrealized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Reported as:</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1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1"/>
                <w:szCs w:val="11"/>
                <w:color w:val="auto"/>
              </w:rPr>
            </w:pPr>
          </w:p>
        </w:tc>
        <w:tc>
          <w:tcPr>
            <w:tcW w:w="11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Short-term</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Long-term</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3"/>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8"/>
              </w:rPr>
              <w:t>equivalents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investments</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20" w:type="dxa"/>
            <w:vAlign w:val="bottom"/>
            <w:gridSpan w:val="2"/>
          </w:tcPr>
          <w:p>
            <w:pPr>
              <w:jc w:val="right"/>
              <w:ind w:right="122"/>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21,925</w:t>
            </w:r>
          </w:p>
        </w:tc>
        <w:tc>
          <w:tcPr>
            <w:tcW w:w="20" w:type="dxa"/>
            <w:vAlign w:val="bottom"/>
          </w:tcPr>
          <w:p>
            <w:pPr>
              <w:spacing w:after="0"/>
              <w:rPr>
                <w:sz w:val="19"/>
                <w:szCs w:val="19"/>
                <w:color w:val="auto"/>
              </w:rPr>
            </w:pPr>
          </w:p>
        </w:tc>
        <w:tc>
          <w:tcPr>
            <w:tcW w:w="34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center"/>
              <w:ind w:left="513"/>
              <w:spacing w:after="0"/>
              <w:rPr>
                <w:sz w:val="20"/>
                <w:szCs w:val="20"/>
                <w:color w:val="auto"/>
              </w:rPr>
            </w:pPr>
            <w:r>
              <w:rPr>
                <w:rFonts w:ascii="Arial" w:cs="Arial" w:eastAsia="Arial" w:hAnsi="Arial"/>
                <w:sz w:val="18"/>
                <w:szCs w:val="18"/>
                <w:color w:val="auto"/>
                <w:w w:val="99"/>
              </w:rPr>
              <w:t>—</w:t>
            </w:r>
          </w:p>
        </w:tc>
        <w:tc>
          <w:tcPr>
            <w:tcW w:w="3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21,925</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21,925</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16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37,061</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21,925</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15,136</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Level 2</w:t>
            </w: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301,906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301,818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163,694</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138,124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14,299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Agency bonds</w:t>
            </w: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Level 2</w:t>
            </w: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325,203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325,039</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163,694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144,974</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16,371</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160" w:type="dxa"/>
            <w:vAlign w:val="bottom"/>
          </w:tcPr>
          <w:p>
            <w:pPr>
              <w:ind w:left="240"/>
              <w:spacing w:after="0" w:line="156" w:lineRule="exact"/>
              <w:rPr>
                <w:sz w:val="20"/>
                <w:szCs w:val="20"/>
                <w:color w:val="auto"/>
              </w:rPr>
            </w:pPr>
            <w:r>
              <w:rPr>
                <w:rFonts w:ascii="Arial" w:cs="Arial" w:eastAsia="Arial" w:hAnsi="Arial"/>
                <w:sz w:val="18"/>
                <w:szCs w:val="18"/>
                <w:color w:val="auto"/>
              </w:rPr>
              <w:t>Total Level 1 and Level</w:t>
            </w:r>
          </w:p>
        </w:tc>
        <w:tc>
          <w:tcPr>
            <w:tcW w:w="20" w:type="dxa"/>
            <w:vAlign w:val="bottom"/>
            <w:vMerge w:val="restart"/>
          </w:tcPr>
          <w:p>
            <w:pPr>
              <w:spacing w:after="0"/>
              <w:rPr>
                <w:sz w:val="13"/>
                <w:szCs w:val="13"/>
                <w:color w:val="auto"/>
              </w:rPr>
            </w:pPr>
          </w:p>
        </w:tc>
        <w:tc>
          <w:tcPr>
            <w:tcW w:w="300" w:type="dxa"/>
            <w:vAlign w:val="bottom"/>
            <w:vMerge w:val="restart"/>
          </w:tcPr>
          <w:p>
            <w:pPr>
              <w:jc w:val="right"/>
              <w:ind w:right="122"/>
              <w:spacing w:after="0"/>
              <w:rPr>
                <w:sz w:val="20"/>
                <w:szCs w:val="20"/>
                <w:color w:val="auto"/>
              </w:rPr>
            </w:pPr>
            <w:r>
              <w:rPr>
                <w:rFonts w:ascii="Arial" w:cs="Arial" w:eastAsia="Arial" w:hAnsi="Arial"/>
                <w:sz w:val="18"/>
                <w:szCs w:val="18"/>
                <w:color w:val="auto"/>
                <w:w w:val="79"/>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362,284</w:t>
            </w:r>
          </w:p>
        </w:tc>
        <w:tc>
          <w:tcPr>
            <w:tcW w:w="20" w:type="dxa"/>
            <w:vAlign w:val="bottom"/>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(186)</w:t>
            </w:r>
          </w:p>
        </w:tc>
        <w:tc>
          <w:tcPr>
            <w:tcW w:w="100" w:type="dxa"/>
            <w:vAlign w:val="bottom"/>
            <w:gridSpan w:val="2"/>
            <w:vMerge w:val="restart"/>
          </w:tcPr>
          <w:p>
            <w:pPr>
              <w:spacing w:after="0"/>
              <w:rPr>
                <w:sz w:val="13"/>
                <w:szCs w:val="13"/>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362,100</w:t>
            </w:r>
          </w:p>
        </w:tc>
        <w:tc>
          <w:tcPr>
            <w:tcW w:w="40" w:type="dxa"/>
            <w:vAlign w:val="bottom"/>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185,619</w:t>
            </w:r>
          </w:p>
        </w:tc>
        <w:tc>
          <w:tcPr>
            <w:tcW w:w="40" w:type="dxa"/>
            <w:vAlign w:val="bottom"/>
          </w:tcPr>
          <w:p>
            <w:pPr>
              <w:spacing w:after="0"/>
              <w:rPr>
                <w:sz w:val="13"/>
                <w:szCs w:val="13"/>
                <w:color w:val="auto"/>
              </w:rPr>
            </w:pPr>
          </w:p>
        </w:tc>
        <w:tc>
          <w:tcPr>
            <w:tcW w:w="80" w:type="dxa"/>
            <w:vAlign w:val="bottom"/>
            <w:gridSpan w:val="2"/>
            <w:vMerge w:val="restart"/>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160,110</w:t>
            </w:r>
          </w:p>
        </w:tc>
        <w:tc>
          <w:tcPr>
            <w:tcW w:w="40" w:type="dxa"/>
            <w:vAlign w:val="bottom"/>
          </w:tcPr>
          <w:p>
            <w:pPr>
              <w:spacing w:after="0"/>
              <w:rPr>
                <w:sz w:val="13"/>
                <w:szCs w:val="13"/>
                <w:color w:val="auto"/>
              </w:rPr>
            </w:pPr>
          </w:p>
        </w:tc>
        <w:tc>
          <w:tcPr>
            <w:tcW w:w="100" w:type="dxa"/>
            <w:vAlign w:val="bottom"/>
            <w:gridSpan w:val="2"/>
            <w:vMerge w:val="restart"/>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16,371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240"/>
              <w:spacing w:after="0" w:line="202"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300" w:type="dxa"/>
            <w:vAlign w:val="bottom"/>
            <w:tcBorders>
              <w:bottom w:val="single" w:sz="8" w:color="auto"/>
            </w:tcBorders>
            <w:vMerge w:val="continue"/>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40" w:type="dxa"/>
            <w:vAlign w:val="bottom"/>
            <w:tcBorders>
              <w:bottom w:val="single" w:sz="8" w:color="auto"/>
            </w:tcBorders>
            <w:vMerge w:val="continue"/>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gridSpan w:val="2"/>
            <w:vMerge w:val="continue"/>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200" w:type="dxa"/>
            <w:vAlign w:val="bottom"/>
            <w:tcBorders>
              <w:bottom w:val="single" w:sz="8" w:color="auto"/>
            </w:tcBorders>
            <w:vMerge w:val="continue"/>
          </w:tcPr>
          <w:p>
            <w:pPr>
              <w:spacing w:after="0"/>
              <w:rPr>
                <w:sz w:val="17"/>
                <w:szCs w:val="17"/>
                <w:color w:val="auto"/>
              </w:rPr>
            </w:pPr>
          </w:p>
        </w:tc>
        <w:tc>
          <w:tcPr>
            <w:tcW w:w="102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gridSpan w:val="2"/>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gridSpan w:val="2"/>
            <w:vMerge w:val="continue"/>
          </w:tcPr>
          <w:p>
            <w:pPr>
              <w:spacing w:after="0"/>
              <w:rPr>
                <w:sz w:val="17"/>
                <w:szCs w:val="17"/>
                <w:color w:val="auto"/>
              </w:rPr>
            </w:pPr>
          </w:p>
        </w:tc>
        <w:tc>
          <w:tcPr>
            <w:tcW w:w="16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6"/>
          </w:tcPr>
          <w:p>
            <w:pPr>
              <w:jc w:val="right"/>
              <w:ind w:right="573"/>
              <w:spacing w:after="0"/>
              <w:rPr>
                <w:sz w:val="20"/>
                <w:szCs w:val="20"/>
                <w:color w:val="auto"/>
              </w:rPr>
            </w:pPr>
            <w:r>
              <w:rPr>
                <w:rFonts w:ascii="Arial" w:cs="Arial" w:eastAsia="Arial" w:hAnsi="Arial"/>
                <w:sz w:val="14"/>
                <w:szCs w:val="14"/>
                <w:b w:val="1"/>
                <w:bCs w:val="1"/>
                <w:color w:val="auto"/>
              </w:rPr>
              <w:t>Gross Unrealized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Reported as:</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December 31, 2020</w:t>
            </w:r>
          </w:p>
        </w:tc>
        <w:tc>
          <w:tcPr>
            <w:tcW w:w="20" w:type="dxa"/>
            <w:vAlign w:val="bottom"/>
          </w:tcPr>
          <w:p>
            <w:pPr>
              <w:spacing w:after="0"/>
              <w:rPr>
                <w:sz w:val="11"/>
                <w:szCs w:val="11"/>
                <w:color w:val="auto"/>
              </w:rPr>
            </w:pPr>
          </w:p>
        </w:tc>
        <w:tc>
          <w:tcPr>
            <w:tcW w:w="11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Amortized Cost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Gains</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Losses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Short-term</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ind w:left="100"/>
              <w:spacing w:after="0" w:line="135" w:lineRule="exact"/>
              <w:rPr>
                <w:sz w:val="20"/>
                <w:szCs w:val="20"/>
                <w:color w:val="auto"/>
              </w:rPr>
            </w:pPr>
            <w:r>
              <w:rPr>
                <w:rFonts w:ascii="Arial" w:cs="Arial" w:eastAsia="Arial" w:hAnsi="Arial"/>
                <w:sz w:val="14"/>
                <w:szCs w:val="14"/>
                <w:b w:val="1"/>
                <w:bCs w:val="1"/>
                <w:color w:val="auto"/>
              </w:rPr>
              <w:t>Long-term</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equivalents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investments</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320" w:type="dxa"/>
            <w:vAlign w:val="bottom"/>
            <w:gridSpan w:val="2"/>
          </w:tcPr>
          <w:p>
            <w:pPr>
              <w:jc w:val="right"/>
              <w:ind w:right="142"/>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36,607</w:t>
            </w:r>
          </w:p>
        </w:tc>
        <w:tc>
          <w:tcPr>
            <w:tcW w:w="20" w:type="dxa"/>
            <w:vAlign w:val="bottom"/>
          </w:tcPr>
          <w:p>
            <w:pPr>
              <w:spacing w:after="0"/>
              <w:rPr>
                <w:sz w:val="19"/>
                <w:szCs w:val="19"/>
                <w:color w:val="auto"/>
              </w:rPr>
            </w:pPr>
          </w:p>
        </w:tc>
        <w:tc>
          <w:tcPr>
            <w:tcW w:w="3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533"/>
              <w:spacing w:after="0"/>
              <w:rPr>
                <w:sz w:val="20"/>
                <w:szCs w:val="20"/>
                <w:color w:val="auto"/>
              </w:rPr>
            </w:pPr>
            <w:r>
              <w:rPr>
                <w:rFonts w:ascii="Arial" w:cs="Arial" w:eastAsia="Arial" w:hAnsi="Arial"/>
                <w:sz w:val="18"/>
                <w:szCs w:val="18"/>
                <w:color w:val="auto"/>
                <w:w w:val="9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ind w:left="240"/>
              <w:spacing w:after="0"/>
              <w:rPr>
                <w:sz w:val="20"/>
                <w:szCs w:val="20"/>
                <w:color w:val="auto"/>
              </w:rPr>
            </w:pPr>
            <w:r>
              <w:rPr>
                <w:rFonts w:ascii="Arial" w:cs="Arial" w:eastAsia="Arial" w:hAnsi="Arial"/>
                <w:sz w:val="18"/>
                <w:szCs w:val="18"/>
                <w:color w:val="auto"/>
              </w:rPr>
              <w:t>Total Level 1</w:t>
            </w:r>
          </w:p>
        </w:tc>
        <w:tc>
          <w:tcPr>
            <w:tcW w:w="320" w:type="dxa"/>
            <w:vAlign w:val="bottom"/>
            <w:tcBorders>
              <w:top w:val="single" w:sz="8" w:color="auto"/>
              <w:bottom w:val="single" w:sz="8" w:color="auto"/>
            </w:tcBorders>
            <w:gridSpan w:val="2"/>
          </w:tcPr>
          <w:p>
            <w:pPr>
              <w:jc w:val="right"/>
              <w:ind w:right="142"/>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76,739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center"/>
              <w:ind w:left="533"/>
              <w:spacing w:after="0"/>
              <w:rPr>
                <w:sz w:val="20"/>
                <w:szCs w:val="20"/>
                <w:color w:val="auto"/>
              </w:rPr>
            </w:pPr>
            <w:r>
              <w:rPr>
                <w:rFonts w:ascii="Arial" w:cs="Arial" w:eastAsia="Arial" w:hAnsi="Arial"/>
                <w:sz w:val="18"/>
                <w:szCs w:val="18"/>
                <w:color w:val="auto"/>
                <w:w w:val="99"/>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76,742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Contractual maturities of short-term investments as of December 31, 2021 and 2020 are due in one year or less. Contractual maturities of long-term investments as of December 31, 2021 are due after 1 year through 2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0" w:name="page171"/>
    <w:bookmarkEnd w:id="17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5260" w:firstLine="8"/>
        <w:spacing w:after="0" w:line="440" w:lineRule="auto"/>
        <w:tabs>
          <w:tab w:leader="none" w:pos="648"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Consolidated Financial Statement Line Items Property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2,656</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recorded $1.0 million and $0.7 million of depreciation expense for the years ended December 31, 2021 and 2020, respectively, which was primarily allocated to research and development expense.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Other long term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Deposits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0"/>
        </w:trPr>
        <w:tc>
          <w:tcPr>
            <w:tcW w:w="8020" w:type="dxa"/>
            <w:vAlign w:val="bottom"/>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8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020" w:type="dxa"/>
            <w:vAlign w:val="bottom"/>
          </w:tcPr>
          <w:p>
            <w:pPr>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24"/>
                <w:szCs w:val="24"/>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24"/>
                <w:szCs w:val="24"/>
                <w:color w:val="auto"/>
              </w:rPr>
            </w:pPr>
          </w:p>
        </w:tc>
        <w:tc>
          <w:tcPr>
            <w:tcW w:w="1420" w:type="dxa"/>
            <w:vAlign w:val="bottom"/>
          </w:tcPr>
          <w:p>
            <w:pPr>
              <w:jc w:val="right"/>
              <w:ind w:right="113"/>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facilities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Accrued research and development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1" w:name="page172"/>
    <w:bookmarkEnd w:id="17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Cash</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cash equivalents and restricted cash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185,619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36,607</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Convertible Preferred Stock</w:t>
      </w:r>
    </w:p>
    <w:p>
      <w:pPr>
        <w:spacing w:after="0" w:line="17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June 9, 2021, upon the closing of the Business Combination (as defined in Note 1 and further described in Note 3), all of the outstanding redeemable convertible preferred stock was converted to New Nautilus Common Stock pursuant to the Exchange Ratio effective immediately prior to the Business Combination and the remaining amount was reclassified to additional paid-in capital. As of December 31, 2021 the Company had no issued and outstanding Preferred Stock shares.</w:t>
      </w:r>
    </w:p>
    <w:p>
      <w:pPr>
        <w:spacing w:after="0" w:line="129" w:lineRule="exact"/>
        <w:rPr>
          <w:sz w:val="20"/>
          <w:szCs w:val="20"/>
          <w:color w:val="auto"/>
        </w:rPr>
      </w:pPr>
    </w:p>
    <w:p>
      <w:pPr>
        <w:ind w:left="660" w:hanging="652"/>
        <w:spacing w:after="0"/>
        <w:tabs>
          <w:tab w:leader="none" w:pos="660"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On June 9, 2021, the Business Combination (as defined in Note 1 and further described in Note 3) was consummated and the Company issued 38,721,137 shares for an aggregate purchase price of $327.3 million, net of issuance costs of $8.1 million. Immediately following the Business Combination, there were 124,045,255 shares of Common Stock outstanding. The holder of each share of Common Stock is entitled to one vote.</w:t>
      </w:r>
    </w:p>
    <w:p>
      <w:pPr>
        <w:spacing w:after="0" w:line="11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The Company has retroactively adjusted the shares issued and outstanding prior to June 9, 2021 to give effect to the exchange ratio established in the Business Combination Agreement to determine the number of shares of Common Stock into which they were converted into.</w:t>
      </w:r>
    </w:p>
    <w:p>
      <w:pPr>
        <w:spacing w:after="0" w:line="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June 2021, pursuant to the Business Combination, the Company amended its certificate of incorporation to increase the number of authorized common stock shares to 1,000,000,000. There were 124,303,083 shares issued and outstanding as of December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a term loan that the Company entered into during fiscal year 2017, 63,491 common stock warrants were issued to the lender, and recorded at fair value within additional paid-in capital in stockholders’ equity (deficit). Fair value was determined using the Black-Scholes Option Pricing Model. There were no common stock warrants issued in fiscal years 2021 and 2020. During the fiscal year 2021, all common stock warrants were net exercised and the Company issued 62,722 Common Stock shares to the lender.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Common stock warrants as of December 31, 2020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560" w:type="dxa"/>
            <w:vAlign w:val="bottom"/>
            <w:tcBorders>
              <w:bottom w:val="single" w:sz="8" w:color="auto"/>
            </w:tcBorders>
          </w:tcPr>
          <w:p>
            <w:pPr>
              <w:spacing w:after="0"/>
              <w:rPr>
                <w:sz w:val="16"/>
                <w:szCs w:val="16"/>
                <w:color w:val="auto"/>
              </w:rPr>
            </w:pPr>
          </w:p>
        </w:tc>
      </w:tr>
      <w:tr>
        <w:trPr>
          <w:trHeight w:val="186"/>
        </w:trPr>
        <w:tc>
          <w:tcPr>
            <w:tcW w:w="6360" w:type="dxa"/>
            <w:vAlign w:val="bottom"/>
          </w:tcPr>
          <w:p>
            <w:pPr>
              <w:spacing w:after="0"/>
              <w:rPr>
                <w:sz w:val="16"/>
                <w:szCs w:val="16"/>
                <w:color w:val="auto"/>
              </w:rPr>
            </w:pPr>
          </w:p>
        </w:tc>
        <w:tc>
          <w:tcPr>
            <w:tcW w:w="3320" w:type="dxa"/>
            <w:vAlign w:val="bottom"/>
            <w:gridSpan w:val="5"/>
          </w:tcPr>
          <w:p>
            <w:pPr>
              <w:ind w:left="90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6"/>
                <w:szCs w:val="16"/>
                <w:color w:val="auto"/>
              </w:rPr>
            </w:pPr>
          </w:p>
        </w:tc>
      </w:tr>
      <w:tr>
        <w:trPr>
          <w:trHeight w:val="184"/>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Expiration Date</w:t>
            </w: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2" w:name="page173"/>
    <w:bookmarkEnd w:id="17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Reserved for Future Issuance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reserved for future issuance on an as-if converted basis,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December 31, 2021</w:t>
            </w:r>
          </w:p>
        </w:tc>
        <w:tc>
          <w:tcPr>
            <w:tcW w:w="156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 2020</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2021 Equity Incentive Plan</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14,481,463</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tcPr>
          <w:p>
            <w:pPr>
              <w:jc w:val="right"/>
              <w:spacing w:after="0"/>
              <w:rPr>
                <w:sz w:val="20"/>
                <w:szCs w:val="20"/>
                <w:color w:val="auto"/>
              </w:rPr>
            </w:pPr>
            <w:r>
              <w:rPr>
                <w:rFonts w:ascii="Arial" w:cs="Arial" w:eastAsia="Arial" w:hAnsi="Arial"/>
                <w:sz w:val="18"/>
                <w:szCs w:val="18"/>
                <w:color w:val="auto"/>
              </w:rPr>
              <w:t>8,550,076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5,145,547</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2021 Employee Stock Purchase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1,244,900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Convertible preferred stock</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52,175,965</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2,349,673</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Common stock warrants outstanding</w:t>
            </w:r>
          </w:p>
        </w:tc>
        <w:tc>
          <w:tcPr>
            <w:tcW w:w="1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63,491</w:t>
            </w: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24,276,439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59,734,676</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shares of the Company’s common, redeemable convertible preferred stock, common stock warrants and shares available for grant, prior to the Business Combination (as defined in Note 1 and further described in Note 3) have been retroactively restated to reflect the exchange ratio of approximately 3.6281 established in the Business Combination as described in Note 3.</w:t>
      </w:r>
    </w:p>
    <w:p>
      <w:pPr>
        <w:spacing w:after="0" w:line="126" w:lineRule="exact"/>
        <w:rPr>
          <w:sz w:val="20"/>
          <w:szCs w:val="20"/>
          <w:color w:val="auto"/>
        </w:rPr>
      </w:pPr>
    </w:p>
    <w:p>
      <w:pPr>
        <w:ind w:left="660" w:hanging="652"/>
        <w:spacing w:after="0"/>
        <w:tabs>
          <w:tab w:leader="none" w:pos="660"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 liable for income taxes in the United States. For the years ended December 31, 2021 and 2020,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between the expected income tax provision at the federal statutory rate and the reported income tax provision is approximately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at statutory rate</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credits generated in current year</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change</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As of December 31, 2021, the Company had federal net operating loss carryforwards of $0.5 million that begin to expire in 2037 and federal net operating loss carryforwards of $31.6 million that arose after the 2017 tax year that will carryforward indefinitely. The Company has state net operating loss carryforwards of $9.1 million that will begin to expire in 2037.</w:t>
      </w:r>
    </w:p>
    <w:p>
      <w:pPr>
        <w:spacing w:after="0" w:line="130"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As of December 31, 2021, the Company had research and development tax credit carryover of $2.0 million and $1.9 million for federal and state tax purposes, respectively. If not utilized, the federal carryforward will expire in various amounts beginning in 2039. The California credits can be carried forward indefinitely.</w:t>
      </w:r>
    </w:p>
    <w:p>
      <w:pPr>
        <w:spacing w:after="0" w:line="13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3" w:name="page174"/>
    <w:bookmarkEnd w:id="17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net deferred tax assets. The valuation allowance increased by $15.1 million during the year ended December 31, 2021. Management reevaluates the positive and negative evidence at each reporting period.</w:t>
      </w:r>
    </w:p>
    <w:p>
      <w:pPr>
        <w:spacing w:after="0" w:line="116"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2020</w:t>
            </w: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11,928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4,414</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carryforwards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1,296</w:t>
            </w: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Equity-based compensation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accruals and reserves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10,305</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Valuation allowance for deferred tax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7,945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57"/>
        </w:trPr>
        <w:tc>
          <w:tcPr>
            <w:tcW w:w="8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Right-of-use assets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deferred tax assets (liability)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
        </w:trPr>
        <w:tc>
          <w:tcPr>
            <w:tcW w:w="8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began to file income tax returns in the United States in 2017. All tax years are open to examination.</w:t>
      </w:r>
    </w:p>
    <w:p>
      <w:pPr>
        <w:spacing w:after="0" w:line="17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As of December 31, 2021, the Company had an unrecognized tax benefit balance of $0.8 million related to research and development credits and California net operating loss carryforward. No amount of unrecognized tax benefits as of December 31, 2021, if recognized, would reduce the Company’s effective tax rate because the benefits would be in the form of tax credit carryforwards, which would be reduced to $0 by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are actually used, the statutes are still open on calendars years ending 2017 forward for federal and state purposes.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the liability for uncertain tax positions, excluding potential interest and penalties,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December 31, 2021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Increase based on current year tax positions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w:t>
            </w:r>
          </w:p>
        </w:tc>
      </w:tr>
      <w:tr>
        <w:trPr>
          <w:trHeight w:val="248"/>
        </w:trPr>
        <w:tc>
          <w:tcPr>
            <w:tcW w:w="96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Balance as of December 31, 2021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4" w:name="page175"/>
    <w:bookmarkEnd w:id="17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limitation in future years. The Company has not, as yet, conducted a study to determine if any such changes have occurred that could limit its ability to use the net operating loss and tax credit carryforwards.</w:t>
      </w:r>
    </w:p>
    <w:p>
      <w:pPr>
        <w:spacing w:after="0" w:line="112"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On June 8, 2021, the stockholders of the Company approved the 2021 Equity Incentive Plan (“2021 Plan”) and the 2021 Employee Stock Purchase Plan (“2021 ESPP”). As of December 31, 2021, 14,481,463 and 1,244,900 shares were available for grant under the 2021 Plan and 2021 ESPP,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7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Under the 2021 ESPP, participants are permitted to purchase shares of Common Stock, up to the IRS allowable limit, through contributions (in the form of payroll deductions or otherwise to the extent permitted by the administrator)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beginning on January 1, 2022, in an amount equal to the least of (i) 3,734,500 shares of common stock, (ii) a number of shares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spacing w:after="0" w:line="11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first offering period is from October 1, 2021 through May 31, 2022. For subsequent offering periods, the Company will be offering a six month purchase period. As of December 31, 2021, no shares of common stock were purchased under the 2021 ESPP.</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Equity Incentive Plan</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2021 Plan, the Company can grant incentive stock options, nonstatutory stock options, stock appreciation rights, restricted stock, restricted stock units and performance awards to employees, directors and consultants. Options generally expire ten years after the date of grant. The number of shares available for issuance under the 2021 Plan will be increased on the first day of each fiscal year, beginning on January 1, 2022,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fiscal year.</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the time of adoption of the 2021 Plan and the 2021 ESPP, no further awards will be granted under the 2017 Equity Incentive Plan (“2017 Plan”) and 7,106,767 shares of common stock were initially reserved for outstanding awards issued under the 2017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80" w:right="379" w:bottom="1440" w:gutter="0" w:footer="0" w:header="0"/>
        </w:sectPr>
      </w:pPr>
    </w:p>
    <w:bookmarkStart w:id="175" w:name="page176"/>
    <w:bookmarkEnd w:id="17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determining the compensation cost of the option awards, the fair value for each option award has been estimated using the Black Scholes model. The significant assumptions used in these calculations are summarized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Year Ended</w:t>
            </w:r>
          </w:p>
        </w:tc>
        <w:tc>
          <w:tcPr>
            <w:tcW w:w="1920" w:type="dxa"/>
            <w:vAlign w:val="bottom"/>
          </w:tcPr>
          <w:p>
            <w:pPr>
              <w:jc w:val="right"/>
              <w:ind w:right="515"/>
              <w:spacing w:after="0"/>
              <w:rPr>
                <w:sz w:val="20"/>
                <w:szCs w:val="20"/>
                <w:color w:val="auto"/>
              </w:rPr>
            </w:pPr>
            <w:r>
              <w:rPr>
                <w:rFonts w:ascii="Arial" w:cs="Arial" w:eastAsia="Arial" w:hAnsi="Arial"/>
                <w:sz w:val="14"/>
                <w:szCs w:val="14"/>
                <w:b w:val="1"/>
                <w:bCs w:val="1"/>
                <w:color w:val="auto"/>
              </w:rPr>
              <w:t>Year Ended</w:t>
            </w:r>
          </w:p>
        </w:tc>
      </w:tr>
      <w:tr>
        <w:trPr>
          <w:trHeight w:val="188"/>
        </w:trPr>
        <w:tc>
          <w:tcPr>
            <w:tcW w:w="7320" w:type="dxa"/>
            <w:vAlign w:val="bottom"/>
          </w:tcPr>
          <w:p>
            <w:pPr>
              <w:spacing w:after="0"/>
              <w:rPr>
                <w:sz w:val="16"/>
                <w:szCs w:val="16"/>
                <w:color w:val="auto"/>
              </w:rPr>
            </w:pPr>
          </w:p>
        </w:tc>
        <w:tc>
          <w:tcPr>
            <w:tcW w:w="2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December 31, 2021</w:t>
            </w:r>
          </w:p>
        </w:tc>
        <w:tc>
          <w:tcPr>
            <w:tcW w:w="1920" w:type="dxa"/>
            <w:vAlign w:val="bottom"/>
          </w:tcPr>
          <w:p>
            <w:pPr>
              <w:jc w:val="right"/>
              <w:ind w:right="295"/>
              <w:spacing w:after="0"/>
              <w:rPr>
                <w:sz w:val="20"/>
                <w:szCs w:val="20"/>
                <w:color w:val="auto"/>
              </w:rPr>
            </w:pPr>
            <w:r>
              <w:rPr>
                <w:rFonts w:ascii="Arial" w:cs="Arial" w:eastAsia="Arial" w:hAnsi="Arial"/>
                <w:sz w:val="14"/>
                <w:szCs w:val="14"/>
                <w:b w:val="1"/>
                <w:bCs w:val="1"/>
                <w:color w:val="auto"/>
              </w:rPr>
              <w:t>December 31, 2020</w:t>
            </w:r>
          </w:p>
        </w:tc>
      </w:tr>
      <w:tr>
        <w:trPr>
          <w:trHeight w:val="224"/>
        </w:trPr>
        <w:tc>
          <w:tcPr>
            <w:tcW w:w="7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5.5 - 6.6</w:t>
            </w:r>
          </w:p>
        </w:tc>
        <w:tc>
          <w:tcPr>
            <w:tcW w:w="10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5.1 - 6.4</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900" w:type="dxa"/>
            <w:vAlign w:val="bottom"/>
          </w:tcPr>
          <w:p>
            <w:pPr>
              <w:jc w:val="right"/>
              <w:spacing w:after="0"/>
              <w:rPr>
                <w:sz w:val="20"/>
                <w:szCs w:val="20"/>
                <w:color w:val="auto"/>
              </w:rPr>
            </w:pPr>
            <w:r>
              <w:rPr>
                <w:rFonts w:ascii="Arial" w:cs="Arial" w:eastAsia="Arial" w:hAnsi="Arial"/>
                <w:sz w:val="18"/>
                <w:szCs w:val="18"/>
                <w:color w:val="auto"/>
              </w:rPr>
              <w:t>90.7% - 94.2%</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91.0% - 96.5%</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30"/>
        </w:trPr>
        <w:tc>
          <w:tcPr>
            <w:tcW w:w="732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900" w:type="dxa"/>
            <w:vAlign w:val="bottom"/>
          </w:tcPr>
          <w:p>
            <w:pPr>
              <w:jc w:val="right"/>
              <w:spacing w:after="0"/>
              <w:rPr>
                <w:sz w:val="20"/>
                <w:szCs w:val="20"/>
                <w:color w:val="auto"/>
              </w:rPr>
            </w:pPr>
            <w:r>
              <w:rPr>
                <w:rFonts w:ascii="Arial" w:cs="Arial" w:eastAsia="Arial" w:hAnsi="Arial"/>
                <w:sz w:val="18"/>
                <w:szCs w:val="18"/>
                <w:color w:val="auto"/>
              </w:rPr>
              <w:t>0.5% - 1.4%</w:t>
            </w:r>
          </w:p>
        </w:tc>
        <w:tc>
          <w:tcPr>
            <w:tcW w:w="10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0.3% - 1.4%</w:t>
            </w:r>
          </w:p>
        </w:tc>
      </w:tr>
      <w:tr>
        <w:trPr>
          <w:trHeight w:val="229"/>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$5.07 - $11.16</w:t>
            </w:r>
          </w:p>
        </w:tc>
        <w:tc>
          <w:tcPr>
            <w:tcW w:w="10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$0.46 - $4.47</w:t>
            </w:r>
          </w:p>
        </w:tc>
      </w:tr>
    </w:tbl>
    <w:p>
      <w:pPr>
        <w:spacing w:after="0" w:line="20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133" w:lineRule="exact"/>
        <w:rPr>
          <w:sz w:val="20"/>
          <w:szCs w:val="20"/>
          <w:color w:val="auto"/>
        </w:rPr>
      </w:pPr>
    </w:p>
    <w:p>
      <w:pPr>
        <w:jc w:val="both"/>
        <w:ind w:right="20"/>
        <w:spacing w:after="0" w:line="220" w:lineRule="exact"/>
        <w:rPr>
          <w:sz w:val="20"/>
          <w:szCs w:val="20"/>
          <w:color w:val="auto"/>
        </w:rPr>
      </w:pPr>
      <w:r>
        <w:rPr>
          <w:rFonts w:ascii="Arial" w:cs="Arial" w:eastAsia="Arial" w:hAnsi="Arial"/>
          <w:sz w:val="17"/>
          <w:szCs w:val="17"/>
          <w:color w:val="auto"/>
        </w:rPr>
        <w:t>Expected volatility: Historically, the Company has been a private company and lacked company</w:t>
      </w:r>
      <w:r>
        <w:rPr>
          <w:rFonts w:ascii="MS PGothic" w:cs="MS PGothic" w:eastAsia="MS PGothic" w:hAnsi="MS PGothic"/>
          <w:sz w:val="17"/>
          <w:szCs w:val="17"/>
          <w:color w:val="auto"/>
        </w:rPr>
        <w:t>‑</w:t>
      </w:r>
      <w:r>
        <w:rPr>
          <w:rFonts w:ascii="Arial" w:cs="Arial" w:eastAsia="Arial" w:hAnsi="Arial"/>
          <w:sz w:val="17"/>
          <w:szCs w:val="17"/>
          <w:color w:val="auto"/>
        </w:rPr>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Expected dividend yield: The expected dividend rate is zero as the Company has no history or expectation of declaring dividends on its common stock.</w:t>
      </w:r>
    </w:p>
    <w:p>
      <w:pPr>
        <w:spacing w:after="0" w:line="1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1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implied equity value of the Company as contemplated by the Business Combination,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 Subsequent to the completion of the Business Combination (as defined in Note 1 and further described in Note 3) the fair value of the Company’s common stock is determined based on its closing market price.</w:t>
      </w:r>
    </w:p>
    <w:p>
      <w:pPr>
        <w:spacing w:after="0" w:line="127"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The awards granted in late January 2021 had an exercise price equal to the grant date fair value of the Company’s common stock. The Company’s board of directors made a determination of the fair market value of the Company’s common stock which contemplated the implied equity value of the Company per the Business Combination Agreement that was executed on February 7, 2021. For the period following execution of the Business Combination Agreement through December 31, 2021, options for 2,190,232 common stock shares were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6" w:name="page177"/>
    <w:bookmarkEnd w:id="17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option award activity during the years ended December 31, 2021 and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260" w:type="dxa"/>
            <w:vAlign w:val="bottom"/>
          </w:tcPr>
          <w:p>
            <w:pPr>
              <w:spacing w:after="0"/>
              <w:rPr>
                <w:sz w:val="14"/>
                <w:szCs w:val="14"/>
                <w:color w:val="auto"/>
              </w:rPr>
            </w:pPr>
          </w:p>
        </w:tc>
        <w:tc>
          <w:tcPr>
            <w:tcW w:w="144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w w:val="94"/>
              </w:rPr>
              <w:t>Weighted Average</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4"/>
                <w:szCs w:val="14"/>
                <w:color w:val="auto"/>
              </w:rPr>
            </w:pPr>
          </w:p>
        </w:tc>
        <w:tc>
          <w:tcPr>
            <w:tcW w:w="142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16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200" w:type="dxa"/>
            <w:vAlign w:val="bottom"/>
          </w:tcPr>
          <w:p>
            <w:pPr>
              <w:spacing w:after="0"/>
              <w:rPr>
                <w:sz w:val="11"/>
                <w:szCs w:val="11"/>
                <w:color w:val="auto"/>
              </w:rPr>
            </w:pPr>
          </w:p>
        </w:tc>
        <w:tc>
          <w:tcPr>
            <w:tcW w:w="1420" w:type="dxa"/>
            <w:vAlign w:val="bottom"/>
          </w:tcPr>
          <w:p>
            <w:pPr>
              <w:jc w:val="center"/>
              <w:ind w:right="61"/>
              <w:spacing w:after="0" w:line="135"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Awards</w:t>
            </w:r>
          </w:p>
        </w:tc>
        <w:tc>
          <w:tcPr>
            <w:tcW w:w="260" w:type="dxa"/>
            <w:vAlign w:val="bottom"/>
            <w:tcBorders>
              <w:bottom w:val="single" w:sz="8" w:color="CCEEFF"/>
            </w:tcBorders>
          </w:tcPr>
          <w:p>
            <w:pPr>
              <w:spacing w:after="0"/>
              <w:rPr>
                <w:sz w:val="16"/>
                <w:szCs w:val="16"/>
                <w:color w:val="auto"/>
              </w:rPr>
            </w:pPr>
          </w:p>
        </w:tc>
        <w:tc>
          <w:tcPr>
            <w:tcW w:w="1440" w:type="dxa"/>
            <w:vAlign w:val="bottom"/>
            <w:tcBorders>
              <w:bottom w:val="single" w:sz="8" w:color="CCEEFF"/>
            </w:tcBorders>
          </w:tcPr>
          <w:p>
            <w:pPr>
              <w:jc w:val="right"/>
              <w:ind w:right="293"/>
              <w:spacing w:after="0"/>
              <w:rPr>
                <w:sz w:val="20"/>
                <w:szCs w:val="20"/>
                <w:color w:val="auto"/>
              </w:rPr>
            </w:pPr>
            <w:r>
              <w:rPr>
                <w:rFonts w:ascii="Arial" w:cs="Arial" w:eastAsia="Arial" w:hAnsi="Arial"/>
                <w:sz w:val="14"/>
                <w:szCs w:val="14"/>
                <w:b w:val="1"/>
                <w:bCs w:val="1"/>
                <w:color w:val="auto"/>
              </w:rPr>
              <w:t>Exercise Price</w:t>
            </w:r>
          </w:p>
        </w:tc>
        <w:tc>
          <w:tcPr>
            <w:tcW w:w="1660" w:type="dxa"/>
            <w:vAlign w:val="bottom"/>
            <w:tcBorders>
              <w:bottom w:val="single" w:sz="8" w:color="CCEEFF"/>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20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jc w:val="center"/>
              <w:ind w:right="61"/>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1,658,564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0.34</w:t>
            </w: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3,696,804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0.31</w:t>
            </w: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(72,526)</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0.44</w:t>
            </w: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5,145,547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0.85</w:t>
            </w: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4,289,317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rPr>
                <w:sz w:val="20"/>
                <w:szCs w:val="20"/>
                <w:color w:val="auto"/>
              </w:rPr>
            </w:pPr>
            <w:r>
              <w:rPr>
                <w:rFonts w:ascii="Arial" w:cs="Arial" w:eastAsia="Arial" w:hAnsi="Arial"/>
                <w:sz w:val="18"/>
                <w:szCs w:val="18"/>
                <w:color w:val="auto"/>
              </w:rPr>
              <w:t>9.07</w:t>
            </w:r>
          </w:p>
        </w:tc>
        <w:tc>
          <w:tcPr>
            <w:tcW w:w="1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(273,696)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0.61</w:t>
            </w:r>
          </w:p>
        </w:tc>
        <w:tc>
          <w:tcPr>
            <w:tcW w:w="1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(611,092)</w:t>
            </w:r>
          </w:p>
        </w:tc>
        <w:tc>
          <w:tcPr>
            <w:tcW w:w="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tcPr>
          <w:p>
            <w:pPr>
              <w:jc w:val="right"/>
              <w:ind w:right="33"/>
              <w:spacing w:after="0"/>
              <w:rPr>
                <w:sz w:val="20"/>
                <w:szCs w:val="20"/>
                <w:color w:val="auto"/>
              </w:rPr>
            </w:pPr>
            <w:r>
              <w:rPr>
                <w:rFonts w:ascii="Arial" w:cs="Arial" w:eastAsia="Arial" w:hAnsi="Arial"/>
                <w:sz w:val="18"/>
                <w:szCs w:val="18"/>
                <w:color w:val="auto"/>
              </w:rPr>
              <w:t>5.40</w:t>
            </w:r>
          </w:p>
        </w:tc>
        <w:tc>
          <w:tcPr>
            <w:tcW w:w="16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2021</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8,550,076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4.66</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19,978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w w:val="93"/>
              </w:rPr>
              <w:t>Options vested and expected to vest as of December 31, 2021</w:t>
            </w:r>
          </w:p>
        </w:tc>
        <w:tc>
          <w:tcPr>
            <w:tcW w:w="1560" w:type="dxa"/>
            <w:vAlign w:val="bottom"/>
            <w:tcBorders>
              <w:bottom w:val="single" w:sz="8" w:color="auto"/>
            </w:tcBorders>
          </w:tcPr>
          <w:p>
            <w:pPr>
              <w:jc w:val="right"/>
              <w:ind w:right="33"/>
              <w:spacing w:after="0" w:line="203" w:lineRule="exact"/>
              <w:rPr>
                <w:sz w:val="20"/>
                <w:szCs w:val="20"/>
                <w:color w:val="auto"/>
              </w:rPr>
            </w:pPr>
            <w:r>
              <w:rPr>
                <w:rFonts w:ascii="Arial" w:cs="Arial" w:eastAsia="Arial" w:hAnsi="Arial"/>
                <w:sz w:val="18"/>
                <w:szCs w:val="18"/>
                <w:color w:val="auto"/>
              </w:rPr>
              <w:t>8,550,076</w:t>
            </w:r>
          </w:p>
        </w:tc>
        <w:tc>
          <w:tcPr>
            <w:tcW w:w="26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1440" w:type="dxa"/>
            <w:vAlign w:val="bottom"/>
          </w:tcPr>
          <w:p>
            <w:pPr>
              <w:jc w:val="right"/>
              <w:ind w:right="33"/>
              <w:spacing w:after="0" w:line="203" w:lineRule="exact"/>
              <w:rPr>
                <w:sz w:val="20"/>
                <w:szCs w:val="20"/>
                <w:color w:val="auto"/>
              </w:rPr>
            </w:pPr>
            <w:r>
              <w:rPr>
                <w:rFonts w:ascii="Arial" w:cs="Arial" w:eastAsia="Arial" w:hAnsi="Arial"/>
                <w:sz w:val="18"/>
                <w:szCs w:val="18"/>
                <w:color w:val="auto"/>
              </w:rPr>
              <w:t>4.66</w:t>
            </w:r>
          </w:p>
        </w:tc>
        <w:tc>
          <w:tcPr>
            <w:tcW w:w="1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December 31, 2021</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1,615,483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0.88</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8"/>
                <w:szCs w:val="18"/>
                <w:color w:val="auto"/>
              </w:rPr>
              <w:t>7,214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total intrinsic value of options exercised during the years ended December 31, 2021 and 2020 was $1.7 million and $0.1 million, respectively. Aggregate intrinsic value represents the difference between the fair market value of the common stock and the exercise price of outstanding, in-the-money options.</w:t>
      </w:r>
    </w:p>
    <w:p>
      <w:pPr>
        <w:spacing w:after="0" w:line="13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The Company’s option award quantities and prices, prior to the Business Combination (as defined in Note 1 and further described in Note 3) have been retroactively restated to reflect the exchange ratio of approximately 3.6281 established in the Business Combination as described in Note 3.</w:t>
      </w:r>
    </w:p>
    <w:p>
      <w:pPr>
        <w:spacing w:after="0" w:line="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weighted-average grant-date fair value of options granted during the years ended December 31, 2021 and 2020 was $6.83 and $2.29 per share, respectively.</w:t>
      </w:r>
    </w:p>
    <w:p>
      <w:pPr>
        <w:spacing w:after="0" w:line="11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As of December 31, 2021, there was $27.3 million of total unrecognized compensation expense expected to be recognized over a weighted average-period of 3.16 years.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January 2017, the Company granted 32,652,640 shares of restricted common stock to founders for future services that vest over 4 years from the date of grant.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Activity with respect to restricted stock for the years ended December 31, 2021 and 2020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4"/>
              </w:rPr>
              <w:t>Underlying 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Restricted 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7,406,367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(6,836,646)</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569,721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(569,721)</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0.00003</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7" w:name="page178"/>
    <w:bookmarkEnd w:id="177"/>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sets forth the total stock-based compensation expense for the Company’s stock options and ESPP included in the Company’s consolidated statements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7,934</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consolidated balance sheet as of December 31, 2021 as the Company had not yet received the related goods or services. As of December 31, 2021, the Company had open purchase commitments for goods and services of $3.0 million, all of which are expected to be received through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Company is obligated under certain non-cancellable operating leases for office space and laboratory space. This space includes operating leases in Seattle, Washington, Menlo Park, California and San Carlos, California. The operating lease in Menlo Park, California expired in February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Seattle Leases</w:t>
      </w:r>
    </w:p>
    <w:p>
      <w:pPr>
        <w:spacing w:after="0" w:line="171"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operating lease in Seattle, Washington expired in April 2021 and continued to be renewed month to month until August 2021. In July 2021, the Company entered into a 7-year non-cancellable operating lease, which commenced in August 2021, for an additional office space in Seattle, Washington. Total non-cancellable payments under this lease aggregate $4.5 million through June 2028.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San Carlos Leases</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2021, the Company amended its existing facility lease contract in San Carlos, California which was executed to shorten the remaining term of the lease to expire in December 2021 and reduce monthly lease payments and was accounted for as a modification. The impact of this modification reduced the operating lease right-of-use asset and lease liability balance as a $3.3 million non-cash adjustment. Additionally, as a result of the remaining lease term being less than a year, the total remaining operating lease liability balance was classified as current. In September 2021, the Company further amended the facility lease contract in San Carlos, California to shorten the remaining term of the lease to expire in October 2021 and was also accounted for as a modification</w:t>
      </w:r>
    </w:p>
    <w:p>
      <w:pPr>
        <w:spacing w:after="0" w:line="13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In December 2020, the Company entered into a new lease in San Carlos, California for ten years which commenced in October 2021 and expiring in October 2031 with total minimum lease payments of $40.7 million.</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December 2020, the Company also entered into a temporary office space lease agreement in San Carlos, California which commenced in February 2021 and expired in October 2021 with total minimum lease payments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8" w:name="page179"/>
    <w:bookmarkEnd w:id="178"/>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$1.2 million. The temporary office space lease agreement was recognized as a short-term lease due to the election of the short-term lease measurement and recognition exemption.</w:t>
      </w:r>
    </w:p>
    <w:p>
      <w:pPr>
        <w:spacing w:after="0" w:line="116"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 December 2021, the Company entered into another lease in San Carlos, California for nine years commencing in October 2022 and expiring in October 2031. The Company can terminate this lease after five years from October 1, 2022 without bearing any significant termination penalties and therefore the Company concluded that the lease term is five years with total minimum lease payments of $7.2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which were included in operating expenses in the consolidated statements of operations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420" w:type="dxa"/>
            <w:vAlign w:val="bottom"/>
          </w:tcPr>
          <w:p>
            <w:pPr>
              <w:jc w:val="right"/>
              <w:ind w:right="335"/>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88"/>
        </w:trPr>
        <w:tc>
          <w:tcPr>
            <w:tcW w:w="80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Pr>
          <w:p>
            <w:pPr>
              <w:spacing w:after="0"/>
              <w:rPr>
                <w:sz w:val="16"/>
                <w:szCs w:val="16"/>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operating lease costs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48"/>
        </w:trPr>
        <w:tc>
          <w:tcPr>
            <w:tcW w:w="8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For the years ended December 31, 2021 and 2020, cash paid for amounts included in the measurement of lease liabilities included in cash flows used in operating activities was $1.8 million and $2.0 million, respectively.</w:t>
      </w:r>
    </w:p>
    <w:p>
      <w:pPr>
        <w:spacing w:after="0" w:line="11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of December 31, 2021, the weighted-average remaining lease term and weighted-average discount rate for operating leases is 9.44 years and 8.8% respectively.</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December 31, 2021:</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4"/>
              </w:rPr>
              <w:t>Lease Obligations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4,440</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2025</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4,701</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4,837</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2027 and thereafter</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22,942</w:t>
            </w: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44,994</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(14,962)</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30,032</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79" w:name="page180"/>
    <w:bookmarkEnd w:id="179"/>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conjunction with the San Carlos lease agreement entered in December 2020, the Company issued a cash-collateralized letter of credit in lieu of security deposit of $0.6 million. In conjunction with the San Carlos lease agreement entered in December 2021, the Company amended the existing cash-collateralized letter of credit and increased the amount to $0.8 million. The cash amount is recorded as restricted cash under Other long-term assets on the Company’s consolidated balance sheets.</w:t>
      </w:r>
    </w:p>
    <w:p>
      <w:pPr>
        <w:spacing w:after="0" w:line="129" w:lineRule="exact"/>
        <w:rPr>
          <w:sz w:val="20"/>
          <w:szCs w:val="20"/>
          <w:color w:val="auto"/>
        </w:rPr>
      </w:pPr>
    </w:p>
    <w:p>
      <w:pPr>
        <w:ind w:left="640" w:hanging="632"/>
        <w:spacing w:after="0"/>
        <w:tabs>
          <w:tab w:leader="none" w:pos="64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years ended December 31, 2021 and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31, 2020</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(50,315)</w:t>
            </w:r>
          </w:p>
        </w:tc>
        <w:tc>
          <w:tcPr>
            <w:tcW w:w="80" w:type="dxa"/>
            <w:vAlign w:val="bottom"/>
          </w:tcPr>
          <w:p>
            <w:pPr>
              <w:spacing w:after="0"/>
              <w:rPr>
                <w:sz w:val="19"/>
                <w:szCs w:val="19"/>
                <w:color w:val="auto"/>
              </w:rPr>
            </w:pPr>
          </w:p>
        </w:tc>
        <w:tc>
          <w:tcPr>
            <w:tcW w:w="320" w:type="dxa"/>
            <w:vAlign w:val="bottom"/>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84,481,251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32,990,651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Weighted-average unvested restricted shares and shares subject to repurchase</w:t>
            </w:r>
          </w:p>
        </w:tc>
        <w:tc>
          <w:tcPr>
            <w:tcW w:w="3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(17,170)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(3,900,873)</w:t>
            </w:r>
          </w:p>
        </w:tc>
        <w:tc>
          <w:tcPr>
            <w:tcW w:w="0" w:type="dxa"/>
            <w:vAlign w:val="bottom"/>
          </w:tcPr>
          <w:p>
            <w:pPr>
              <w:spacing w:after="0"/>
              <w:rPr>
                <w:sz w:val="1"/>
                <w:szCs w:val="1"/>
                <w:color w:val="auto"/>
              </w:rPr>
            </w:pPr>
          </w:p>
        </w:tc>
      </w:tr>
      <w:tr>
        <w:trPr>
          <w:trHeight w:val="155"/>
        </w:trPr>
        <w:tc>
          <w:tcPr>
            <w:tcW w:w="8020" w:type="dxa"/>
            <w:vAlign w:val="bottom"/>
          </w:tcPr>
          <w:p>
            <w:pPr>
              <w:ind w:left="20"/>
              <w:spacing w:after="0" w:line="156" w:lineRule="exact"/>
              <w:rPr>
                <w:sz w:val="20"/>
                <w:szCs w:val="20"/>
                <w:color w:val="auto"/>
              </w:rPr>
            </w:pPr>
            <w:r>
              <w:rPr>
                <w:rFonts w:ascii="Arial" w:cs="Arial" w:eastAsia="Arial" w:hAnsi="Arial"/>
                <w:sz w:val="18"/>
                <w:szCs w:val="18"/>
                <w:color w:val="auto"/>
                <w:w w:val="90"/>
              </w:rPr>
              <w:t>Weighted average shares used in computing net loss per share attributable to common stockholders, basic and</w:t>
            </w:r>
          </w:p>
        </w:tc>
        <w:tc>
          <w:tcPr>
            <w:tcW w:w="320" w:type="dxa"/>
            <w:vAlign w:val="bottom"/>
          </w:tcPr>
          <w:p>
            <w:pPr>
              <w:spacing w:after="0"/>
              <w:rPr>
                <w:sz w:val="13"/>
                <w:szCs w:val="13"/>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84,464,081</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29,089,778</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spacing w:after="0" w:line="279" w:lineRule="auto"/>
        <w:rPr>
          <w:sz w:val="20"/>
          <w:szCs w:val="20"/>
          <w:color w:val="auto"/>
        </w:rPr>
      </w:pPr>
      <w:r>
        <w:rPr>
          <w:rFonts w:ascii="Arial" w:cs="Arial" w:eastAsia="Arial" w:hAnsi="Arial"/>
          <w:sz w:val="17"/>
          <w:szCs w:val="17"/>
          <w:color w:val="auto"/>
        </w:rPr>
        <w:t>As a result of the Business Combination, the Company has retroactively adjusted the weighted-average number of shares of Common Stock outstanding prior to the Closing Date by multiplying them by the Exchange Ratio of 3.6281 used to determine the number of shares of New Nautilus Common Stock into which they converted (as described in Note 3). The Common Stock issued as a result of the redeemable convertible preferred stock conversion on the Closing Date was included in the basic net loss per share calculation on a prospective basis.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8"/>
              </w:rPr>
              <w:t>Year Ended December</w:t>
            </w:r>
          </w:p>
        </w:tc>
      </w:tr>
      <w:tr>
        <w:trPr>
          <w:trHeight w:val="188"/>
        </w:trPr>
        <w:tc>
          <w:tcPr>
            <w:tcW w:w="802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31, 2021</w:t>
            </w:r>
          </w:p>
        </w:tc>
        <w:tc>
          <w:tcPr>
            <w:tcW w:w="8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31, 2020</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8,550,076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5,145,547</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580" w:type="dxa"/>
            <w:vAlign w:val="bottom"/>
          </w:tcPr>
          <w:p>
            <w:pPr>
              <w:jc w:val="right"/>
              <w:spacing w:after="0"/>
              <w:rPr>
                <w:sz w:val="20"/>
                <w:szCs w:val="20"/>
                <w:color w:val="auto"/>
              </w:rPr>
            </w:pPr>
            <w:r>
              <w:rPr>
                <w:rFonts w:ascii="Arial" w:cs="Arial" w:eastAsia="Arial" w:hAnsi="Arial"/>
                <w:sz w:val="18"/>
                <w:szCs w:val="18"/>
                <w:color w:val="auto"/>
              </w:rPr>
              <w:t>59,085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52,175,965</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Unvested restricted common stock</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569,721</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63,491</w:t>
            </w: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8,609,161</w:t>
            </w: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57,954,724</w:t>
            </w:r>
          </w:p>
        </w:tc>
      </w:tr>
      <w:tr>
        <w:trPr>
          <w:trHeight w:val="20"/>
        </w:trPr>
        <w:tc>
          <w:tcPr>
            <w:tcW w:w="80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80" w:right="339" w:bottom="1440" w:gutter="0" w:footer="0" w:header="0"/>
        </w:sectPr>
      </w:pPr>
    </w:p>
    <w:bookmarkStart w:id="180" w:name="page181"/>
    <w:bookmarkEnd w:id="180"/>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Consolidated Financial Statements—(Continued)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evaluated subsequent events through February 24, 2022, the date on which the financial statements were available to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20"/>
          </w:cols>
          <w:pgMar w:left="320" w:top="180" w:right="1059" w:bottom="1440" w:gutter="0" w:footer="0" w:header="0"/>
        </w:sectPr>
      </w:pPr>
    </w:p>
    <w:bookmarkStart w:id="181" w:name="page182"/>
    <w:bookmarkEnd w:id="181"/>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following table sets forth all expenses to be paid by the Registrant, other than underwriting discounts and commissions, in connection with this offering. All amounts shown are estimates.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93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SEC registration fee</w:t>
            </w:r>
          </w:p>
        </w:tc>
        <w:tc>
          <w:tcPr>
            <w:tcW w:w="640" w:type="dxa"/>
            <w:vAlign w:val="bottom"/>
            <w:vMerge w:val="restart"/>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xml:space="preserve">96,732 </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88"/>
        </w:trPr>
        <w:tc>
          <w:tcPr>
            <w:tcW w:w="9380" w:type="dxa"/>
            <w:vAlign w:val="bottom"/>
            <w:tcBorders>
              <w:bottom w:val="single" w:sz="8" w:color="CCEEFF"/>
            </w:tcBorders>
            <w:vMerge w:val="continue"/>
            <w:shd w:val="clear" w:color="auto" w:fill="CCEEFF"/>
          </w:tcPr>
          <w:p>
            <w:pPr>
              <w:spacing w:after="0"/>
              <w:rPr>
                <w:sz w:val="7"/>
                <w:szCs w:val="7"/>
                <w:color w:val="auto"/>
              </w:rPr>
            </w:pPr>
          </w:p>
        </w:tc>
        <w:tc>
          <w:tcPr>
            <w:tcW w:w="640" w:type="dxa"/>
            <w:vAlign w:val="bottom"/>
            <w:tcBorders>
              <w:bottom w:val="single" w:sz="8" w:color="CCEEFF"/>
            </w:tcBorders>
            <w:vMerge w:val="continue"/>
            <w:shd w:val="clear" w:color="auto" w:fill="CCEEFF"/>
          </w:tcPr>
          <w:p>
            <w:pPr>
              <w:spacing w:after="0"/>
              <w:rPr>
                <w:sz w:val="7"/>
                <w:szCs w:val="7"/>
                <w:color w:val="auto"/>
              </w:rPr>
            </w:pPr>
          </w:p>
        </w:tc>
        <w:tc>
          <w:tcPr>
            <w:tcW w:w="122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FINRA filing fee</w:t>
            </w:r>
          </w:p>
        </w:tc>
        <w:tc>
          <w:tcPr>
            <w:tcW w:w="6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listing fee</w:t>
            </w:r>
          </w:p>
        </w:tc>
        <w:tc>
          <w:tcPr>
            <w:tcW w:w="6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Printing and engraving</w:t>
            </w:r>
          </w:p>
        </w:tc>
        <w:tc>
          <w:tcPr>
            <w:tcW w:w="6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fees and expenses</w:t>
            </w:r>
          </w:p>
        </w:tc>
        <w:tc>
          <w:tcPr>
            <w:tcW w:w="6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Accounting fees and expenses</w:t>
            </w:r>
          </w:p>
        </w:tc>
        <w:tc>
          <w:tcPr>
            <w:tcW w:w="6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Blue sky fees and expenses (including legal fees)</w:t>
            </w:r>
          </w:p>
        </w:tc>
        <w:tc>
          <w:tcPr>
            <w:tcW w:w="6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380" w:type="dxa"/>
            <w:vAlign w:val="bottom"/>
          </w:tcPr>
          <w:p>
            <w:pPr>
              <w:ind w:left="20"/>
              <w:spacing w:after="0"/>
              <w:rPr>
                <w:sz w:val="20"/>
                <w:szCs w:val="20"/>
                <w:color w:val="auto"/>
              </w:rPr>
            </w:pPr>
            <w:r>
              <w:rPr>
                <w:rFonts w:ascii="Arial" w:cs="Arial" w:eastAsia="Arial" w:hAnsi="Arial"/>
                <w:sz w:val="18"/>
                <w:szCs w:val="18"/>
                <w:color w:val="auto"/>
              </w:rPr>
              <w:t>Transfer agent and registrar fees</w:t>
            </w:r>
          </w:p>
        </w:tc>
        <w:tc>
          <w:tcPr>
            <w:tcW w:w="6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Miscellaneous</w:t>
            </w:r>
          </w:p>
        </w:tc>
        <w:tc>
          <w:tcPr>
            <w:tcW w:w="6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9380" w:type="dxa"/>
            <w:vAlign w:val="bottom"/>
          </w:tcPr>
          <w:p>
            <w:pPr>
              <w:ind w:left="20"/>
              <w:spacing w:after="0"/>
              <w:rPr>
                <w:sz w:val="20"/>
                <w:szCs w:val="20"/>
                <w:color w:val="auto"/>
              </w:rPr>
            </w:pPr>
            <w:r>
              <w:rPr>
                <w:rFonts w:ascii="Arial" w:cs="Arial" w:eastAsia="Arial" w:hAnsi="Arial"/>
                <w:sz w:val="18"/>
                <w:szCs w:val="18"/>
                <w:color w:val="auto"/>
              </w:rPr>
              <w:t>Total</w:t>
            </w:r>
          </w:p>
        </w:tc>
        <w:tc>
          <w:tcPr>
            <w:tcW w:w="6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96,732</w:t>
            </w:r>
          </w:p>
        </w:tc>
        <w:tc>
          <w:tcPr>
            <w:tcW w:w="0" w:type="dxa"/>
            <w:vAlign w:val="bottom"/>
          </w:tcPr>
          <w:p>
            <w:pPr>
              <w:spacing w:after="0"/>
              <w:rPr>
                <w:sz w:val="1"/>
                <w:szCs w:val="1"/>
                <w:color w:val="auto"/>
              </w:rPr>
            </w:pPr>
          </w:p>
        </w:tc>
      </w:tr>
      <w:tr>
        <w:trPr>
          <w:trHeight w:val="27"/>
        </w:trPr>
        <w:tc>
          <w:tcPr>
            <w:tcW w:w="938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6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7"/>
        </w:trPr>
        <w:tc>
          <w:tcPr>
            <w:tcW w:w="93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tabs>
          <w:tab w:leader="none" w:pos="30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Previously paid.</w:t>
      </w:r>
    </w:p>
    <w:p>
      <w:pPr>
        <w:spacing w:after="0" w:line="1"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To be completed by amendment.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7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permitted by Section 102 of the Delaware General Corporation Law, our certificate of incorporation provides that our officers and directors will be indemnified by us to the fullest extent authorized by Delaware law, as it now exists or may in the future be amended. In addition, our certificate of incorporation provides that our directors will not be personally liable for monetary damages to us or our stockholders for breaches of their fiduciary duty as directors, to the fullest extent permitted by Delaware law as it now exists or may in the future be amended. Our certificate of incorporation also authorizes us to indemnify our officers, directors and other agents to the fullest extent permitted under Delaware law.</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As permitted by Section 145 of the Delaware General Corporation Law, our bylaws provide that:</w:t>
      </w:r>
    </w:p>
    <w:p>
      <w:pPr>
        <w:spacing w:after="0" w:line="171" w:lineRule="exact"/>
        <w:rPr>
          <w:sz w:val="20"/>
          <w:szCs w:val="20"/>
          <w:color w:val="auto"/>
        </w:rPr>
      </w:pPr>
    </w:p>
    <w:p>
      <w:pPr>
        <w:ind w:left="660" w:right="48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may indemnify our directors, officers and employees to the fullest extent permitted by the Delaware General Corporation Law, subject to limited exceptions;</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 may advance expenses to our directors, officers and employees in connection with a legal proceeding to the fullest extent permitted by the Delaware General Corporation Law, subject to limited exceptions;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rights provided in our bylaws are not exclusive.</w:t>
      </w:r>
    </w:p>
    <w:p>
      <w:pPr>
        <w:spacing w:after="0" w:line="171"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Our certificate of incorporation and our bylaws provide for the indemnification provisions described above and elsewhere herein. We have entered into separate indemnification agreements with our directors and officers that may be broader than the specific indemnification provisions contained in the Delaware General Corporation Law. We have entered into agreements with our officers and directors to provide contractual indemnification in addition to the indemnification provided for in our certificate of incorporation. Our bylaws also permit us to maintain insurance on behalf of any officer, director or employee for any liability arising out of his or her actions, regardless of whether Delaware law would permit such indemnification. We have obtained a policy of director’s and officer’s liability insurance that insures our officers and directors against the cost of defense, settlement or payment of a judgment in some circumstances and insures us against our obligations to indemnify our officers and directors. These indemnification provisions and the indemnification agreements may be sufficiently broad to permit indemnification of directors and officers for liabilities, including reimbursement of expenses incurred, arising under the Securities Act of 1933, as amended, or the Securities Act.</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2" w:name="page183"/>
    <w:bookmarkEnd w:id="182"/>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75"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have sold the securities described below within the past three years which were not registered under the Securities Act. All of the sales listed below were made pursuant to an exemption from registration afforded by Section 4(a)(2) of the Securities Act (and Regulation D thereunder) or Rule 701 promulgated under Section 3(b) of the Securities Act.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Private Placement Shares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Simultaneously with the closing of ARYA’s initial public offering, we consummated the private placement of 499,000 Class A ordinary shares (the “Private Placement Shares”), at a price of $10.00 per Private Placement Share to our Sponsor, generating gross proceeds of approximately $5.0 million. This issuance was made pursuant to the exemption from registration contained in Section 4(a)(2) of the Securities Act and no underwriting discounts or commissions were paid with respect to such sale.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B Ordinary Shares</w:t>
      </w:r>
    </w:p>
    <w:p>
      <w:pPr>
        <w:spacing w:after="0" w:line="17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On April 2, 2020, our Sponsor paid $25,000 to cover certain of our offering costs in consideration of 3,593,750 Class B ordinary shares (the “Founder Shares”). In July 2020, our Sponsor transferred an aggregate of 90,000 Founder Shares to our independent director nominees. On August 6, 2020, we effected a share capitalization resulting in the initial shareholders holding 3,737,500 Founder Shares. Our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 Such securities were issued in connection with the Company’s organization pursuant to the exemption from registration contained in Section 4(a)(2) of the Securities Act.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 Shares</w:t>
      </w:r>
    </w:p>
    <w:p>
      <w:pPr>
        <w:spacing w:after="0" w:line="17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Concurrently with the execution of the Business Combination Agreement, ARYA entered into subscription agreements with certain investors, pursuant to which, at the closing of the Business Combination, the investors subscribed for and purchased an aggregate of 20,000,000 shares of Common Stock at a price of $10.00 per share for aggregate gross proceeds of $200,000,000.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Plan-Related Issuances</w:t>
      </w:r>
    </w:p>
    <w:p>
      <w:pPr>
        <w:spacing w:after="0" w:line="17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June and July 2021, we granted to certain of our officers, directors, employees, consultants, and advisors, options to purchase an aggregate of 1,198,936 options to purchase shares of Common Stock with a weighted average exercise price of $9.97 per share under our 2021 Equity Incentive Plan.</w:t>
      </w:r>
    </w:p>
    <w:p>
      <w:pPr>
        <w:spacing w:after="0" w:line="70"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On June 21, 2021, we issued (i) 26,459 shares of our common stock upon the exercise of options granted under our 2017 Equity Incentive Plan (“2017 Plan”) at an exercise price of $0.43 per share and (ii) 22,676 shares of our common stock upon the exercise of options granted under the 2017 Plan at an exercise price of $1.14 per share. On August 5, 2021, we issued 7,402 shares of our common stock upon the exercise of options granted under the 2017 Plan at an exercise price of $1.14 per share These issuances were deemed to be exempt from registration under the Securities Act pursuant to Rule 701 promulgated under Section 3(b) of the Securities Act.</w:t>
      </w:r>
    </w:p>
    <w:p>
      <w:pPr>
        <w:spacing w:after="0" w:line="13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Except as otherwise indicated, none of the foregoing transactions involved any underwriters, underwriting discounts or commissions, or any public offering. We believe each of these transactions was exempt from registration under the Securities Act in reliance on Section 4(a)(2) of the Securities Act (and Regulation D promulgated thereunder) as transactions by an issuer not involving any public offering or Rule 701 promulgated under Section 3(b) of the Securities Act as transactions by an issuer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3" w:name="page184"/>
    <w:bookmarkEnd w:id="183"/>
    <w:p>
      <w:pPr>
        <w:spacing w:after="0" w:line="14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recipients had adequate access, through their relationships with us, to information about us. The sales of these securities were made without any general solicitation or advertising.</w:t>
      </w:r>
    </w:p>
    <w:p>
      <w:pPr>
        <w:spacing w:after="0" w:line="112"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i w:val="1"/>
          <w:iCs w:val="1"/>
          <w:color w:val="auto"/>
        </w:rPr>
        <w:t>Exhibits</w:t>
      </w:r>
      <w:r>
        <w:rPr>
          <w:rFonts w:ascii="Arial" w:cs="Arial" w:eastAsia="Arial" w:hAnsi="Arial"/>
          <w:sz w:val="18"/>
          <w:szCs w:val="18"/>
          <w:color w:val="auto"/>
        </w:rPr>
        <w:t>. We have filed the exhibits listed on the accompanying Exhibit Index of this Registration Statement.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gridSpan w:val="2"/>
          </w:tcPr>
          <w:p>
            <w:pPr>
              <w:ind w:left="26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540" w:type="dxa"/>
            <w:vAlign w:val="bottom"/>
            <w:gridSpan w:val="23"/>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540" w:type="dxa"/>
            <w:vAlign w:val="bottom"/>
            <w:gridSpan w:val="2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ind w:left="20"/>
              <w:spacing w:after="0" w:line="184" w:lineRule="exact"/>
              <w:rPr>
                <w:sz w:val="20"/>
                <w:szCs w:val="20"/>
                <w:color w:val="auto"/>
              </w:rPr>
            </w:pPr>
            <w:r>
              <w:rPr>
                <w:rFonts w:ascii="Arial" w:cs="Arial" w:eastAsia="Arial" w:hAnsi="Arial"/>
                <w:sz w:val="18"/>
                <w:szCs w:val="18"/>
                <w:color w:val="auto"/>
              </w:rPr>
              <w:t>2.1†</w:t>
            </w:r>
          </w:p>
        </w:tc>
        <w:tc>
          <w:tcPr>
            <w:tcW w:w="2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020" w:type="dxa"/>
            <w:vAlign w:val="bottom"/>
            <w:tcBorders>
              <w:top w:val="single" w:sz="8" w:color="auto"/>
            </w:tcBorders>
            <w:gridSpan w:val="31"/>
          </w:tcPr>
          <w:p>
            <w:pPr>
              <w:spacing w:after="0" w:line="184" w:lineRule="exact"/>
              <w:rPr>
                <w:rFonts w:ascii="Arial" w:cs="Arial" w:eastAsia="Arial" w:hAnsi="Arial"/>
                <w:sz w:val="18"/>
                <w:szCs w:val="18"/>
                <w:color w:val="0000FF"/>
                <w:w w:val="92"/>
              </w:rPr>
            </w:pPr>
            <w:hyperlink r:id="rId252">
              <w:r>
                <w:rPr>
                  <w:rFonts w:ascii="Arial" w:cs="Arial" w:eastAsia="Arial" w:hAnsi="Arial"/>
                  <w:sz w:val="18"/>
                  <w:szCs w:val="18"/>
                  <w:color w:val="0000FF"/>
                  <w:w w:val="92"/>
                </w:rPr>
                <w:t>Business Combination Agreement, dated as of February 7, 2021, by and among ARYA Sciences Acquisition Corp III, Mako Merger Sub,</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900" w:type="dxa"/>
            <w:vAlign w:val="bottom"/>
            <w:tcBorders>
              <w:top w:val="single" w:sz="8" w:color="0000FF"/>
            </w:tcBorders>
            <w:gridSpan w:val="25"/>
          </w:tcPr>
          <w:p>
            <w:pPr>
              <w:spacing w:after="0" w:line="156" w:lineRule="exact"/>
              <w:rPr>
                <w:rFonts w:ascii="Arial" w:cs="Arial" w:eastAsia="Arial" w:hAnsi="Arial"/>
                <w:sz w:val="18"/>
                <w:szCs w:val="18"/>
                <w:color w:val="0000FF"/>
                <w:w w:val="92"/>
              </w:rPr>
            </w:pPr>
            <w:hyperlink r:id="rId252">
              <w:r>
                <w:rPr>
                  <w:rFonts w:ascii="Arial" w:cs="Arial" w:eastAsia="Arial" w:hAnsi="Arial"/>
                  <w:sz w:val="18"/>
                  <w:szCs w:val="18"/>
                  <w:color w:val="0000FF"/>
                  <w:w w:val="92"/>
                </w:rPr>
                <w:t>Inc., and Nautilus Biotechnology, Inc. (incorporated by reference to Exhibit 2.1 to the Company’s Current Report on Form 8-K filed with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7"/>
              </w:rPr>
            </w:pPr>
            <w:hyperlink r:id="rId252">
              <w:r>
                <w:rPr>
                  <w:rFonts w:ascii="Arial" w:cs="Arial" w:eastAsia="Arial" w:hAnsi="Arial"/>
                  <w:sz w:val="18"/>
                  <w:szCs w:val="18"/>
                  <w:color w:val="0000FF"/>
                  <w:w w:val="87"/>
                </w:rPr>
                <w:t>the SEC on February 8, 2021).</w:t>
              </w:r>
            </w:hyperlink>
          </w:p>
        </w:tc>
        <w:tc>
          <w:tcPr>
            <w:tcW w:w="7700" w:type="dxa"/>
            <w:vAlign w:val="bottom"/>
            <w:tcBorders>
              <w:top w:val="single" w:sz="8" w:color="0000FF"/>
            </w:tcBorders>
            <w:gridSpan w:val="2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2"/>
              </w:rPr>
            </w:pPr>
            <w:hyperlink r:id="rId253">
              <w:r>
                <w:rPr>
                  <w:rFonts w:ascii="Arial" w:cs="Arial" w:eastAsia="Arial" w:hAnsi="Arial"/>
                  <w:sz w:val="18"/>
                  <w:szCs w:val="18"/>
                  <w:color w:val="0000FF"/>
                  <w:w w:val="92"/>
                </w:rPr>
                <w:t>Certificate of Incorporation of Nautilus Biotechnology, Inc. (incorporated by reference to Exhibit 3.1 to the Company’s Current Report on</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940" w:type="dxa"/>
            <w:vAlign w:val="bottom"/>
            <w:tcBorders>
              <w:top w:val="single" w:sz="8" w:color="0000FF"/>
            </w:tcBorders>
            <w:gridSpan w:val="27"/>
          </w:tcPr>
          <w:p>
            <w:pPr>
              <w:spacing w:after="0" w:line="156" w:lineRule="exact"/>
              <w:rPr>
                <w:rFonts w:ascii="Arial" w:cs="Arial" w:eastAsia="Arial" w:hAnsi="Arial"/>
                <w:sz w:val="18"/>
                <w:szCs w:val="18"/>
                <w:color w:val="0000FF"/>
              </w:rPr>
            </w:pPr>
            <w:hyperlink r:id="rId253">
              <w:r>
                <w:rPr>
                  <w:rFonts w:ascii="Arial" w:cs="Arial" w:eastAsia="Arial" w:hAnsi="Arial"/>
                  <w:sz w:val="18"/>
                  <w:szCs w:val="18"/>
                  <w:color w:val="0000FF"/>
                </w:rPr>
                <w:t>Form 8-K filed with the SEC on June 10,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6"/>
              </w:rPr>
            </w:pPr>
            <w:hyperlink r:id="rId254">
              <w:r>
                <w:rPr>
                  <w:rFonts w:ascii="Arial" w:cs="Arial" w:eastAsia="Arial" w:hAnsi="Arial"/>
                  <w:sz w:val="18"/>
                  <w:szCs w:val="18"/>
                  <w:color w:val="0000FF"/>
                  <w:w w:val="96"/>
                </w:rPr>
                <w:t>Bylaws of Nautilus Biotechnology, Inc. (incorporated by reference to Exhibit 3.2 to the Company’s Current Report on Form 8-K filed</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580" w:type="dxa"/>
            <w:vAlign w:val="bottom"/>
            <w:tcBorders>
              <w:top w:val="single" w:sz="8" w:color="0000FF"/>
            </w:tcBorders>
            <w:gridSpan w:val="15"/>
          </w:tcPr>
          <w:p>
            <w:pPr>
              <w:spacing w:after="0" w:line="156" w:lineRule="exact"/>
              <w:rPr>
                <w:rFonts w:ascii="Arial" w:cs="Arial" w:eastAsia="Arial" w:hAnsi="Arial"/>
                <w:sz w:val="18"/>
                <w:szCs w:val="18"/>
                <w:color w:val="0000FF"/>
              </w:rPr>
            </w:pPr>
            <w:hyperlink r:id="rId254">
              <w:r>
                <w:rPr>
                  <w:rFonts w:ascii="Arial" w:cs="Arial" w:eastAsia="Arial" w:hAnsi="Arial"/>
                  <w:sz w:val="18"/>
                  <w:szCs w:val="18"/>
                  <w:color w:val="0000FF"/>
                </w:rPr>
                <w:t>with the SEC on June 10, 2021).</w:t>
              </w:r>
            </w:hyperlink>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3"/>
              </w:rPr>
            </w:pPr>
            <w:hyperlink r:id="rId255">
              <w:r>
                <w:rPr>
                  <w:rFonts w:ascii="Arial" w:cs="Arial" w:eastAsia="Arial" w:hAnsi="Arial"/>
                  <w:sz w:val="18"/>
                  <w:szCs w:val="18"/>
                  <w:color w:val="0000FF"/>
                  <w:w w:val="93"/>
                </w:rPr>
                <w:t>Specimen Common Stock Certificate (incorporated by reference to Exhibit 4.1 to the Company’s Current Report on Form 8-K filed with</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55">
              <w:r>
                <w:rPr>
                  <w:rFonts w:ascii="Arial" w:cs="Arial" w:eastAsia="Arial" w:hAnsi="Arial"/>
                  <w:sz w:val="18"/>
                  <w:szCs w:val="18"/>
                  <w:color w:val="0000FF"/>
                </w:rPr>
                <w:t>the SEC on June 10,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540" w:type="dxa"/>
            <w:vAlign w:val="bottom"/>
            <w:tcBorders>
              <w:left w:val="single" w:sz="8" w:color="0000FF"/>
            </w:tcBorders>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5.1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920" w:type="dxa"/>
            <w:vAlign w:val="bottom"/>
            <w:tcBorders>
              <w:bottom w:val="single" w:sz="8" w:color="0000FF"/>
            </w:tcBorders>
            <w:gridSpan w:val="26"/>
          </w:tcPr>
          <w:p>
            <w:pPr>
              <w:spacing w:after="0"/>
              <w:rPr>
                <w:rFonts w:ascii="Arial" w:cs="Arial" w:eastAsia="Arial" w:hAnsi="Arial"/>
                <w:sz w:val="18"/>
                <w:szCs w:val="18"/>
                <w:color w:val="0000FF"/>
                <w:w w:val="91"/>
              </w:rPr>
            </w:pPr>
            <w:hyperlink r:id="rId256">
              <w:r>
                <w:rPr>
                  <w:rFonts w:ascii="Arial" w:cs="Arial" w:eastAsia="Arial" w:hAnsi="Arial"/>
                  <w:sz w:val="18"/>
                  <w:szCs w:val="18"/>
                  <w:color w:val="0000FF"/>
                  <w:w w:val="91"/>
                </w:rPr>
                <w:t xml:space="preserve">Opinion of Wilson Sonsini Goodrich &amp; Rosati, P.C. (incorporated by reference to Exhibit 5.1 to the Company’s </w:t>
              </w:r>
            </w:hyperlink>
            <w:r>
              <w:rPr>
                <w:rFonts w:ascii="Arial" w:cs="Arial" w:eastAsia="Arial" w:hAnsi="Arial"/>
                <w:sz w:val="18"/>
                <w:szCs w:val="18"/>
                <w:color w:val="0000FF"/>
                <w:w w:val="91"/>
              </w:rPr>
              <w:t xml:space="preserve">Registration </w:t>
            </w:r>
            <w:hyperlink r:id="rId256">
              <w:r>
                <w:rPr>
                  <w:rFonts w:ascii="Arial" w:cs="Arial" w:eastAsia="Arial" w:hAnsi="Arial"/>
                  <w:sz w:val="18"/>
                  <w:szCs w:val="18"/>
                  <w:color w:val="0000FF"/>
                  <w:w w:val="91"/>
                </w:rPr>
                <w:t>on Form S-1</w:t>
              </w:r>
            </w:hyperlink>
          </w:p>
        </w:tc>
        <w:tc>
          <w:tcPr>
            <w:tcW w:w="10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20" w:type="dxa"/>
            <w:vAlign w:val="bottom"/>
            <w:gridSpan w:val="31"/>
          </w:tcPr>
          <w:p>
            <w:pPr>
              <w:spacing w:after="0" w:line="156" w:lineRule="exact"/>
              <w:rPr>
                <w:rFonts w:ascii="Arial" w:cs="Arial" w:eastAsia="Arial" w:hAnsi="Arial"/>
                <w:sz w:val="18"/>
                <w:szCs w:val="18"/>
                <w:color w:val="0000FF"/>
              </w:rPr>
            </w:pPr>
            <w:hyperlink r:id="rId256">
              <w:r>
                <w:rPr>
                  <w:rFonts w:ascii="Arial" w:cs="Arial" w:eastAsia="Arial" w:hAnsi="Arial"/>
                  <w:sz w:val="18"/>
                  <w:szCs w:val="18"/>
                  <w:u w:val="single" w:color="auto"/>
                  <w:color w:val="0000FF"/>
                </w:rPr>
                <w:t>(File</w:t>
              </w:r>
              <w:r>
                <w:rPr>
                  <w:rFonts w:ascii="Arial" w:cs="Arial" w:eastAsia="Arial" w:hAnsi="Arial"/>
                  <w:sz w:val="18"/>
                  <w:szCs w:val="18"/>
                  <w:color w:val="0000FF"/>
                </w:rPr>
                <w:t xml:space="preserve"> No. 333-258100) filed with the SEC on July 22, 2021).</w:t>
              </w:r>
            </w:hyperlink>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30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3"/>
              </w:rPr>
            </w:pPr>
            <w:hyperlink r:id="rId257">
              <w:r>
                <w:rPr>
                  <w:rFonts w:ascii="Arial" w:cs="Arial" w:eastAsia="Arial" w:hAnsi="Arial"/>
                  <w:sz w:val="18"/>
                  <w:szCs w:val="18"/>
                  <w:color w:val="0000FF"/>
                  <w:w w:val="93"/>
                </w:rPr>
                <w:t>Form of Subscription Agreement (incorporated by reference to Exhibit 10.3 to the Company’s Current Report on Form 8-K filed with the</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8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257">
              <w:r>
                <w:rPr>
                  <w:rFonts w:ascii="Arial" w:cs="Arial" w:eastAsia="Arial" w:hAnsi="Arial"/>
                  <w:sz w:val="18"/>
                  <w:szCs w:val="18"/>
                  <w:color w:val="0000FF"/>
                </w:rPr>
                <w:t>SEC on February 8, 2021).</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1"/>
              </w:rPr>
            </w:pPr>
            <w:hyperlink r:id="rId258">
              <w:r>
                <w:rPr>
                  <w:rFonts w:ascii="Arial" w:cs="Arial" w:eastAsia="Arial" w:hAnsi="Arial"/>
                  <w:sz w:val="18"/>
                  <w:szCs w:val="18"/>
                  <w:color w:val="0000FF"/>
                  <w:w w:val="91"/>
                </w:rPr>
                <w:t>Form of Amended and Restated Registration Rights and Lock-Up Agreement (incorporated by reference to Exhibit 10.2 to the Company’s</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960" w:type="dxa"/>
            <w:vAlign w:val="bottom"/>
            <w:tcBorders>
              <w:top w:val="single" w:sz="8" w:color="0000FF"/>
            </w:tcBorders>
            <w:gridSpan w:val="28"/>
          </w:tcPr>
          <w:p>
            <w:pPr>
              <w:spacing w:after="0" w:line="156" w:lineRule="exact"/>
              <w:rPr>
                <w:rFonts w:ascii="Arial" w:cs="Arial" w:eastAsia="Arial" w:hAnsi="Arial"/>
                <w:sz w:val="18"/>
                <w:szCs w:val="18"/>
                <w:color w:val="0000FF"/>
              </w:rPr>
            </w:pPr>
            <w:hyperlink r:id="rId258">
              <w:r>
                <w:rPr>
                  <w:rFonts w:ascii="Arial" w:cs="Arial" w:eastAsia="Arial" w:hAnsi="Arial"/>
                  <w:sz w:val="18"/>
                  <w:szCs w:val="18"/>
                  <w:color w:val="0000FF"/>
                </w:rPr>
                <w:t>Current Report on Form 8-K filed with the SEC on February 8,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180" w:type="dxa"/>
            <w:vAlign w:val="bottom"/>
            <w:gridSpan w:val="5"/>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6"/>
              </w:rPr>
            </w:pPr>
            <w:hyperlink r:id="rId252">
              <w:r>
                <w:rPr>
                  <w:rFonts w:ascii="Arial" w:cs="Arial" w:eastAsia="Arial" w:hAnsi="Arial"/>
                  <w:sz w:val="18"/>
                  <w:szCs w:val="18"/>
                  <w:color w:val="0000FF"/>
                  <w:w w:val="96"/>
                </w:rPr>
                <w:t>Form of Nautilus Shareholder Transaction Support Agreement (incorporated by reference to Exhibit 10.4 to the Company’s Current</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0"/>
              </w:rPr>
            </w:pPr>
            <w:hyperlink r:id="rId252">
              <w:r>
                <w:rPr>
                  <w:rFonts w:ascii="Arial" w:cs="Arial" w:eastAsia="Arial" w:hAnsi="Arial"/>
                  <w:sz w:val="18"/>
                  <w:szCs w:val="18"/>
                  <w:color w:val="0000FF"/>
                  <w:w w:val="90"/>
                </w:rPr>
                <w:t>Report on Form 8-K filed with the SEC on February 8, 2021).</w:t>
              </w:r>
            </w:hyperlink>
          </w:p>
        </w:tc>
        <w:tc>
          <w:tcPr>
            <w:tcW w:w="5000" w:type="dxa"/>
            <w:vAlign w:val="bottom"/>
            <w:tcBorders>
              <w:top w:val="single" w:sz="8" w:color="0000FF"/>
            </w:tcBorders>
            <w:gridSpan w:val="7"/>
          </w:tcPr>
          <w:p>
            <w:pPr>
              <w:spacing w:after="0"/>
              <w:rPr>
                <w:sz w:val="13"/>
                <w:szCs w:val="13"/>
                <w:color w:val="auto"/>
              </w:rPr>
            </w:pPr>
          </w:p>
        </w:tc>
        <w:tc>
          <w:tcPr>
            <w:tcW w:w="2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3"/>
              </w:rPr>
            </w:pPr>
            <w:hyperlink r:id="rId259">
              <w:r>
                <w:rPr>
                  <w:rFonts w:ascii="Arial" w:cs="Arial" w:eastAsia="Arial" w:hAnsi="Arial"/>
                  <w:sz w:val="18"/>
                  <w:szCs w:val="18"/>
                  <w:color w:val="0000FF"/>
                  <w:w w:val="93"/>
                </w:rPr>
                <w:t>Nautilus Biotechnology, Inc. 2021 Equity Incentive Plan (incorporated by reference to Exhibit 10.4 to the Company’s Current Report on</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259">
              <w:r>
                <w:rPr>
                  <w:rFonts w:ascii="Arial" w:cs="Arial" w:eastAsia="Arial" w:hAnsi="Arial"/>
                  <w:sz w:val="18"/>
                  <w:szCs w:val="18"/>
                  <w:color w:val="0000FF"/>
                </w:rPr>
                <w:t>Form 8-K filed with the SEC on June 10, 2021).</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3420" w:type="dxa"/>
            <w:vAlign w:val="bottom"/>
            <w:gridSpan w:val="4"/>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10.5+</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3"/>
              </w:rPr>
            </w:pPr>
            <w:hyperlink r:id="rId260">
              <w:r>
                <w:rPr>
                  <w:rFonts w:ascii="Arial" w:cs="Arial" w:eastAsia="Arial" w:hAnsi="Arial"/>
                  <w:sz w:val="18"/>
                  <w:szCs w:val="18"/>
                  <w:color w:val="0000FF"/>
                  <w:w w:val="93"/>
                </w:rPr>
                <w:t>Nautilus Biotechnology, Inc. 2021 Employee Stock Purchase Plan (incorporated by reference to Exhibit 10.5 to the Company’s Current</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80" w:type="dxa"/>
            <w:vAlign w:val="bottom"/>
            <w:tcBorders>
              <w:top w:val="single" w:sz="8" w:color="0000FF"/>
            </w:tcBorders>
            <w:gridSpan w:val="16"/>
          </w:tcPr>
          <w:p>
            <w:pPr>
              <w:spacing w:after="0" w:line="156" w:lineRule="exact"/>
              <w:rPr>
                <w:rFonts w:ascii="Arial" w:cs="Arial" w:eastAsia="Arial" w:hAnsi="Arial"/>
                <w:sz w:val="18"/>
                <w:szCs w:val="18"/>
                <w:color w:val="0000FF"/>
              </w:rPr>
            </w:pPr>
            <w:hyperlink r:id="rId260">
              <w:r>
                <w:rPr>
                  <w:rFonts w:ascii="Arial" w:cs="Arial" w:eastAsia="Arial" w:hAnsi="Arial"/>
                  <w:sz w:val="18"/>
                  <w:szCs w:val="18"/>
                  <w:color w:val="0000FF"/>
                </w:rPr>
                <w:t>Report on Form 8-K filed with the SEC on June 10, 2021).</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180" w:type="dxa"/>
            <w:vAlign w:val="bottom"/>
            <w:gridSpan w:val="5"/>
            <w:shd w:val="clear" w:color="auto" w:fill="0000FF"/>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2"/>
              </w:rPr>
            </w:pPr>
            <w:hyperlink r:id="rId261">
              <w:r>
                <w:rPr>
                  <w:rFonts w:ascii="Arial" w:cs="Arial" w:eastAsia="Arial" w:hAnsi="Arial"/>
                  <w:sz w:val="18"/>
                  <w:szCs w:val="18"/>
                  <w:color w:val="0000FF"/>
                  <w:w w:val="92"/>
                </w:rPr>
                <w:t>Form of Stock Option Agreement under the Nautilus Biotechnology, Inc. 2021 Equity Incentive Plan (incorporated by reference to Exhibit</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261">
              <w:r>
                <w:rPr>
                  <w:rFonts w:ascii="Arial" w:cs="Arial" w:eastAsia="Arial" w:hAnsi="Arial"/>
                  <w:sz w:val="18"/>
                  <w:szCs w:val="18"/>
                  <w:color w:val="0000FF"/>
                </w:rPr>
                <w:t>10.</w:t>
              </w:r>
              <w:r>
                <w:rPr>
                  <w:rFonts w:ascii="Arial" w:cs="Arial" w:eastAsia="Arial" w:hAnsi="Arial"/>
                  <w:sz w:val="18"/>
                  <w:szCs w:val="18"/>
                  <w:u w:val="single" w:color="auto"/>
                  <w:color w:val="0000FF"/>
                </w:rPr>
                <w:t>7</w:t>
              </w:r>
              <w:r>
                <w:rPr>
                  <w:rFonts w:ascii="Arial" w:cs="Arial" w:eastAsia="Arial" w:hAnsi="Arial"/>
                  <w:sz w:val="18"/>
                  <w:szCs w:val="18"/>
                  <w:color w:val="0000FF"/>
                </w:rPr>
                <w:t xml:space="preserve"> to the Company’s Form S-4 filed with the SEC on March 26, 2021).</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480" w:type="dxa"/>
            <w:vAlign w:val="bottom"/>
            <w:gridSpan w:val="8"/>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3"/>
              </w:rPr>
            </w:pPr>
            <w:hyperlink r:id="rId262">
              <w:r>
                <w:rPr>
                  <w:rFonts w:ascii="Arial" w:cs="Arial" w:eastAsia="Arial" w:hAnsi="Arial"/>
                  <w:sz w:val="18"/>
                  <w:szCs w:val="18"/>
                  <w:color w:val="0000FF"/>
                  <w:w w:val="93"/>
                </w:rPr>
                <w:t>Form of Restricted Stock Unit Agreement under the Nautilus Biotechnology, Inc. 2021 Equity Incentive Plan (incorporated by reference</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76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62">
              <w:r>
                <w:rPr>
                  <w:rFonts w:ascii="Arial" w:cs="Arial" w:eastAsia="Arial" w:hAnsi="Arial"/>
                  <w:sz w:val="18"/>
                  <w:szCs w:val="18"/>
                  <w:color w:val="0000FF"/>
                </w:rPr>
                <w:t>to Exhibit 10.8 to the Company’s Form S-4 filed with the SEC on March 26, 2021).</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480" w:type="dxa"/>
            <w:vAlign w:val="bottom"/>
            <w:gridSpan w:val="8"/>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1"/>
              </w:rPr>
            </w:pPr>
            <w:hyperlink r:id="rId263">
              <w:r>
                <w:rPr>
                  <w:rFonts w:ascii="Arial" w:cs="Arial" w:eastAsia="Arial" w:hAnsi="Arial"/>
                  <w:sz w:val="18"/>
                  <w:szCs w:val="18"/>
                  <w:color w:val="0000FF"/>
                  <w:w w:val="91"/>
                </w:rPr>
                <w:t>Form of Restricted Stock Award Agreement under the Nautilus Biotechnology, Inc. 2021 Equity Incentive Plan (incorporated by reference</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980" w:type="dxa"/>
            <w:vAlign w:val="bottom"/>
            <w:tcBorders>
              <w:top w:val="single" w:sz="8" w:color="0000FF"/>
            </w:tcBorders>
            <w:gridSpan w:val="29"/>
          </w:tcPr>
          <w:p>
            <w:pPr>
              <w:spacing w:after="0" w:line="156" w:lineRule="exact"/>
              <w:rPr>
                <w:rFonts w:ascii="Arial" w:cs="Arial" w:eastAsia="Arial" w:hAnsi="Arial"/>
                <w:sz w:val="18"/>
                <w:szCs w:val="18"/>
                <w:color w:val="0000FF"/>
              </w:rPr>
            </w:pPr>
            <w:hyperlink r:id="rId263">
              <w:r>
                <w:rPr>
                  <w:rFonts w:ascii="Arial" w:cs="Arial" w:eastAsia="Arial" w:hAnsi="Arial"/>
                  <w:sz w:val="18"/>
                  <w:szCs w:val="18"/>
                  <w:color w:val="0000FF"/>
                </w:rPr>
                <w:t>to Exhibit 10.9 to the Company’s Form S-4 filed with the SEC on March 26, 2021).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480" w:type="dxa"/>
            <w:vAlign w:val="bottom"/>
            <w:gridSpan w:val="8"/>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gridSpan w:val="3"/>
            <w:shd w:val="clear" w:color="auto" w:fill="0000FF"/>
          </w:tcPr>
          <w:p>
            <w:pPr>
              <w:spacing w:after="0" w:line="20" w:lineRule="exact"/>
              <w:rPr>
                <w:sz w:val="1"/>
                <w:szCs w:val="1"/>
                <w:color w:val="auto"/>
              </w:rPr>
            </w:pPr>
          </w:p>
        </w:tc>
        <w:tc>
          <w:tcPr>
            <w:tcW w:w="37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ind w:left="20"/>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2"/>
              </w:rPr>
            </w:pPr>
            <w:hyperlink r:id="rId264">
              <w:r>
                <w:rPr>
                  <w:rFonts w:ascii="Arial" w:cs="Arial" w:eastAsia="Arial" w:hAnsi="Arial"/>
                  <w:sz w:val="18"/>
                  <w:szCs w:val="18"/>
                  <w:color w:val="0000FF"/>
                  <w:w w:val="92"/>
                </w:rPr>
                <w:t>Nautilus Biotechnology, Inc. 2017 Equity Incentive Plan and forms of agreements thereunder (incorporated by reference to Exhibit 10.11</w:t>
              </w:r>
            </w:hyperlink>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40" w:type="dxa"/>
            <w:vAlign w:val="bottom"/>
            <w:tcBorders>
              <w:top w:val="single" w:sz="8" w:color="0000FF"/>
            </w:tcBorders>
            <w:gridSpan w:val="22"/>
          </w:tcPr>
          <w:p>
            <w:pPr>
              <w:spacing w:after="0" w:line="156" w:lineRule="exact"/>
              <w:rPr>
                <w:rFonts w:ascii="Arial" w:cs="Arial" w:eastAsia="Arial" w:hAnsi="Arial"/>
                <w:sz w:val="18"/>
                <w:szCs w:val="18"/>
                <w:color w:val="0000FF"/>
              </w:rPr>
            </w:pPr>
            <w:hyperlink r:id="rId264">
              <w:r>
                <w:rPr>
                  <w:rFonts w:ascii="Arial" w:cs="Arial" w:eastAsia="Arial" w:hAnsi="Arial"/>
                  <w:sz w:val="18"/>
                  <w:szCs w:val="18"/>
                  <w:color w:val="0000FF"/>
                </w:rPr>
                <w:t>to the Company’s Form S-4 filed with the SEC on March 26, 2021).</w:t>
              </w:r>
            </w:hyperlink>
          </w:p>
        </w:tc>
        <w:tc>
          <w:tcPr>
            <w:tcW w:w="80" w:type="dxa"/>
            <w:vAlign w:val="bottom"/>
            <w:gridSpan w:val="4"/>
          </w:tcPr>
          <w:p>
            <w:pPr>
              <w:spacing w:after="0"/>
              <w:rPr>
                <w:sz w:val="13"/>
                <w:szCs w:val="13"/>
                <w:color w:val="auto"/>
              </w:rPr>
            </w:pPr>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480" w:type="dxa"/>
            <w:vAlign w:val="bottom"/>
            <w:gridSpan w:val="8"/>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10.10+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2"/>
              </w:rPr>
            </w:pPr>
            <w:hyperlink r:id="rId265">
              <w:r>
                <w:rPr>
                  <w:rFonts w:ascii="Arial" w:cs="Arial" w:eastAsia="Arial" w:hAnsi="Arial"/>
                  <w:sz w:val="18"/>
                  <w:szCs w:val="18"/>
                  <w:color w:val="0000FF"/>
                  <w:w w:val="92"/>
                </w:rPr>
                <w:t>Confirmatory Employment Letter between Nautilus Biotechnology, Inc. and Sujal Patel (incorporated by reference to Exhibit 10.12 to the</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9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265">
              <w:r>
                <w:rPr>
                  <w:rFonts w:ascii="Arial" w:cs="Arial" w:eastAsia="Arial" w:hAnsi="Arial"/>
                  <w:sz w:val="18"/>
                  <w:szCs w:val="18"/>
                  <w:color w:val="0000FF"/>
                </w:rPr>
                <w:t>Company’s Form S-4/A filed with the SEC on April 26, 2021).</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480" w:type="dxa"/>
            <w:vAlign w:val="bottom"/>
            <w:gridSpan w:val="8"/>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98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3"/>
              </w:rPr>
            </w:pPr>
            <w:hyperlink r:id="rId266">
              <w:r>
                <w:rPr>
                  <w:rFonts w:ascii="Arial" w:cs="Arial" w:eastAsia="Arial" w:hAnsi="Arial"/>
                  <w:sz w:val="18"/>
                  <w:szCs w:val="18"/>
                  <w:color w:val="0000FF"/>
                  <w:w w:val="93"/>
                </w:rPr>
                <w:t>Confirmatory Employment Letter between Nautilus Biotechnology, Inc. and Anna Mowry (incorporated by reference to Exhibit 10.13 to</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66">
              <w:r>
                <w:rPr>
                  <w:rFonts w:ascii="Arial" w:cs="Arial" w:eastAsia="Arial" w:hAnsi="Arial"/>
                  <w:sz w:val="18"/>
                  <w:szCs w:val="18"/>
                  <w:color w:val="0000FF"/>
                  <w:w w:val="91"/>
                </w:rPr>
                <w:t>the Company’s Form S-4/A filed with the SEC on April 26, 2021).</w:t>
              </w:r>
            </w:hyperlink>
          </w:p>
        </w:tc>
        <w:tc>
          <w:tcPr>
            <w:tcW w:w="5060" w:type="dxa"/>
            <w:vAlign w:val="bottom"/>
            <w:tcBorders>
              <w:top w:val="single" w:sz="8" w:color="0000FF"/>
            </w:tcBorders>
            <w:gridSpan w:val="12"/>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10.12+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3"/>
              </w:rPr>
            </w:pPr>
            <w:hyperlink r:id="rId267">
              <w:r>
                <w:rPr>
                  <w:rFonts w:ascii="Arial" w:cs="Arial" w:eastAsia="Arial" w:hAnsi="Arial"/>
                  <w:sz w:val="18"/>
                  <w:szCs w:val="18"/>
                  <w:color w:val="0000FF"/>
                  <w:w w:val="93"/>
                </w:rPr>
                <w:t>Confirmatory Employment Letter between Nautilus Biotechnology, Inc. and Subra Sankar (incorporated by reference to Exhibit 10.15 to</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67">
              <w:r>
                <w:rPr>
                  <w:rFonts w:ascii="Arial" w:cs="Arial" w:eastAsia="Arial" w:hAnsi="Arial"/>
                  <w:sz w:val="18"/>
                  <w:szCs w:val="18"/>
                  <w:color w:val="0000FF"/>
                  <w:w w:val="91"/>
                </w:rPr>
                <w:t>the Company’s Form S-4/A filed with the SEC on April 26, 2021).</w:t>
              </w:r>
            </w:hyperlink>
          </w:p>
        </w:tc>
        <w:tc>
          <w:tcPr>
            <w:tcW w:w="5060" w:type="dxa"/>
            <w:vAlign w:val="bottom"/>
            <w:tcBorders>
              <w:top w:val="single" w:sz="8" w:color="0000FF"/>
            </w:tcBorders>
            <w:gridSpan w:val="12"/>
          </w:tcPr>
          <w:p>
            <w:pPr>
              <w:spacing w:after="0"/>
              <w:rPr>
                <w:sz w:val="13"/>
                <w:szCs w:val="13"/>
                <w:color w:val="auto"/>
              </w:rPr>
            </w:pPr>
          </w:p>
        </w:tc>
        <w:tc>
          <w:tcPr>
            <w:tcW w:w="200" w:type="dxa"/>
            <w:vAlign w:val="bottom"/>
            <w:gridSpan w:val="10"/>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60" w:type="dxa"/>
            <w:vAlign w:val="bottom"/>
          </w:tcPr>
          <w:p>
            <w:pPr>
              <w:ind w:left="20"/>
              <w:spacing w:after="0"/>
              <w:rPr>
                <w:sz w:val="20"/>
                <w:szCs w:val="20"/>
                <w:color w:val="auto"/>
              </w:rPr>
            </w:pPr>
            <w:r>
              <w:rPr>
                <w:rFonts w:ascii="Arial" w:cs="Arial" w:eastAsia="Arial" w:hAnsi="Arial"/>
                <w:sz w:val="18"/>
                <w:szCs w:val="18"/>
                <w:color w:val="auto"/>
              </w:rPr>
              <w:t>10.13+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20" w:type="dxa"/>
            <w:vAlign w:val="bottom"/>
            <w:gridSpan w:val="31"/>
          </w:tcPr>
          <w:p>
            <w:pPr>
              <w:spacing w:after="0"/>
              <w:rPr>
                <w:rFonts w:ascii="Arial" w:cs="Arial" w:eastAsia="Arial" w:hAnsi="Arial"/>
                <w:sz w:val="18"/>
                <w:szCs w:val="18"/>
                <w:color w:val="0000FF"/>
                <w:w w:val="94"/>
              </w:rPr>
            </w:pPr>
            <w:hyperlink r:id="rId268">
              <w:r>
                <w:rPr>
                  <w:rFonts w:ascii="Arial" w:cs="Arial" w:eastAsia="Arial" w:hAnsi="Arial"/>
                  <w:sz w:val="18"/>
                  <w:szCs w:val="18"/>
                  <w:color w:val="0000FF"/>
                  <w:w w:val="94"/>
                </w:rPr>
                <w:t>Confirmatory Employment Letter between Nautilus Biotechnology, Inc. and Nick Nelson (incorporated by reference to Exhibit 10.14 to</w:t>
              </w:r>
            </w:hyperlink>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76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268">
              <w:r>
                <w:rPr>
                  <w:rFonts w:ascii="Arial" w:cs="Arial" w:eastAsia="Arial" w:hAnsi="Arial"/>
                  <w:sz w:val="18"/>
                  <w:szCs w:val="18"/>
                  <w:color w:val="0000FF"/>
                  <w:w w:val="91"/>
                </w:rPr>
                <w:t>the Company’s Form S-4/A filed with the SEC on April 26, 2021).</w:t>
              </w:r>
            </w:hyperlink>
          </w:p>
        </w:tc>
        <w:tc>
          <w:tcPr>
            <w:tcW w:w="4980" w:type="dxa"/>
            <w:vAlign w:val="bottom"/>
            <w:tcBorders>
              <w:top w:val="single" w:sz="8" w:color="0000FF"/>
            </w:tcBorders>
            <w:gridSpan w:val="8"/>
          </w:tcPr>
          <w:p>
            <w:pPr>
              <w:spacing w:after="0"/>
              <w:rPr>
                <w:sz w:val="13"/>
                <w:szCs w:val="13"/>
                <w:color w:val="auto"/>
              </w:rPr>
            </w:pPr>
          </w:p>
        </w:tc>
        <w:tc>
          <w:tcPr>
            <w:tcW w:w="2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-3350895</wp:posOffset>
            </wp:positionV>
            <wp:extent cx="381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381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00" w:type="dxa"/>
            <w:vAlign w:val="bottom"/>
          </w:tcPr>
          <w:p>
            <w:pPr>
              <w:spacing w:after="0"/>
              <w:rPr>
                <w:sz w:val="20"/>
                <w:szCs w:val="20"/>
                <w:color w:val="auto"/>
              </w:rPr>
            </w:pPr>
            <w:r>
              <w:rPr>
                <w:rFonts w:ascii="Arial" w:cs="Arial" w:eastAsia="Arial" w:hAnsi="Arial"/>
                <w:sz w:val="18"/>
                <w:szCs w:val="18"/>
                <w:color w:val="auto"/>
              </w:rPr>
              <w:t>10.14+</w:t>
            </w:r>
          </w:p>
        </w:tc>
        <w:tc>
          <w:tcPr>
            <w:tcW w:w="10020" w:type="dxa"/>
            <w:vAlign w:val="bottom"/>
            <w:gridSpan w:val="22"/>
          </w:tcPr>
          <w:p>
            <w:pPr>
              <w:spacing w:after="0"/>
              <w:rPr>
                <w:rFonts w:ascii="Arial" w:cs="Arial" w:eastAsia="Arial" w:hAnsi="Arial"/>
                <w:sz w:val="18"/>
                <w:szCs w:val="18"/>
                <w:color w:val="0000FF"/>
                <w:w w:val="93"/>
              </w:rPr>
            </w:pPr>
            <w:hyperlink r:id="rId271">
              <w:r>
                <w:rPr>
                  <w:rFonts w:ascii="Arial" w:cs="Arial" w:eastAsia="Arial" w:hAnsi="Arial"/>
                  <w:sz w:val="18"/>
                  <w:szCs w:val="18"/>
                  <w:color w:val="0000FF"/>
                  <w:w w:val="93"/>
                </w:rPr>
                <w:t>Confirmatory Employment Letter between Nautilus Biotechnology, Inc. and Parag Mallick (incorporated by reference to Exhibit 10.16 to</w:t>
              </w:r>
            </w:hyperlink>
          </w:p>
        </w:tc>
      </w:tr>
      <w:tr>
        <w:trPr>
          <w:trHeight w:val="155"/>
        </w:trPr>
        <w:tc>
          <w:tcPr>
            <w:tcW w:w="120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271">
              <w:r>
                <w:rPr>
                  <w:rFonts w:ascii="Arial" w:cs="Arial" w:eastAsia="Arial" w:hAnsi="Arial"/>
                  <w:sz w:val="18"/>
                  <w:szCs w:val="18"/>
                  <w:color w:val="0000FF"/>
                  <w:w w:val="92"/>
                </w:rPr>
                <w:t>the Company’s Form S-4/A filed with the SEC on April 26, 2021).</w:t>
              </w:r>
            </w:hyperlink>
          </w:p>
        </w:tc>
        <w:tc>
          <w:tcPr>
            <w:tcW w:w="510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10.15+</w:t>
            </w:r>
          </w:p>
        </w:tc>
        <w:tc>
          <w:tcPr>
            <w:tcW w:w="10020" w:type="dxa"/>
            <w:vAlign w:val="bottom"/>
            <w:gridSpan w:val="22"/>
          </w:tcPr>
          <w:p>
            <w:pPr>
              <w:spacing w:after="0"/>
              <w:rPr>
                <w:rFonts w:ascii="Arial" w:cs="Arial" w:eastAsia="Arial" w:hAnsi="Arial"/>
                <w:sz w:val="18"/>
                <w:szCs w:val="18"/>
                <w:color w:val="0000FF"/>
                <w:w w:val="93"/>
              </w:rPr>
            </w:pPr>
            <w:hyperlink r:id="rId272">
              <w:r>
                <w:rPr>
                  <w:rFonts w:ascii="Arial" w:cs="Arial" w:eastAsia="Arial" w:hAnsi="Arial"/>
                  <w:sz w:val="18"/>
                  <w:szCs w:val="18"/>
                  <w:color w:val="0000FF"/>
                  <w:w w:val="93"/>
                </w:rPr>
                <w:t>Confirmatory Employment Letter between Nautilus Biotechnology, Inc. and Matt Murphy (incorporated by reference to Exhibit 10.17 to</w:t>
              </w:r>
            </w:hyperlink>
          </w:p>
        </w:tc>
      </w:tr>
      <w:tr>
        <w:trPr>
          <w:trHeight w:val="155"/>
        </w:trPr>
        <w:tc>
          <w:tcPr>
            <w:tcW w:w="1200" w:type="dxa"/>
            <w:vAlign w:val="bottom"/>
          </w:tcPr>
          <w:p>
            <w:pPr>
              <w:spacing w:after="0"/>
              <w:rPr>
                <w:sz w:val="13"/>
                <w:szCs w:val="13"/>
                <w:color w:val="auto"/>
              </w:rPr>
            </w:pPr>
          </w:p>
        </w:tc>
        <w:tc>
          <w:tcPr>
            <w:tcW w:w="48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272">
              <w:r>
                <w:rPr>
                  <w:rFonts w:ascii="Arial" w:cs="Arial" w:eastAsia="Arial" w:hAnsi="Arial"/>
                  <w:sz w:val="18"/>
                  <w:szCs w:val="18"/>
                  <w:color w:val="0000FF"/>
                  <w:w w:val="92"/>
                </w:rPr>
                <w:t>the Company’s Form S-4/A filed with the SEC on April 26, 2021).</w:t>
              </w:r>
            </w:hyperlink>
          </w:p>
        </w:tc>
        <w:tc>
          <w:tcPr>
            <w:tcW w:w="504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10.16+</w:t>
            </w:r>
          </w:p>
        </w:tc>
        <w:tc>
          <w:tcPr>
            <w:tcW w:w="10020" w:type="dxa"/>
            <w:vAlign w:val="bottom"/>
            <w:gridSpan w:val="22"/>
          </w:tcPr>
          <w:p>
            <w:pPr>
              <w:spacing w:after="0"/>
              <w:rPr>
                <w:rFonts w:ascii="Arial" w:cs="Arial" w:eastAsia="Arial" w:hAnsi="Arial"/>
                <w:sz w:val="18"/>
                <w:szCs w:val="18"/>
                <w:color w:val="0000FF"/>
                <w:w w:val="92"/>
              </w:rPr>
            </w:pPr>
            <w:hyperlink r:id="rId273">
              <w:r>
                <w:rPr>
                  <w:rFonts w:ascii="Arial" w:cs="Arial" w:eastAsia="Arial" w:hAnsi="Arial"/>
                  <w:sz w:val="18"/>
                  <w:szCs w:val="18"/>
                  <w:color w:val="0000FF"/>
                  <w:w w:val="92"/>
                </w:rPr>
                <w:t>Change in Control and Severance Agreement between Nautilus Biotechnology, Inc. and Sujal Patel (incorporated by reference to Exhibit</w:t>
              </w:r>
            </w:hyperlink>
          </w:p>
        </w:tc>
      </w:tr>
      <w:tr>
        <w:trPr>
          <w:trHeight w:val="155"/>
        </w:trPr>
        <w:tc>
          <w:tcPr>
            <w:tcW w:w="1200" w:type="dxa"/>
            <w:vAlign w:val="bottom"/>
          </w:tcPr>
          <w:p>
            <w:pPr>
              <w:spacing w:after="0"/>
              <w:rPr>
                <w:sz w:val="13"/>
                <w:szCs w:val="13"/>
                <w:color w:val="auto"/>
              </w:rPr>
            </w:pPr>
          </w:p>
        </w:tc>
        <w:tc>
          <w:tcPr>
            <w:tcW w:w="99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273">
              <w:r>
                <w:rPr>
                  <w:rFonts w:ascii="Arial" w:cs="Arial" w:eastAsia="Arial" w:hAnsi="Arial"/>
                  <w:sz w:val="18"/>
                  <w:szCs w:val="18"/>
                  <w:color w:val="0000FF"/>
                </w:rPr>
                <w:t>10.</w:t>
              </w:r>
              <w:r>
                <w:rPr>
                  <w:rFonts w:ascii="Arial" w:cs="Arial" w:eastAsia="Arial" w:hAnsi="Arial"/>
                  <w:sz w:val="18"/>
                  <w:szCs w:val="18"/>
                  <w:u w:val="single" w:color="auto"/>
                  <w:color w:val="0000FF"/>
                </w:rPr>
                <w:t>18</w:t>
              </w:r>
              <w:r>
                <w:rPr>
                  <w:rFonts w:ascii="Arial" w:cs="Arial" w:eastAsia="Arial" w:hAnsi="Arial"/>
                  <w:sz w:val="18"/>
                  <w:szCs w:val="18"/>
                  <w:color w:val="0000FF"/>
                </w:rPr>
                <w:t xml:space="preserve"> to the Company’s Form S-4/A filed with the SEC on April 26, 2021).</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10.17+</w:t>
            </w:r>
          </w:p>
        </w:tc>
        <w:tc>
          <w:tcPr>
            <w:tcW w:w="10020" w:type="dxa"/>
            <w:vAlign w:val="bottom"/>
            <w:gridSpan w:val="22"/>
          </w:tcPr>
          <w:p>
            <w:pPr>
              <w:spacing w:after="0"/>
              <w:rPr>
                <w:rFonts w:ascii="Arial" w:cs="Arial" w:eastAsia="Arial" w:hAnsi="Arial"/>
                <w:sz w:val="18"/>
                <w:szCs w:val="18"/>
                <w:color w:val="0000FF"/>
                <w:w w:val="96"/>
              </w:rPr>
            </w:pPr>
            <w:hyperlink r:id="rId274">
              <w:r>
                <w:rPr>
                  <w:rFonts w:ascii="Arial" w:cs="Arial" w:eastAsia="Arial" w:hAnsi="Arial"/>
                  <w:sz w:val="18"/>
                  <w:szCs w:val="18"/>
                  <w:color w:val="0000FF"/>
                  <w:w w:val="96"/>
                </w:rPr>
                <w:t>Change in Control and Severance Agreement between Nautilus Biotechnology, Inc. and Anna Mowry (incorporated by reference to</w:t>
              </w:r>
            </w:hyperlink>
          </w:p>
        </w:tc>
      </w:tr>
      <w:tr>
        <w:trPr>
          <w:trHeight w:val="155"/>
        </w:trPr>
        <w:tc>
          <w:tcPr>
            <w:tcW w:w="120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274">
              <w:r>
                <w:rPr>
                  <w:rFonts w:ascii="Arial" w:cs="Arial" w:eastAsia="Arial" w:hAnsi="Arial"/>
                  <w:sz w:val="18"/>
                  <w:szCs w:val="18"/>
                  <w:color w:val="0000FF"/>
                  <w:w w:val="93"/>
                </w:rPr>
                <w:t>Exhibit 10.19 to the Company’s Form S-4/A filed with the SEC on April 26, 2021).</w:t>
              </w:r>
            </w:hyperlink>
          </w:p>
        </w:tc>
        <w:tc>
          <w:tcPr>
            <w:tcW w:w="34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10.18+</w:t>
            </w:r>
          </w:p>
        </w:tc>
        <w:tc>
          <w:tcPr>
            <w:tcW w:w="10020" w:type="dxa"/>
            <w:vAlign w:val="bottom"/>
            <w:gridSpan w:val="22"/>
          </w:tcPr>
          <w:p>
            <w:pPr>
              <w:spacing w:after="0"/>
              <w:rPr>
                <w:rFonts w:ascii="Arial" w:cs="Arial" w:eastAsia="Arial" w:hAnsi="Arial"/>
                <w:sz w:val="18"/>
                <w:szCs w:val="18"/>
                <w:color w:val="0000FF"/>
                <w:w w:val="95"/>
              </w:rPr>
            </w:pPr>
            <w:hyperlink r:id="rId275">
              <w:r>
                <w:rPr>
                  <w:rFonts w:ascii="Arial" w:cs="Arial" w:eastAsia="Arial" w:hAnsi="Arial"/>
                  <w:sz w:val="18"/>
                  <w:szCs w:val="18"/>
                  <w:color w:val="0000FF"/>
                  <w:w w:val="95"/>
                </w:rPr>
                <w:t>Change in Control and Severance Agreement between Nautilus Biotechnology, Inc. and Subra Sankar (incorporated by reference to</w:t>
              </w:r>
            </w:hyperlink>
          </w:p>
        </w:tc>
      </w:tr>
      <w:tr>
        <w:trPr>
          <w:trHeight w:val="155"/>
        </w:trPr>
        <w:tc>
          <w:tcPr>
            <w:tcW w:w="120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275">
              <w:r>
                <w:rPr>
                  <w:rFonts w:ascii="Arial" w:cs="Arial" w:eastAsia="Arial" w:hAnsi="Arial"/>
                  <w:sz w:val="18"/>
                  <w:szCs w:val="18"/>
                  <w:color w:val="0000FF"/>
                  <w:w w:val="93"/>
                </w:rPr>
                <w:t>Exhibit 10.21 to the Company’s Form S-4/A filed with the SEC on April 26, 2021).</w:t>
              </w:r>
            </w:hyperlink>
          </w:p>
        </w:tc>
        <w:tc>
          <w:tcPr>
            <w:tcW w:w="344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10.19+</w:t>
            </w:r>
          </w:p>
        </w:tc>
        <w:tc>
          <w:tcPr>
            <w:tcW w:w="10020" w:type="dxa"/>
            <w:vAlign w:val="bottom"/>
            <w:gridSpan w:val="22"/>
          </w:tcPr>
          <w:p>
            <w:pPr>
              <w:spacing w:after="0"/>
              <w:rPr>
                <w:rFonts w:ascii="Arial" w:cs="Arial" w:eastAsia="Arial" w:hAnsi="Arial"/>
                <w:sz w:val="18"/>
                <w:szCs w:val="18"/>
                <w:color w:val="0000FF"/>
                <w:w w:val="91"/>
              </w:rPr>
            </w:pPr>
            <w:hyperlink r:id="rId276">
              <w:r>
                <w:rPr>
                  <w:rFonts w:ascii="Arial" w:cs="Arial" w:eastAsia="Arial" w:hAnsi="Arial"/>
                  <w:sz w:val="18"/>
                  <w:szCs w:val="18"/>
                  <w:color w:val="0000FF"/>
                  <w:w w:val="91"/>
                </w:rPr>
                <w:t>Change in Control and Severance Agreement between Nautilus Biotechnology, Inc. and Nick Nelson (incorporated by reference to Exhibit</w:t>
              </w:r>
            </w:hyperlink>
          </w:p>
        </w:tc>
      </w:tr>
      <w:tr>
        <w:trPr>
          <w:trHeight w:val="155"/>
        </w:trPr>
        <w:tc>
          <w:tcPr>
            <w:tcW w:w="1200" w:type="dxa"/>
            <w:vAlign w:val="bottom"/>
          </w:tcPr>
          <w:p>
            <w:pPr>
              <w:spacing w:after="0"/>
              <w:rPr>
                <w:sz w:val="13"/>
                <w:szCs w:val="13"/>
                <w:color w:val="auto"/>
              </w:rPr>
            </w:pPr>
          </w:p>
        </w:tc>
        <w:tc>
          <w:tcPr>
            <w:tcW w:w="1000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276">
              <w:r>
                <w:rPr>
                  <w:rFonts w:ascii="Arial" w:cs="Arial" w:eastAsia="Arial" w:hAnsi="Arial"/>
                  <w:sz w:val="18"/>
                  <w:szCs w:val="18"/>
                  <w:color w:val="0000FF"/>
                </w:rPr>
                <w:t>10.</w:t>
              </w:r>
              <w:r>
                <w:rPr>
                  <w:rFonts w:ascii="Arial" w:cs="Arial" w:eastAsia="Arial" w:hAnsi="Arial"/>
                  <w:sz w:val="18"/>
                  <w:szCs w:val="18"/>
                  <w:u w:val="single" w:color="auto"/>
                  <w:color w:val="0000FF"/>
                </w:rPr>
                <w:t>20</w:t>
              </w:r>
              <w:r>
                <w:rPr>
                  <w:rFonts w:ascii="Arial" w:cs="Arial" w:eastAsia="Arial" w:hAnsi="Arial"/>
                  <w:sz w:val="18"/>
                  <w:szCs w:val="18"/>
                  <w:color w:val="0000FF"/>
                </w:rPr>
                <w:t xml:space="preserve"> to the Company’s Form S-4/A filed with the SEC on April 26, 2021).</w:t>
              </w:r>
            </w:hyperlink>
          </w:p>
        </w:tc>
        <w:tc>
          <w:tcPr>
            <w:tcW w:w="20" w:type="dxa"/>
            <w:vAlign w:val="bottom"/>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10.20+</w:t>
            </w:r>
          </w:p>
        </w:tc>
        <w:tc>
          <w:tcPr>
            <w:tcW w:w="10020" w:type="dxa"/>
            <w:vAlign w:val="bottom"/>
            <w:gridSpan w:val="22"/>
          </w:tcPr>
          <w:p>
            <w:pPr>
              <w:spacing w:after="0"/>
              <w:rPr>
                <w:rFonts w:ascii="Arial" w:cs="Arial" w:eastAsia="Arial" w:hAnsi="Arial"/>
                <w:sz w:val="18"/>
                <w:szCs w:val="18"/>
                <w:color w:val="0000FF"/>
                <w:w w:val="95"/>
              </w:rPr>
            </w:pPr>
            <w:hyperlink r:id="rId277">
              <w:r>
                <w:rPr>
                  <w:rFonts w:ascii="Arial" w:cs="Arial" w:eastAsia="Arial" w:hAnsi="Arial"/>
                  <w:sz w:val="18"/>
                  <w:szCs w:val="18"/>
                  <w:color w:val="0000FF"/>
                  <w:w w:val="95"/>
                </w:rPr>
                <w:t>Change in Control and Severance Agreement between Nautilus Biotechnology, Inc. and Parag Mallick (incorporated by reference to</w:t>
              </w:r>
            </w:hyperlink>
          </w:p>
        </w:tc>
      </w:tr>
      <w:tr>
        <w:trPr>
          <w:trHeight w:val="155"/>
        </w:trPr>
        <w:tc>
          <w:tcPr>
            <w:tcW w:w="120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277">
              <w:r>
                <w:rPr>
                  <w:rFonts w:ascii="Arial" w:cs="Arial" w:eastAsia="Arial" w:hAnsi="Arial"/>
                  <w:sz w:val="18"/>
                  <w:szCs w:val="18"/>
                  <w:color w:val="0000FF"/>
                  <w:w w:val="93"/>
                </w:rPr>
                <w:t>Exhibit 10.22 to the Company’s Form S-4/A filed with the SEC on April 26, 2021).</w:t>
              </w:r>
            </w:hyperlink>
          </w:p>
        </w:tc>
        <w:tc>
          <w:tcPr>
            <w:tcW w:w="3500" w:type="dxa"/>
            <w:vAlign w:val="bottom"/>
            <w:tcBorders>
              <w:top w:val="single" w:sz="8" w:color="0000FF"/>
            </w:tcBorders>
            <w:gridSpan w:val="6"/>
          </w:tcPr>
          <w:p>
            <w:pPr>
              <w:spacing w:after="0"/>
              <w:rPr>
                <w:sz w:val="13"/>
                <w:szCs w:val="13"/>
                <w:color w:val="auto"/>
              </w:rPr>
            </w:pPr>
          </w:p>
        </w:tc>
        <w:tc>
          <w:tcPr>
            <w:tcW w:w="3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10.21+</w:t>
            </w:r>
          </w:p>
        </w:tc>
        <w:tc>
          <w:tcPr>
            <w:tcW w:w="10020" w:type="dxa"/>
            <w:vAlign w:val="bottom"/>
            <w:gridSpan w:val="22"/>
          </w:tcPr>
          <w:p>
            <w:pPr>
              <w:spacing w:after="0"/>
              <w:rPr>
                <w:rFonts w:ascii="Arial" w:cs="Arial" w:eastAsia="Arial" w:hAnsi="Arial"/>
                <w:sz w:val="18"/>
                <w:szCs w:val="18"/>
                <w:color w:val="0000FF"/>
                <w:w w:val="96"/>
              </w:rPr>
            </w:pPr>
            <w:hyperlink r:id="rId278">
              <w:r>
                <w:rPr>
                  <w:rFonts w:ascii="Arial" w:cs="Arial" w:eastAsia="Arial" w:hAnsi="Arial"/>
                  <w:sz w:val="18"/>
                  <w:szCs w:val="18"/>
                  <w:color w:val="0000FF"/>
                  <w:w w:val="96"/>
                </w:rPr>
                <w:t>Change in Control and Severance Agreement between Nautilus Biotechnology, Inc. and Matt Murphy (incorporated by reference to</w:t>
              </w:r>
            </w:hyperlink>
          </w:p>
        </w:tc>
      </w:tr>
      <w:tr>
        <w:trPr>
          <w:trHeight w:val="155"/>
        </w:trPr>
        <w:tc>
          <w:tcPr>
            <w:tcW w:w="1200" w:type="dxa"/>
            <w:vAlign w:val="bottom"/>
          </w:tcPr>
          <w:p>
            <w:pPr>
              <w:spacing w:after="0"/>
              <w:rPr>
                <w:sz w:val="13"/>
                <w:szCs w:val="13"/>
                <w:color w:val="auto"/>
              </w:rPr>
            </w:pPr>
          </w:p>
        </w:tc>
        <w:tc>
          <w:tcPr>
            <w:tcW w:w="60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2"/>
              </w:rPr>
            </w:pPr>
            <w:hyperlink r:id="rId278">
              <w:r>
                <w:rPr>
                  <w:rFonts w:ascii="Arial" w:cs="Arial" w:eastAsia="Arial" w:hAnsi="Arial"/>
                  <w:sz w:val="18"/>
                  <w:szCs w:val="18"/>
                  <w:color w:val="0000FF"/>
                  <w:w w:val="92"/>
                </w:rPr>
                <w:t>Exhibit 10.23 to the Company’s Form S-4/A filed with the SEC on April 26, 2021).</w:t>
              </w:r>
            </w:hyperlink>
          </w:p>
        </w:tc>
        <w:tc>
          <w:tcPr>
            <w:tcW w:w="3480" w:type="dxa"/>
            <w:vAlign w:val="bottom"/>
            <w:tcBorders>
              <w:top w:val="single" w:sz="8" w:color="0000FF"/>
            </w:tcBorders>
            <w:gridSpan w:val="5"/>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10.22</w:t>
            </w:r>
          </w:p>
        </w:tc>
        <w:tc>
          <w:tcPr>
            <w:tcW w:w="10020" w:type="dxa"/>
            <w:vAlign w:val="bottom"/>
            <w:gridSpan w:val="22"/>
          </w:tcPr>
          <w:p>
            <w:pPr>
              <w:spacing w:after="0"/>
              <w:rPr>
                <w:rFonts w:ascii="Arial" w:cs="Arial" w:eastAsia="Arial" w:hAnsi="Arial"/>
                <w:sz w:val="18"/>
                <w:szCs w:val="18"/>
                <w:color w:val="0000FF"/>
                <w:w w:val="93"/>
              </w:rPr>
            </w:pPr>
            <w:hyperlink r:id="rId279">
              <w:r>
                <w:rPr>
                  <w:rFonts w:ascii="Arial" w:cs="Arial" w:eastAsia="Arial" w:hAnsi="Arial"/>
                  <w:sz w:val="18"/>
                  <w:szCs w:val="18"/>
                  <w:color w:val="0000FF"/>
                  <w:w w:val="93"/>
                </w:rPr>
                <w:t>Form of Nautilus Biotechnology, Inc. Indemnification Agreement (incorporated by reference to Exhibit 10.24 to the Company’s Form S-</w:t>
              </w:r>
            </w:hyperlink>
          </w:p>
        </w:tc>
      </w:tr>
      <w:tr>
        <w:trPr>
          <w:trHeight w:val="155"/>
        </w:trPr>
        <w:tc>
          <w:tcPr>
            <w:tcW w:w="1200" w:type="dxa"/>
            <w:vAlign w:val="bottom"/>
          </w:tcPr>
          <w:p>
            <w:pPr>
              <w:spacing w:after="0"/>
              <w:rPr>
                <w:sz w:val="13"/>
                <w:szCs w:val="13"/>
                <w:color w:val="auto"/>
              </w:rPr>
            </w:pPr>
          </w:p>
        </w:tc>
        <w:tc>
          <w:tcPr>
            <w:tcW w:w="9880" w:type="dxa"/>
            <w:vAlign w:val="bottom"/>
            <w:tcBorders>
              <w:top w:val="single" w:sz="8" w:color="0000FF"/>
            </w:tcBorders>
            <w:gridSpan w:val="17"/>
          </w:tcPr>
          <w:p>
            <w:pPr>
              <w:spacing w:after="0" w:line="156" w:lineRule="exact"/>
              <w:rPr>
                <w:rFonts w:ascii="Arial" w:cs="Arial" w:eastAsia="Arial" w:hAnsi="Arial"/>
                <w:sz w:val="18"/>
                <w:szCs w:val="18"/>
                <w:color w:val="0000FF"/>
              </w:rPr>
            </w:pPr>
            <w:hyperlink r:id="rId279">
              <w:r>
                <w:rPr>
                  <w:rFonts w:ascii="Arial" w:cs="Arial" w:eastAsia="Arial" w:hAnsi="Arial"/>
                  <w:sz w:val="18"/>
                  <w:szCs w:val="18"/>
                  <w:color w:val="0000FF"/>
                </w:rPr>
                <w:t>4/A filed with the SEC on April 26, 2021).</w:t>
              </w:r>
            </w:hyperlink>
          </w:p>
        </w:tc>
        <w:tc>
          <w:tcPr>
            <w:tcW w:w="60" w:type="dxa"/>
            <w:vAlign w:val="bottom"/>
            <w:gridSpan w:val="3"/>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10.23+</w:t>
            </w:r>
          </w:p>
        </w:tc>
        <w:tc>
          <w:tcPr>
            <w:tcW w:w="10020" w:type="dxa"/>
            <w:vAlign w:val="bottom"/>
            <w:gridSpan w:val="22"/>
          </w:tcPr>
          <w:p>
            <w:pPr>
              <w:spacing w:after="0"/>
              <w:rPr>
                <w:rFonts w:ascii="Arial" w:cs="Arial" w:eastAsia="Arial" w:hAnsi="Arial"/>
                <w:sz w:val="18"/>
                <w:szCs w:val="18"/>
                <w:color w:val="0000FF"/>
                <w:w w:val="92"/>
              </w:rPr>
            </w:pPr>
            <w:hyperlink r:id="rId280">
              <w:r>
                <w:rPr>
                  <w:rFonts w:ascii="Arial" w:cs="Arial" w:eastAsia="Arial" w:hAnsi="Arial"/>
                  <w:sz w:val="18"/>
                  <w:szCs w:val="18"/>
                  <w:color w:val="0000FF"/>
                  <w:w w:val="92"/>
                </w:rPr>
                <w:t>Nautilus Biotechnology, Inc. Executive Incentive Compensation Plan (incorporated by reference to Exhibit 10.25 to the Company’s Form</w:t>
              </w:r>
            </w:hyperlink>
          </w:p>
        </w:tc>
      </w:tr>
      <w:tr>
        <w:trPr>
          <w:trHeight w:val="155"/>
        </w:trPr>
        <w:tc>
          <w:tcPr>
            <w:tcW w:w="1200" w:type="dxa"/>
            <w:vAlign w:val="bottom"/>
          </w:tcPr>
          <w:p>
            <w:pPr>
              <w:spacing w:after="0"/>
              <w:rPr>
                <w:sz w:val="13"/>
                <w:szCs w:val="13"/>
                <w:color w:val="auto"/>
              </w:rPr>
            </w:pPr>
          </w:p>
        </w:tc>
        <w:tc>
          <w:tcPr>
            <w:tcW w:w="994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280">
              <w:r>
                <w:rPr>
                  <w:rFonts w:ascii="Arial" w:cs="Arial" w:eastAsia="Arial" w:hAnsi="Arial"/>
                  <w:sz w:val="18"/>
                  <w:szCs w:val="18"/>
                  <w:color w:val="0000FF"/>
                </w:rPr>
                <w:t>S-4/A filed with the SEC on April 26, 2021).</w:t>
              </w:r>
            </w:hyperlink>
          </w:p>
        </w:tc>
        <w:tc>
          <w:tcPr>
            <w:tcW w:w="80" w:type="dxa"/>
            <w:vAlign w:val="bottom"/>
            <w:gridSpan w:val="2"/>
          </w:tcPr>
          <w:p>
            <w:pPr>
              <w:spacing w:after="0"/>
              <w:rPr>
                <w:sz w:val="13"/>
                <w:szCs w:val="13"/>
                <w:color w:val="auto"/>
              </w:rPr>
            </w:pPr>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168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500" w:type="dxa"/>
            <w:vAlign w:val="bottom"/>
            <w:gridSpan w:val="8"/>
          </w:tcPr>
          <w:p>
            <w:pPr>
              <w:spacing w:after="0" w:line="20" w:lineRule="exact"/>
              <w:rPr>
                <w:sz w:val="1"/>
                <w:szCs w:val="1"/>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16.1</w:t>
            </w:r>
          </w:p>
        </w:tc>
        <w:tc>
          <w:tcPr>
            <w:tcW w:w="10020" w:type="dxa"/>
            <w:vAlign w:val="bottom"/>
            <w:gridSpan w:val="22"/>
          </w:tcPr>
          <w:p>
            <w:pPr>
              <w:spacing w:after="0"/>
              <w:rPr>
                <w:rFonts w:ascii="Arial" w:cs="Arial" w:eastAsia="Arial" w:hAnsi="Arial"/>
                <w:sz w:val="18"/>
                <w:szCs w:val="18"/>
                <w:color w:val="0000FF"/>
                <w:w w:val="96"/>
              </w:rPr>
            </w:pPr>
            <w:hyperlink r:id="rId281">
              <w:r>
                <w:rPr>
                  <w:rFonts w:ascii="Arial" w:cs="Arial" w:eastAsia="Arial" w:hAnsi="Arial"/>
                  <w:sz w:val="18"/>
                  <w:szCs w:val="18"/>
                  <w:color w:val="0000FF"/>
                  <w:w w:val="96"/>
                </w:rPr>
                <w:t>Letter from WithumSmith+Brown, PC to the SEC, dated June 9, 2021 (incorporated by reference to Exhibit 16.1 to the Company’s</w:t>
              </w:r>
            </w:hyperlink>
          </w:p>
        </w:tc>
      </w:tr>
      <w:tr>
        <w:trPr>
          <w:trHeight w:val="156"/>
        </w:trPr>
        <w:tc>
          <w:tcPr>
            <w:tcW w:w="1200" w:type="dxa"/>
            <w:vAlign w:val="bottom"/>
          </w:tcPr>
          <w:p>
            <w:pPr>
              <w:spacing w:after="0"/>
              <w:rPr>
                <w:sz w:val="13"/>
                <w:szCs w:val="13"/>
                <w:color w:val="auto"/>
              </w:rPr>
            </w:pPr>
          </w:p>
        </w:tc>
        <w:tc>
          <w:tcPr>
            <w:tcW w:w="484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1"/>
              </w:rPr>
            </w:pPr>
            <w:hyperlink r:id="rId281">
              <w:r>
                <w:rPr>
                  <w:rFonts w:ascii="Arial" w:cs="Arial" w:eastAsia="Arial" w:hAnsi="Arial"/>
                  <w:sz w:val="18"/>
                  <w:szCs w:val="18"/>
                  <w:color w:val="0000FF"/>
                  <w:w w:val="91"/>
                </w:rPr>
                <w:t>Current Report on Form 8-K filed with the SEC on June 10, 2021).</w:t>
              </w:r>
            </w:hyperlink>
          </w:p>
        </w:tc>
        <w:tc>
          <w:tcPr>
            <w:tcW w:w="4600" w:type="dxa"/>
            <w:vAlign w:val="bottom"/>
            <w:tcBorders>
              <w:top w:val="single" w:sz="8" w:color="0000FF"/>
            </w:tcBorders>
            <w:gridSpan w:val="6"/>
          </w:tcPr>
          <w:p>
            <w:pPr>
              <w:spacing w:after="0"/>
              <w:rPr>
                <w:sz w:val="13"/>
                <w:szCs w:val="13"/>
                <w:color w:val="auto"/>
              </w:rPr>
            </w:pPr>
          </w:p>
        </w:tc>
        <w:tc>
          <w:tcPr>
            <w:tcW w:w="80" w:type="dxa"/>
            <w:vAlign w:val="bottom"/>
            <w:gridSpan w:val="3"/>
          </w:tcPr>
          <w:p>
            <w:pPr>
              <w:spacing w:after="0"/>
              <w:rPr>
                <w:sz w:val="13"/>
                <w:szCs w:val="13"/>
                <w:color w:val="auto"/>
              </w:rPr>
            </w:pPr>
          </w:p>
        </w:tc>
        <w:tc>
          <w:tcPr>
            <w:tcW w:w="500" w:type="dxa"/>
            <w:vAlign w:val="bottom"/>
            <w:gridSpan w:val="8"/>
          </w:tcPr>
          <w:p>
            <w:pPr>
              <w:spacing w:after="0"/>
              <w:rPr>
                <w:sz w:val="13"/>
                <w:szCs w:val="13"/>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21.1</w:t>
            </w:r>
          </w:p>
        </w:tc>
        <w:tc>
          <w:tcPr>
            <w:tcW w:w="10020" w:type="dxa"/>
            <w:vAlign w:val="bottom"/>
            <w:gridSpan w:val="22"/>
          </w:tcPr>
          <w:p>
            <w:pPr>
              <w:spacing w:after="0"/>
              <w:rPr>
                <w:rFonts w:ascii="Arial" w:cs="Arial" w:eastAsia="Arial" w:hAnsi="Arial"/>
                <w:sz w:val="18"/>
                <w:szCs w:val="18"/>
                <w:color w:val="0000FF"/>
                <w:w w:val="97"/>
              </w:rPr>
            </w:pPr>
            <w:hyperlink r:id="rId282">
              <w:r>
                <w:rPr>
                  <w:rFonts w:ascii="Arial" w:cs="Arial" w:eastAsia="Arial" w:hAnsi="Arial"/>
                  <w:sz w:val="18"/>
                  <w:szCs w:val="18"/>
                  <w:color w:val="0000FF"/>
                  <w:w w:val="97"/>
                </w:rPr>
                <w:t>List of Subsidiaries of the Registrant (incorporated by reference to Exhibit 21.1 to the Company’s Form 10-K filed with the SEC on</w:t>
              </w:r>
            </w:hyperlink>
          </w:p>
        </w:tc>
      </w:tr>
      <w:tr>
        <w:trPr>
          <w:trHeight w:val="156"/>
        </w:trPr>
        <w:tc>
          <w:tcPr>
            <w:tcW w:w="1200" w:type="dxa"/>
            <w:vAlign w:val="bottom"/>
          </w:tcPr>
          <w:p>
            <w:pPr>
              <w:spacing w:after="0"/>
              <w:rPr>
                <w:sz w:val="13"/>
                <w:szCs w:val="13"/>
                <w:color w:val="auto"/>
              </w:rPr>
            </w:pPr>
          </w:p>
        </w:tc>
        <w:tc>
          <w:tcPr>
            <w:tcW w:w="14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0"/>
              </w:rPr>
            </w:pPr>
            <w:hyperlink r:id="rId282">
              <w:r>
                <w:rPr>
                  <w:rFonts w:ascii="Arial" w:cs="Arial" w:eastAsia="Arial" w:hAnsi="Arial"/>
                  <w:sz w:val="18"/>
                  <w:szCs w:val="18"/>
                  <w:color w:val="0000FF"/>
                  <w:w w:val="90"/>
                </w:rPr>
                <w:t>February 24, 2022)</w:t>
              </w:r>
            </w:hyperlink>
          </w:p>
        </w:tc>
        <w:tc>
          <w:tcPr>
            <w:tcW w:w="8120" w:type="dxa"/>
            <w:vAlign w:val="bottom"/>
            <w:tcBorders>
              <w:top w:val="single" w:sz="8" w:color="0000FF"/>
            </w:tcBorders>
            <w:gridSpan w:val="13"/>
          </w:tcPr>
          <w:p>
            <w:pPr>
              <w:spacing w:after="0"/>
              <w:rPr>
                <w:sz w:val="13"/>
                <w:szCs w:val="13"/>
                <w:color w:val="auto"/>
              </w:rPr>
            </w:pPr>
          </w:p>
        </w:tc>
        <w:tc>
          <w:tcPr>
            <w:tcW w:w="500" w:type="dxa"/>
            <w:vAlign w:val="bottom"/>
            <w:gridSpan w:val="8"/>
          </w:tcPr>
          <w:p>
            <w:pPr>
              <w:spacing w:after="0"/>
              <w:rPr>
                <w:sz w:val="13"/>
                <w:szCs w:val="13"/>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23.1</w:t>
            </w:r>
          </w:p>
        </w:tc>
        <w:tc>
          <w:tcPr>
            <w:tcW w:w="3080" w:type="dxa"/>
            <w:vAlign w:val="bottom"/>
            <w:tcBorders>
              <w:bottom w:val="single" w:sz="8" w:color="0000FF"/>
            </w:tcBorders>
            <w:gridSpan w:val="2"/>
          </w:tcPr>
          <w:p>
            <w:pPr>
              <w:spacing w:after="0"/>
              <w:rPr>
                <w:rFonts w:ascii="Arial" w:cs="Arial" w:eastAsia="Arial" w:hAnsi="Arial"/>
                <w:sz w:val="18"/>
                <w:szCs w:val="18"/>
                <w:color w:val="0000FF"/>
                <w:w w:val="90"/>
              </w:rPr>
            </w:pPr>
            <w:hyperlink w:anchor="page191">
              <w:r>
                <w:rPr>
                  <w:rFonts w:ascii="Arial" w:cs="Arial" w:eastAsia="Arial" w:hAnsi="Arial"/>
                  <w:sz w:val="18"/>
                  <w:szCs w:val="18"/>
                  <w:color w:val="0000FF"/>
                  <w:w w:val="90"/>
                </w:rPr>
                <w:t>Consent of PricewaterhouseCoopers LLP.</w:t>
              </w:r>
            </w:hyperlink>
          </w:p>
        </w:tc>
        <w:tc>
          <w:tcPr>
            <w:tcW w:w="6940" w:type="dxa"/>
            <w:vAlign w:val="bottom"/>
            <w:gridSpan w:val="20"/>
          </w:tcPr>
          <w:p>
            <w:pPr>
              <w:spacing w:after="0"/>
              <w:rPr>
                <w:sz w:val="18"/>
                <w:szCs w:val="18"/>
                <w:color w:val="auto"/>
              </w:rPr>
            </w:pPr>
          </w:p>
        </w:tc>
      </w:tr>
      <w:tr>
        <w:trPr>
          <w:trHeight w:val="209"/>
        </w:trPr>
        <w:tc>
          <w:tcPr>
            <w:tcW w:w="1200" w:type="dxa"/>
            <w:vAlign w:val="bottom"/>
          </w:tcPr>
          <w:p>
            <w:pPr>
              <w:spacing w:after="0"/>
              <w:rPr>
                <w:sz w:val="20"/>
                <w:szCs w:val="20"/>
                <w:color w:val="auto"/>
              </w:rPr>
            </w:pPr>
            <w:r>
              <w:rPr>
                <w:rFonts w:ascii="Arial" w:cs="Arial" w:eastAsia="Arial" w:hAnsi="Arial"/>
                <w:sz w:val="18"/>
                <w:szCs w:val="18"/>
                <w:color w:val="auto"/>
              </w:rPr>
              <w:t>23.1</w:t>
            </w:r>
          </w:p>
        </w:tc>
        <w:tc>
          <w:tcPr>
            <w:tcW w:w="10020" w:type="dxa"/>
            <w:vAlign w:val="bottom"/>
            <w:gridSpan w:val="22"/>
          </w:tcPr>
          <w:p>
            <w:pPr>
              <w:spacing w:after="0"/>
              <w:rPr>
                <w:rFonts w:ascii="Arial" w:cs="Arial" w:eastAsia="Arial" w:hAnsi="Arial"/>
                <w:sz w:val="18"/>
                <w:szCs w:val="18"/>
                <w:color w:val="0000FF"/>
              </w:rPr>
            </w:pPr>
            <w:hyperlink r:id="rId256">
              <w:r>
                <w:rPr>
                  <w:rFonts w:ascii="Arial" w:cs="Arial" w:eastAsia="Arial" w:hAnsi="Arial"/>
                  <w:sz w:val="18"/>
                  <w:szCs w:val="18"/>
                  <w:color w:val="0000FF"/>
                </w:rPr>
                <w:t>Consent of Wilson Sonsini Goodrich &amp; Rosati, P.C. (included in Exhibit 5.1).</w:t>
              </w:r>
            </w:hyperlink>
          </w:p>
        </w:tc>
      </w:tr>
      <w:tr>
        <w:trPr>
          <w:trHeight w:val="20"/>
        </w:trPr>
        <w:tc>
          <w:tcPr>
            <w:tcW w:w="1200" w:type="dxa"/>
            <w:vAlign w:val="bottom"/>
          </w:tcPr>
          <w:p>
            <w:pPr>
              <w:spacing w:after="0" w:line="20" w:lineRule="exact"/>
              <w:rPr>
                <w:sz w:val="1"/>
                <w:szCs w:val="1"/>
                <w:color w:val="auto"/>
              </w:rPr>
            </w:pPr>
          </w:p>
        </w:tc>
        <w:tc>
          <w:tcPr>
            <w:tcW w:w="5580" w:type="dxa"/>
            <w:vAlign w:val="bottom"/>
            <w:gridSpan w:val="7"/>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3740" w:type="dxa"/>
            <w:vAlign w:val="bottom"/>
            <w:gridSpan w:val="12"/>
          </w:tcPr>
          <w:p>
            <w:pPr>
              <w:spacing w:after="0" w:line="20" w:lineRule="exact"/>
              <w:rPr>
                <w:sz w:val="1"/>
                <w:szCs w:val="1"/>
                <w:color w:val="auto"/>
              </w:rPr>
            </w:pPr>
          </w:p>
        </w:tc>
      </w:tr>
      <w:tr>
        <w:trPr>
          <w:trHeight w:val="210"/>
        </w:trPr>
        <w:tc>
          <w:tcPr>
            <w:tcW w:w="1200" w:type="dxa"/>
            <w:vAlign w:val="bottom"/>
          </w:tcPr>
          <w:p>
            <w:pPr>
              <w:spacing w:after="0"/>
              <w:rPr>
                <w:sz w:val="20"/>
                <w:szCs w:val="20"/>
                <w:color w:val="auto"/>
              </w:rPr>
            </w:pPr>
            <w:r>
              <w:rPr>
                <w:rFonts w:ascii="Arial" w:cs="Arial" w:eastAsia="Arial" w:hAnsi="Arial"/>
                <w:sz w:val="18"/>
                <w:szCs w:val="18"/>
                <w:color w:val="auto"/>
              </w:rPr>
              <w:t>24.1</w:t>
            </w:r>
          </w:p>
        </w:tc>
        <w:tc>
          <w:tcPr>
            <w:tcW w:w="628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188">
              <w:r>
                <w:rPr>
                  <w:rFonts w:ascii="Arial" w:cs="Arial" w:eastAsia="Arial" w:hAnsi="Arial"/>
                  <w:sz w:val="18"/>
                  <w:szCs w:val="18"/>
                  <w:color w:val="0000FF"/>
                  <w:w w:val="90"/>
                </w:rPr>
                <w:t>Power of Attorney (see the signature page to this Registration Statement on Form S-1).</w:t>
              </w:r>
            </w:hyperlink>
          </w:p>
        </w:tc>
        <w:tc>
          <w:tcPr>
            <w:tcW w:w="3740" w:type="dxa"/>
            <w:vAlign w:val="bottom"/>
            <w:gridSpan w:val="12"/>
          </w:tcPr>
          <w:p>
            <w:pPr>
              <w:spacing w:after="0"/>
              <w:rPr>
                <w:sz w:val="18"/>
                <w:szCs w:val="18"/>
                <w:color w:val="auto"/>
              </w:rPr>
            </w:pPr>
          </w:p>
        </w:tc>
      </w:tr>
      <w:tr>
        <w:trPr>
          <w:trHeight w:val="196"/>
        </w:trPr>
        <w:tc>
          <w:tcPr>
            <w:tcW w:w="1200" w:type="dxa"/>
            <w:vAlign w:val="bottom"/>
          </w:tcPr>
          <w:p>
            <w:pPr>
              <w:spacing w:after="0"/>
              <w:rPr>
                <w:sz w:val="20"/>
                <w:szCs w:val="20"/>
                <w:color w:val="auto"/>
              </w:rPr>
            </w:pPr>
            <w:r>
              <w:rPr>
                <w:rFonts w:ascii="Arial" w:cs="Arial" w:eastAsia="Arial" w:hAnsi="Arial"/>
                <w:sz w:val="16"/>
                <w:szCs w:val="16"/>
                <w:color w:val="auto"/>
              </w:rPr>
              <w:t>101.INS</w:t>
            </w:r>
          </w:p>
        </w:tc>
        <w:tc>
          <w:tcPr>
            <w:tcW w:w="10020" w:type="dxa"/>
            <w:vAlign w:val="bottom"/>
            <w:gridSpan w:val="22"/>
          </w:tcPr>
          <w:p>
            <w:pPr>
              <w:spacing w:after="0" w:line="196" w:lineRule="exact"/>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XBRL tags are embedded</w:t>
            </w:r>
          </w:p>
        </w:tc>
      </w:tr>
      <w:tr>
        <w:trPr>
          <w:trHeight w:val="229"/>
        </w:trPr>
        <w:tc>
          <w:tcPr>
            <w:tcW w:w="1200" w:type="dxa"/>
            <w:vAlign w:val="bottom"/>
          </w:tcPr>
          <w:p>
            <w:pPr>
              <w:spacing w:after="0"/>
              <w:rPr>
                <w:sz w:val="19"/>
                <w:szCs w:val="19"/>
                <w:color w:val="auto"/>
              </w:rPr>
            </w:pPr>
          </w:p>
        </w:tc>
        <w:tc>
          <w:tcPr>
            <w:tcW w:w="10020" w:type="dxa"/>
            <w:vAlign w:val="bottom"/>
            <w:gridSpan w:val="22"/>
          </w:tcPr>
          <w:p>
            <w:pPr>
              <w:spacing w:after="0"/>
              <w:rPr>
                <w:sz w:val="20"/>
                <w:szCs w:val="20"/>
                <w:color w:val="auto"/>
              </w:rPr>
            </w:pPr>
            <w:r>
              <w:rPr>
                <w:rFonts w:ascii="Arial" w:cs="Arial" w:eastAsia="Arial" w:hAnsi="Arial"/>
                <w:sz w:val="18"/>
                <w:szCs w:val="18"/>
                <w:color w:val="auto"/>
              </w:rPr>
              <w:t>within the Inline XBRL document</w:t>
            </w:r>
          </w:p>
        </w:tc>
      </w:tr>
      <w:tr>
        <w:trPr>
          <w:trHeight w:val="230"/>
        </w:trPr>
        <w:tc>
          <w:tcPr>
            <w:tcW w:w="1200" w:type="dxa"/>
            <w:vAlign w:val="bottom"/>
          </w:tcPr>
          <w:p>
            <w:pPr>
              <w:spacing w:after="0"/>
              <w:rPr>
                <w:sz w:val="20"/>
                <w:szCs w:val="20"/>
                <w:color w:val="auto"/>
              </w:rPr>
            </w:pPr>
            <w:r>
              <w:rPr>
                <w:rFonts w:ascii="Arial" w:cs="Arial" w:eastAsia="Arial" w:hAnsi="Arial"/>
                <w:sz w:val="16"/>
                <w:szCs w:val="16"/>
                <w:color w:val="auto"/>
              </w:rPr>
              <w:t>101.SCH</w:t>
            </w:r>
          </w:p>
        </w:tc>
        <w:tc>
          <w:tcPr>
            <w:tcW w:w="10020" w:type="dxa"/>
            <w:vAlign w:val="bottom"/>
            <w:gridSpan w:val="2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30"/>
        </w:trPr>
        <w:tc>
          <w:tcPr>
            <w:tcW w:w="1200" w:type="dxa"/>
            <w:vAlign w:val="bottom"/>
          </w:tcPr>
          <w:p>
            <w:pPr>
              <w:spacing w:after="0"/>
              <w:rPr>
                <w:sz w:val="20"/>
                <w:szCs w:val="20"/>
                <w:color w:val="auto"/>
              </w:rPr>
            </w:pPr>
            <w:r>
              <w:rPr>
                <w:rFonts w:ascii="Arial" w:cs="Arial" w:eastAsia="Arial" w:hAnsi="Arial"/>
                <w:sz w:val="16"/>
                <w:szCs w:val="16"/>
                <w:color w:val="auto"/>
              </w:rPr>
              <w:t>101.CAL</w:t>
            </w:r>
          </w:p>
        </w:tc>
        <w:tc>
          <w:tcPr>
            <w:tcW w:w="10020" w:type="dxa"/>
            <w:vAlign w:val="bottom"/>
            <w:gridSpan w:val="22"/>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30"/>
        </w:trPr>
        <w:tc>
          <w:tcPr>
            <w:tcW w:w="1200" w:type="dxa"/>
            <w:vAlign w:val="bottom"/>
          </w:tcPr>
          <w:p>
            <w:pPr>
              <w:spacing w:after="0"/>
              <w:rPr>
                <w:sz w:val="20"/>
                <w:szCs w:val="20"/>
                <w:color w:val="auto"/>
              </w:rPr>
            </w:pPr>
            <w:r>
              <w:rPr>
                <w:rFonts w:ascii="Arial" w:cs="Arial" w:eastAsia="Arial" w:hAnsi="Arial"/>
                <w:sz w:val="16"/>
                <w:szCs w:val="16"/>
                <w:color w:val="auto"/>
              </w:rPr>
              <w:t>101.DEF</w:t>
            </w:r>
          </w:p>
        </w:tc>
        <w:tc>
          <w:tcPr>
            <w:tcW w:w="10020" w:type="dxa"/>
            <w:vAlign w:val="bottom"/>
            <w:gridSpan w:val="22"/>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29"/>
        </w:trPr>
        <w:tc>
          <w:tcPr>
            <w:tcW w:w="1200" w:type="dxa"/>
            <w:vAlign w:val="bottom"/>
          </w:tcPr>
          <w:p>
            <w:pPr>
              <w:spacing w:after="0"/>
              <w:rPr>
                <w:sz w:val="20"/>
                <w:szCs w:val="20"/>
                <w:color w:val="auto"/>
              </w:rPr>
            </w:pPr>
            <w:r>
              <w:rPr>
                <w:rFonts w:ascii="Arial" w:cs="Arial" w:eastAsia="Arial" w:hAnsi="Arial"/>
                <w:sz w:val="16"/>
                <w:szCs w:val="16"/>
                <w:color w:val="auto"/>
              </w:rPr>
              <w:t>101.LAB</w:t>
            </w:r>
          </w:p>
        </w:tc>
        <w:tc>
          <w:tcPr>
            <w:tcW w:w="10020" w:type="dxa"/>
            <w:vAlign w:val="bottom"/>
            <w:gridSpan w:val="2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200" w:type="dxa"/>
            <w:vAlign w:val="bottom"/>
          </w:tcPr>
          <w:p>
            <w:pPr>
              <w:spacing w:after="0"/>
              <w:rPr>
                <w:sz w:val="20"/>
                <w:szCs w:val="20"/>
                <w:color w:val="auto"/>
              </w:rPr>
            </w:pPr>
            <w:r>
              <w:rPr>
                <w:rFonts w:ascii="Arial" w:cs="Arial" w:eastAsia="Arial" w:hAnsi="Arial"/>
                <w:sz w:val="16"/>
                <w:szCs w:val="16"/>
                <w:color w:val="auto"/>
              </w:rPr>
              <w:t>101.PRE</w:t>
            </w:r>
          </w:p>
        </w:tc>
        <w:tc>
          <w:tcPr>
            <w:tcW w:w="10020" w:type="dxa"/>
            <w:vAlign w:val="bottom"/>
            <w:gridSpan w:val="22"/>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ind w:left="1220" w:hanging="1194"/>
        <w:spacing w:after="0"/>
        <w:tabs>
          <w:tab w:leader="none" w:pos="1220" w:val="left"/>
        </w:tabs>
        <w:numPr>
          <w:ilvl w:val="0"/>
          <w:numId w:val="111"/>
        </w:numPr>
        <w:rPr>
          <w:rFonts w:ascii="Arial" w:cs="Arial" w:eastAsia="Arial" w:hAnsi="Arial"/>
          <w:sz w:val="16"/>
          <w:szCs w:val="16"/>
          <w:color w:val="auto"/>
        </w:rPr>
      </w:pPr>
      <w:r>
        <w:rPr>
          <w:rFonts w:ascii="Arial" w:cs="Arial" w:eastAsia="Arial" w:hAnsi="Arial"/>
          <w:sz w:val="18"/>
          <w:szCs w:val="18"/>
          <w:color w:val="auto"/>
        </w:rPr>
        <w:t>Cover page Interactive Data File (embedded with the Inline XBRL document)</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 Indicates management contract or compensatory plan.</w:t>
      </w:r>
    </w:p>
    <w:p>
      <w:pPr>
        <w:spacing w:after="0" w:line="1" w:lineRule="exact"/>
        <w:rPr>
          <w:sz w:val="20"/>
          <w:szCs w:val="20"/>
          <w:color w:val="auto"/>
        </w:rPr>
      </w:pPr>
    </w:p>
    <w:p>
      <w:pPr>
        <w:ind w:left="340" w:right="40" w:hanging="332"/>
        <w:spacing w:after="0" w:line="255" w:lineRule="auto"/>
        <w:tabs>
          <w:tab w:leader="none" w:pos="124" w:val="left"/>
        </w:tabs>
        <w:numPr>
          <w:ilvl w:val="0"/>
          <w:numId w:val="112"/>
        </w:numPr>
        <w:rPr>
          <w:rFonts w:ascii="Arial" w:cs="Arial" w:eastAsia="Arial" w:hAnsi="Arial"/>
          <w:sz w:val="14"/>
          <w:szCs w:val="14"/>
          <w:color w:val="auto"/>
        </w:rPr>
      </w:pPr>
      <w:r>
        <w:rPr>
          <w:rFonts w:ascii="Arial" w:cs="Arial" w:eastAsia="Arial" w:hAnsi="Arial"/>
          <w:sz w:val="14"/>
          <w:szCs w:val="14"/>
          <w:color w:val="auto"/>
        </w:rPr>
        <w:t>Schedules and exhibits to this Exhibit omitted pursuant to Regulation S-K Item 601(b)(2). The Registrant agrees to furnish supplementally a copy of any omitted schedule or exhibit to the SEC upon request.</w:t>
      </w:r>
    </w:p>
    <w:p>
      <w:pPr>
        <w:spacing w:after="0" w:line="136" w:lineRule="exact"/>
        <w:rPr>
          <w:rFonts w:ascii="Arial" w:cs="Arial" w:eastAsia="Arial" w:hAnsi="Arial"/>
          <w:sz w:val="14"/>
          <w:szCs w:val="14"/>
          <w:color w:val="auto"/>
        </w:rPr>
      </w:pPr>
    </w:p>
    <w:p>
      <w:pPr>
        <w:ind w:left="660" w:right="20" w:hanging="328"/>
        <w:spacing w:after="0" w:line="277" w:lineRule="auto"/>
        <w:tabs>
          <w:tab w:leader="none" w:pos="654" w:val="left"/>
        </w:tabs>
        <w:numPr>
          <w:ilvl w:val="1"/>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Statement Schedules</w:t>
      </w:r>
      <w:r>
        <w:rPr>
          <w:rFonts w:ascii="Arial" w:cs="Arial" w:eastAsia="Arial" w:hAnsi="Arial"/>
          <w:sz w:val="18"/>
          <w:szCs w:val="18"/>
          <w:color w:val="auto"/>
        </w:rPr>
        <w:t>. All financial statement schedules are omitted because the information called for is not required or is shown either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consolidated financial statements or in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5" w:name="page186"/>
    <w:bookmarkEnd w:id="185"/>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17. UNDERTAKINGS.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undersigned Registrant hereby undertakes: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To file, during any period in which offers or sales are being made, a post-effective amendment to this Registration Statement:</w:t>
      </w:r>
    </w:p>
    <w:p>
      <w:pPr>
        <w:spacing w:after="0" w:line="171"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71" w:lineRule="exact"/>
        <w:rPr>
          <w:rFonts w:ascii="Arial" w:cs="Arial" w:eastAsia="Arial" w:hAnsi="Arial"/>
          <w:sz w:val="18"/>
          <w:szCs w:val="18"/>
          <w:color w:val="auto"/>
        </w:rPr>
      </w:pPr>
    </w:p>
    <w:p>
      <w:pPr>
        <w:ind w:left="660" w:right="200" w:hanging="328"/>
        <w:spacing w:after="0" w:line="254" w:lineRule="auto"/>
        <w:tabs>
          <w:tab w:leader="none" w:pos="65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40"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(a)(1)(i), (a)(1)(ii) and (a)(1)(iii) of this section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33" w:lineRule="exact"/>
        <w:rPr>
          <w:sz w:val="20"/>
          <w:szCs w:val="20"/>
          <w:color w:val="auto"/>
        </w:rPr>
      </w:pPr>
    </w:p>
    <w:p>
      <w:pPr>
        <w:ind w:left="660" w:hanging="328"/>
        <w:spacing w:after="0" w:line="263" w:lineRule="auto"/>
        <w:tabs>
          <w:tab w:leader="none" w:pos="6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left="660" w:hanging="328"/>
        <w:spacing w:after="0" w:line="277" w:lineRule="auto"/>
        <w:tabs>
          <w:tab w:leader="none" w:pos="65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17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If the registrant is relying on Rule 430B:</w:t>
      </w:r>
    </w:p>
    <w:p>
      <w:pPr>
        <w:spacing w:after="0" w:line="171" w:lineRule="exact"/>
        <w:rPr>
          <w:sz w:val="20"/>
          <w:szCs w:val="20"/>
          <w:color w:val="auto"/>
        </w:rPr>
      </w:pPr>
    </w:p>
    <w:p>
      <w:pPr>
        <w:ind w:left="660" w:right="200" w:hanging="328"/>
        <w:spacing w:after="0" w:line="277" w:lineRule="auto"/>
        <w:tabs>
          <w:tab w:leader="none" w:pos="653"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16" w:lineRule="exact"/>
        <w:rPr>
          <w:rFonts w:ascii="Arial" w:cs="Arial" w:eastAsia="Arial" w:hAnsi="Arial"/>
          <w:sz w:val="18"/>
          <w:szCs w:val="18"/>
          <w:color w:val="auto"/>
        </w:rPr>
      </w:pPr>
    </w:p>
    <w:p>
      <w:pPr>
        <w:ind w:left="660" w:right="20" w:hanging="328"/>
        <w:spacing w:after="0" w:line="269" w:lineRule="auto"/>
        <w:tabs>
          <w:tab w:leader="none" w:pos="65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86" w:name="page187"/>
    <w:bookmarkEnd w:id="186"/>
    <w:p>
      <w:pPr>
        <w:spacing w:after="0" w:line="144" w:lineRule="exact"/>
        <w:rPr>
          <w:sz w:val="20"/>
          <w:szCs w:val="20"/>
          <w:color w:val="auto"/>
        </w:rPr>
      </w:pPr>
    </w:p>
    <w:p>
      <w:pPr>
        <w:ind w:left="328" w:right="160"/>
        <w:spacing w:after="0" w:line="277" w:lineRule="auto"/>
        <w:rPr>
          <w:sz w:val="20"/>
          <w:szCs w:val="20"/>
          <w:color w:val="auto"/>
        </w:rPr>
      </w:pPr>
      <w:r>
        <w:rPr>
          <w:rFonts w:ascii="Arial" w:cs="Arial" w:eastAsia="Arial" w:hAnsi="Arial"/>
          <w:sz w:val="18"/>
          <w:szCs w:val="18"/>
          <w:color w:val="auto"/>
        </w:rPr>
        <w:t>registration statement or prospectus that was part of the registration statement or made in any such document immediately prior to such effective date; or</w:t>
      </w:r>
    </w:p>
    <w:p>
      <w:pPr>
        <w:spacing w:after="0" w:line="116" w:lineRule="exact"/>
        <w:rPr>
          <w:sz w:val="20"/>
          <w:szCs w:val="20"/>
          <w:color w:val="auto"/>
        </w:rPr>
      </w:pPr>
    </w:p>
    <w:p>
      <w:pPr>
        <w:ind w:left="328" w:right="20" w:hanging="328"/>
        <w:spacing w:after="0" w:line="254" w:lineRule="auto"/>
        <w:tabs>
          <w:tab w:leader="none" w:pos="318"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If the registrant is subject to Rule 430C (§ 230.430C of this chapter), each prospectus filed pursuant to Rule 424(b) as part of a registration statement relating to an offering, other than registration statements relying on Rule 430B or other than prospectuses filed in reliance on Rule 430A (§ 230.430A of this chapter),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38" w:lineRule="exact"/>
        <w:rPr>
          <w:sz w:val="20"/>
          <w:szCs w:val="20"/>
          <w:color w:val="auto"/>
        </w:rPr>
      </w:pPr>
    </w:p>
    <w:p>
      <w:pPr>
        <w:ind w:left="328" w:right="140" w:hanging="328"/>
        <w:spacing w:after="0" w:line="257" w:lineRule="auto"/>
        <w:tabs>
          <w:tab w:leader="none" w:pos="32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34" w:lineRule="exact"/>
        <w:rPr>
          <w:sz w:val="20"/>
          <w:szCs w:val="20"/>
          <w:color w:val="auto"/>
        </w:rPr>
      </w:pPr>
    </w:p>
    <w:p>
      <w:pPr>
        <w:ind w:left="328" w:hanging="328"/>
        <w:spacing w:after="0"/>
        <w:tabs>
          <w:tab w:leader="none" w:pos="328" w:val="left"/>
        </w:tabs>
        <w:numPr>
          <w:ilvl w:val="0"/>
          <w:numId w:val="118"/>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82" w:lineRule="exact"/>
        <w:rPr>
          <w:rFonts w:ascii="Arial" w:cs="Arial" w:eastAsia="Arial" w:hAnsi="Arial"/>
          <w:sz w:val="17"/>
          <w:szCs w:val="17"/>
          <w:color w:val="auto"/>
        </w:rPr>
      </w:pPr>
    </w:p>
    <w:p>
      <w:pPr>
        <w:ind w:left="328" w:hanging="328"/>
        <w:spacing w:after="0" w:line="277" w:lineRule="auto"/>
        <w:tabs>
          <w:tab w:leader="none" w:pos="31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16" w:lineRule="exact"/>
        <w:rPr>
          <w:rFonts w:ascii="Arial" w:cs="Arial" w:eastAsia="Arial" w:hAnsi="Arial"/>
          <w:sz w:val="18"/>
          <w:szCs w:val="18"/>
          <w:color w:val="auto"/>
        </w:rPr>
      </w:pPr>
    </w:p>
    <w:p>
      <w:pPr>
        <w:ind w:left="328" w:right="340" w:hanging="328"/>
        <w:spacing w:after="0" w:line="277" w:lineRule="auto"/>
        <w:tabs>
          <w:tab w:leader="none" w:pos="32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16" w:lineRule="exact"/>
        <w:rPr>
          <w:rFonts w:ascii="Arial" w:cs="Arial" w:eastAsia="Arial" w:hAnsi="Arial"/>
          <w:sz w:val="18"/>
          <w:szCs w:val="18"/>
          <w:color w:val="auto"/>
        </w:rPr>
      </w:pPr>
    </w:p>
    <w:p>
      <w:pPr>
        <w:ind w:left="308" w:hanging="308"/>
        <w:spacing w:after="0"/>
        <w:tabs>
          <w:tab w:leader="none" w:pos="308"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71" w:lineRule="exact"/>
        <w:rPr>
          <w:sz w:val="20"/>
          <w:szCs w:val="20"/>
          <w:color w:val="auto"/>
        </w:rPr>
      </w:pPr>
    </w:p>
    <w:p>
      <w:pPr>
        <w:ind w:left="328" w:right="60" w:hanging="328"/>
        <w:spacing w:after="0" w:line="271" w:lineRule="auto"/>
        <w:tabs>
          <w:tab w:leader="none" w:pos="322" w:val="left"/>
        </w:tabs>
        <w:numPr>
          <w:ilvl w:val="0"/>
          <w:numId w:val="119"/>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24" w:lineRule="exact"/>
        <w:rPr>
          <w:rFonts w:ascii="Arial" w:cs="Arial" w:eastAsia="Arial" w:hAnsi="Arial"/>
          <w:sz w:val="17"/>
          <w:szCs w:val="17"/>
          <w:color w:val="auto"/>
        </w:rPr>
      </w:pPr>
    </w:p>
    <w:p>
      <w:pPr>
        <w:ind w:left="328" w:hanging="328"/>
        <w:spacing w:after="0"/>
        <w:tabs>
          <w:tab w:leader="none" w:pos="32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71" w:lineRule="exact"/>
        <w:rPr>
          <w:sz w:val="20"/>
          <w:szCs w:val="20"/>
          <w:color w:val="auto"/>
        </w:rPr>
      </w:pPr>
    </w:p>
    <w:p>
      <w:pPr>
        <w:ind w:left="328" w:right="160" w:hanging="328"/>
        <w:spacing w:after="0" w:line="291" w:lineRule="auto"/>
        <w:tabs>
          <w:tab w:leader="none" w:pos="32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w:t>
      </w:r>
    </w:p>
    <w:p>
      <w:pPr>
        <w:ind w:left="328"/>
        <w:spacing w:after="0"/>
        <w:rPr>
          <w:rFonts w:ascii="Arial" w:cs="Arial" w:eastAsia="Arial" w:hAnsi="Arial"/>
          <w:sz w:val="16"/>
          <w:szCs w:val="16"/>
          <w:color w:val="auto"/>
        </w:rPr>
      </w:pPr>
      <w:r>
        <w:rPr>
          <w:rFonts w:ascii="Arial" w:cs="Arial" w:eastAsia="Arial" w:hAnsi="Arial"/>
          <w:sz w:val="17"/>
          <w:szCs w:val="17"/>
          <w:color w:val="auto"/>
        </w:rPr>
        <w:t>(4) or 497(h) under the Securities Act shall be deemed to be part of this registration statement as of the time it was declared effective.</w:t>
      </w:r>
    </w:p>
    <w:p>
      <w:pPr>
        <w:spacing w:after="0" w:line="168" w:lineRule="exact"/>
        <w:rPr>
          <w:rFonts w:ascii="Arial" w:cs="Arial" w:eastAsia="Arial" w:hAnsi="Arial"/>
          <w:sz w:val="16"/>
          <w:szCs w:val="16"/>
          <w:color w:val="auto"/>
        </w:rPr>
      </w:pPr>
    </w:p>
    <w:p>
      <w:pPr>
        <w:ind w:left="328" w:right="220" w:hanging="328"/>
        <w:spacing w:after="0" w:line="277" w:lineRule="auto"/>
        <w:tabs>
          <w:tab w:leader="none" w:pos="322"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II- 6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173355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8"/>
          </w:cols>
          <w:pgMar w:left="652" w:top="1440" w:right="359" w:bottom="1440" w:gutter="0" w:footer="0" w:header="0"/>
        </w:sectPr>
      </w:pPr>
    </w:p>
    <w:bookmarkStart w:id="187" w:name="page188"/>
    <w:bookmarkEnd w:id="187"/>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securities offered therein, and the offering of such securities at that time shall be deemed to be the initial bona fide offering thereof.</w:t>
      </w:r>
    </w:p>
    <w:p>
      <w:pPr>
        <w:sectPr>
          <w:pgSz w:w="11900" w:h="16838" w:orient="portrait"/>
          <w:cols w:equalWidth="0" w:num="1">
            <w:col w:w="9700"/>
          </w:cols>
          <w:pgMar w:left="980" w:top="1440" w:right="1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173355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00"/>
          </w:cols>
          <w:pgMar w:left="980" w:top="1440" w:right="1219" w:bottom="1440" w:gutter="0" w:footer="0" w:header="0"/>
          <w:type w:val="continuous"/>
        </w:sectPr>
      </w:pPr>
    </w:p>
    <w:bookmarkStart w:id="188" w:name="page189"/>
    <w:bookmarkEnd w:id="18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Pursuant to the requirements of the Securities Act of 1933, as amended, the registrant has duly caused this Post Effective Amendment No. 1 to Registration Statement to be signed on its behalf by the undersigned, thereunto duly authorized, in the City of Seattle, State of Washington, on February 24, 2022.</w:t>
      </w:r>
    </w:p>
    <w:p>
      <w:pPr>
        <w:spacing w:after="0" w:line="1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NAUTILUS BIOTECHNOLOGY, INC.</w:t>
      </w:r>
    </w:p>
    <w:p>
      <w:pPr>
        <w:spacing w:after="0" w:line="324" w:lineRule="exact"/>
        <w:rPr>
          <w:sz w:val="20"/>
          <w:szCs w:val="20"/>
          <w:color w:val="auto"/>
        </w:rPr>
      </w:pPr>
    </w:p>
    <w:p>
      <w:pPr>
        <w:ind w:left="6620"/>
        <w:spacing w:after="0"/>
        <w:tabs>
          <w:tab w:leader="none" w:pos="7100" w:val="left"/>
        </w:tabs>
        <w:rPr>
          <w:sz w:val="20"/>
          <w:szCs w:val="20"/>
          <w:color w:val="auto"/>
        </w:rPr>
      </w:pPr>
      <w:r>
        <w:rPr>
          <w:rFonts w:ascii="Arial" w:cs="Arial" w:eastAsia="Arial" w:hAnsi="Arial"/>
          <w:sz w:val="18"/>
          <w:szCs w:val="18"/>
          <w:color w:val="auto"/>
        </w:rPr>
        <w:t>By:</w:t>
        <w:tab/>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63144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7">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Sujal Patel</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Chief Executive Officer</w:t>
      </w:r>
    </w:p>
    <w:p>
      <w:pPr>
        <w:spacing w:after="0" w:line="2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Post-Effective Amendment No. 1 to Registration Statement on Form S-1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auto"/>
            </w:tcBorders>
          </w:tcPr>
          <w:p>
            <w:pPr>
              <w:ind w:left="1700"/>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6"/>
                <w:szCs w:val="16"/>
                <w:color w:val="auto"/>
              </w:rPr>
            </w:pPr>
          </w:p>
        </w:tc>
        <w:tc>
          <w:tcPr>
            <w:tcW w:w="5140" w:type="dxa"/>
            <w:vAlign w:val="bottom"/>
            <w:tcBorders>
              <w:bottom w:val="single" w:sz="8" w:color="auto"/>
            </w:tcBorders>
          </w:tcPr>
          <w:p>
            <w:pPr>
              <w:ind w:left="242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72"/>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Sujal Patel</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President and 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Sujal Patel</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Executive Officer)</w:t>
            </w: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Anna Mowry</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Chief Financial Officer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Anna Mowry</w:t>
            </w:r>
          </w:p>
        </w:tc>
        <w:tc>
          <w:tcPr>
            <w:tcW w:w="80" w:type="dxa"/>
            <w:vAlign w:val="bottom"/>
          </w:tcPr>
          <w:p>
            <w:pPr>
              <w:spacing w:after="0"/>
              <w:rPr>
                <w:sz w:val="19"/>
                <w:szCs w:val="19"/>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Michael Altman</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Melissa Epperly</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Matthew McIlwain</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r>
        <w:trPr>
          <w:trHeight w:val="48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5220" w:type="dxa"/>
            <w:vAlign w:val="bottom"/>
            <w:gridSpan w:val="2"/>
          </w:tcPr>
          <w:p>
            <w:pPr>
              <w:ind w:left="20"/>
              <w:spacing w:after="0"/>
              <w:rPr>
                <w:sz w:val="20"/>
                <w:szCs w:val="20"/>
                <w:color w:val="auto"/>
              </w:rPr>
            </w:pPr>
            <w:r>
              <w:rPr>
                <w:rFonts w:ascii="Arial" w:cs="Arial" w:eastAsia="Arial" w:hAnsi="Arial"/>
                <w:sz w:val="18"/>
                <w:szCs w:val="18"/>
                <w:color w:val="auto"/>
              </w:rPr>
              <w:t>Director</w:t>
            </w: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February 24, 2022</w:t>
            </w:r>
          </w:p>
        </w:tc>
      </w:tr>
      <w:tr>
        <w:trPr>
          <w:trHeight w:val="224"/>
        </w:trPr>
        <w:tc>
          <w:tcPr>
            <w:tcW w:w="4000" w:type="dxa"/>
            <w:vAlign w:val="bottom"/>
          </w:tcPr>
          <w:p>
            <w:pPr>
              <w:ind w:left="20"/>
              <w:spacing w:after="0"/>
              <w:rPr>
                <w:sz w:val="20"/>
                <w:szCs w:val="20"/>
                <w:color w:val="auto"/>
              </w:rPr>
            </w:pPr>
            <w:r>
              <w:rPr>
                <w:rFonts w:ascii="Arial" w:cs="Arial" w:eastAsia="Arial" w:hAnsi="Arial"/>
                <w:sz w:val="18"/>
                <w:szCs w:val="18"/>
                <w:color w:val="auto"/>
              </w:rPr>
              <w:t>Matthew L. Posard</w:t>
            </w:r>
          </w:p>
        </w:tc>
        <w:tc>
          <w:tcPr>
            <w:tcW w:w="8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173355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89" w:name="page190"/>
    <w:bookmarkEnd w:id="189"/>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 By:</w:t>
      </w:r>
    </w:p>
    <w:p>
      <w:pPr>
        <w:ind w:left="920"/>
        <w:spacing w:after="0"/>
        <w:rPr>
          <w:sz w:val="20"/>
          <w:szCs w:val="20"/>
          <w:color w:val="auto"/>
        </w:rPr>
      </w:pPr>
      <w:r>
        <w:rPr>
          <w:rFonts w:ascii="Arial" w:cs="Arial" w:eastAsia="Arial" w:hAnsi="Arial"/>
          <w:sz w:val="18"/>
          <w:szCs w:val="18"/>
          <w:color w:val="auto"/>
        </w:rPr>
        <w:t>/s/ 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575310</wp:posOffset>
            </wp:positionH>
            <wp:positionV relativeFrom="paragraph">
              <wp:posOffset>21590</wp:posOffset>
            </wp:positionV>
            <wp:extent cx="228854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9">
                      <a:extLst>
                        <a:ext uri="{28A0092B-C50C-407E-A947-70E740481C1C}"/>
                      </a:extLst>
                    </a:blip>
                    <a:srcRect/>
                    <a:stretch>
                      <a:fillRect/>
                    </a:stretch>
                  </pic:blipFill>
                  <pic:spPr bwMode="auto">
                    <a:xfrm>
                      <a:off x="0" y="0"/>
                      <a:ext cx="2288540" cy="8890"/>
                    </a:xfrm>
                    <a:prstGeom prst="rect">
                      <a:avLst/>
                    </a:prstGeom>
                    <a:noFill/>
                  </pic:spPr>
                </pic:pic>
              </a:graphicData>
            </a:graphic>
          </wp:anchor>
        </w:drawing>
      </w:r>
    </w:p>
    <w:p>
      <w:pPr>
        <w:spacing w:after="0" w:line="4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Sujal Patel</w:t>
      </w:r>
    </w:p>
    <w:p>
      <w:pPr>
        <w:spacing w:after="0" w:line="6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0119"/>
          </w:cols>
          <w:pgMar w:left="340" w:top="1440" w:right="1440"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01"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color w:val="auto"/>
        </w:rPr>
        <w:t>We hereby consent to the use in this Registration Statement on Form S-1 of Nautilus Biotechnology, Inc. of our report dated February 24, 2022 relating to the financial statements of Nautilus Biotechnology, Inc., which appears in this Registration Statement. We also consent to the reference to us under the heading “Experts” in such Registration Statement.</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abstractNum>
  <w:abstractNum w:abstractNumId="5">
    <w:nsid w:val="77AE35EB"/>
    <w:multiLevelType w:val="hybridMultilevel"/>
    <w:lvl w:ilvl="0">
      <w:lvlJc w:val="left"/>
      <w:lvlText w:val="•"/>
      <w:numFmt w:val="bullet"/>
      <w:start w:val="1"/>
    </w:lvl>
  </w:abstractNum>
  <w:abstractNum w:abstractNumId="6">
    <w:nsid w:val="579BE4F1"/>
    <w:multiLevelType w:val="hybridMultilevel"/>
    <w:lvl w:ilvl="0">
      <w:lvlJc w:val="left"/>
      <w:lvlText w:val="•"/>
      <w:numFmt w:val="bullet"/>
      <w:start w:val="1"/>
    </w:lvl>
  </w:abstractNum>
  <w:abstractNum w:abstractNumId="7">
    <w:nsid w:val="310C50B3"/>
    <w:multiLevelType w:val="hybridMultilevel"/>
    <w:lvl w:ilvl="0">
      <w:lvlJc w:val="left"/>
      <w:lvlText w:val="•"/>
      <w:numFmt w:val="bullet"/>
      <w:start w:val="1"/>
    </w:lvl>
  </w:abstractNum>
  <w:abstractNum w:abstractNumId="8">
    <w:nsid w:val="5FF87E05"/>
    <w:multiLevelType w:val="hybridMultilevel"/>
    <w:lvl w:ilvl="0">
      <w:lvlJc w:val="left"/>
      <w:lvlText w:val="•"/>
      <w:numFmt w:val="bullet"/>
      <w:start w:val="1"/>
    </w:lvl>
  </w:abstractNum>
  <w:abstractNum w:abstractNumId="9">
    <w:nsid w:val="2F305DEF"/>
    <w:multiLevelType w:val="hybridMultilevel"/>
    <w:lvl w:ilvl="0">
      <w:lvlJc w:val="left"/>
      <w:lvlText w:val="•"/>
      <w:numFmt w:val="bullet"/>
      <w:start w:val="1"/>
    </w:lvl>
  </w:abstractNum>
  <w:abstractNum w:abstractNumId="10">
    <w:nsid w:val="25A70BF7"/>
    <w:multiLevelType w:val="hybridMultilevel"/>
    <w:lvl w:ilvl="0">
      <w:lvlJc w:val="left"/>
      <w:lvlText w:val="•"/>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
      <w:numFmt w:val="bullet"/>
      <w:start w:val="1"/>
    </w:lvl>
  </w:abstractNum>
  <w:abstractNum w:abstractNumId="23">
    <w:nsid w:val="42C296BD"/>
    <w:multiLevelType w:val="hybridMultilevel"/>
    <w:lvl w:ilvl="0">
      <w:lvlJc w:val="left"/>
      <w:lvlText w:val="•"/>
      <w:numFmt w:val="bullet"/>
      <w:start w:val="1"/>
    </w:lvl>
  </w:abstractNum>
  <w:abstractNum w:abstractNumId="24">
    <w:nsid w:val="168E121F"/>
    <w:multiLevelType w:val="hybridMultilevel"/>
    <w:lvl w:ilvl="0">
      <w:lvlJc w:val="left"/>
      <w:lvlText w:val="•"/>
      <w:numFmt w:val="bullet"/>
      <w:start w:val="1"/>
    </w:lvl>
  </w:abstractNum>
  <w:abstractNum w:abstractNumId="25">
    <w:nsid w:val="1EBA5D23"/>
    <w:multiLevelType w:val="hybridMultilevel"/>
    <w:lvl w:ilvl="0">
      <w:lvlJc w:val="left"/>
      <w:lvlText w:val="•"/>
      <w:numFmt w:val="bullet"/>
      <w:start w:val="1"/>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
      <w:numFmt w:val="bullet"/>
      <w:start w:val="1"/>
    </w:lvl>
  </w:abstractNum>
  <w:abstractNum w:abstractNumId="29">
    <w:nsid w:val="7BD3EE7B"/>
    <w:multiLevelType w:val="hybridMultilevel"/>
    <w:lvl w:ilvl="0">
      <w:lvlJc w:val="left"/>
      <w:lvlText w:val="•"/>
      <w:numFmt w:val="bullet"/>
      <w:start w:val="1"/>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1."/>
      <w:numFmt w:val="decimal"/>
      <w:start w:val="1"/>
    </w:lvl>
  </w:abstractNum>
  <w:abstractNum w:abstractNumId="48">
    <w:nsid w:val="7FB7E0AA"/>
    <w:multiLevelType w:val="hybridMultilevel"/>
    <w:lvl w:ilvl="0">
      <w:lvlJc w:val="left"/>
      <w:lvlText w:val="%1."/>
      <w:numFmt w:val="decimal"/>
      <w:start w:val="2"/>
    </w:lvl>
  </w:abstractNum>
  <w:abstractNum w:abstractNumId="49">
    <w:nsid w:val="6EB5BD4"/>
    <w:multiLevelType w:val="hybridMultilevel"/>
    <w:lvl w:ilvl="0">
      <w:lvlJc w:val="left"/>
      <w:lvlText w:val="%1."/>
      <w:numFmt w:val="decimal"/>
      <w:start w:val="3"/>
    </w:lvl>
  </w:abstractNum>
  <w:abstractNum w:abstractNumId="50">
    <w:nsid w:val="6F6DD9AC"/>
    <w:multiLevelType w:val="hybridMultilevel"/>
    <w:lvl w:ilvl="0">
      <w:lvlJc w:val="left"/>
      <w:lvlText w:val="%1."/>
      <w:numFmt w:val="decimal"/>
      <w:start w:val="4"/>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
      <w:numFmt w:val="bullet"/>
      <w:start w:val="1"/>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1)"/>
      <w:numFmt w:val="decimal"/>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1)"/>
      <w:numFmt w:val="decimal"/>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
      <w:numFmt w:val="bullet"/>
      <w:start w:val="1"/>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1)"/>
      <w:numFmt w:val="decimal"/>
      <w:start w:val="1"/>
    </w:lvl>
  </w:abstractNum>
  <w:abstractNum w:abstractNumId="66">
    <w:nsid w:val="43F18422"/>
    <w:multiLevelType w:val="hybridMultilevel"/>
    <w:lvl w:ilvl="0">
      <w:lvlJc w:val="left"/>
      <w:lvlText w:val="(%1)"/>
      <w:numFmt w:val="decimal"/>
      <w:start w:val="4"/>
    </w:lvl>
  </w:abstractNum>
  <w:abstractNum w:abstractNumId="67">
    <w:nsid w:val="60EF0119"/>
    <w:multiLevelType w:val="hybridMultilevel"/>
    <w:lvl w:ilvl="0">
      <w:lvlJc w:val="left"/>
      <w:lvlText w:val="(%1)"/>
      <w:numFmt w:val="decimal"/>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1)"/>
      <w:numFmt w:val="decimal"/>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
      <w:numFmt w:val="bullet"/>
      <w:start w:val="1"/>
    </w:lvl>
  </w:abstractNum>
  <w:abstractNum w:abstractNumId="74">
    <w:nsid w:val="488AC1A"/>
    <w:multiLevelType w:val="hybridMultilevel"/>
    <w:lvl w:ilvl="0">
      <w:lvlJc w:val="left"/>
      <w:lvlText w:val="(%1)"/>
      <w:numFmt w:val="decimal"/>
      <w:start w:val="1"/>
    </w:lvl>
  </w:abstractNum>
  <w:abstractNum w:abstractNumId="75">
    <w:nsid w:val="5FB8011C"/>
    <w:multiLevelType w:val="hybridMultilevel"/>
    <w:lvl w:ilvl="0">
      <w:lvlJc w:val="left"/>
      <w:lvlText w:val="(%1)"/>
      <w:numFmt w:val="decimal"/>
      <w:start w:val="1"/>
    </w:lvl>
  </w:abstractNum>
  <w:abstractNum w:abstractNumId="76">
    <w:nsid w:val="6AA78F7F"/>
    <w:multiLevelType w:val="hybridMultilevel"/>
    <w:lvl w:ilvl="0">
      <w:lvlJc w:val="left"/>
      <w:lvlText w:val="(%1)"/>
      <w:numFmt w:val="decimal"/>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1)"/>
      <w:numFmt w:val="decimal"/>
      <w:start w:val="1"/>
    </w:lvl>
  </w:abstractNum>
  <w:abstractNum w:abstractNumId="81">
    <w:nsid w:val="5F3534A4"/>
    <w:multiLevelType w:val="hybridMultilevel"/>
    <w:lvl w:ilvl="0">
      <w:lvlJc w:val="left"/>
      <w:lvlText w:val="(%1)"/>
      <w:numFmt w:val="decimal"/>
      <w:start w:val="3"/>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1)"/>
      <w:numFmt w:val="decimal"/>
      <w:start w:val="1"/>
    </w:lvl>
  </w:abstractNum>
  <w:abstractNum w:abstractNumId="84">
    <w:nsid w:val="555C55B5"/>
    <w:multiLevelType w:val="hybridMultilevel"/>
    <w:lvl w:ilvl="0">
      <w:lvlJc w:val="left"/>
      <w:lvlText w:val="(%1)"/>
      <w:numFmt w:val="decimal"/>
      <w:start w:val="13"/>
    </w:lvl>
  </w:abstractNum>
  <w:abstractNum w:abstractNumId="85">
    <w:nsid w:val="3FA62ACA"/>
    <w:multiLevelType w:val="hybridMultilevel"/>
    <w:lvl w:ilvl="0">
      <w:lvlJc w:val="left"/>
      <w:lvlText w:val="(%1)"/>
      <w:numFmt w:val="decimal"/>
      <w:start w:val="27"/>
    </w:lvl>
  </w:abstractNum>
  <w:abstractNum w:abstractNumId="86">
    <w:nsid w:val="14FCE74E"/>
    <w:multiLevelType w:val="hybridMultilevel"/>
    <w:lvl w:ilvl="0">
      <w:lvlJc w:val="left"/>
      <w:lvlText w:val="(%1)"/>
      <w:numFmt w:val="decimal"/>
      <w:start w:val="60"/>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1)"/>
      <w:numFmt w:val="lowerRoman"/>
      <w:start w:val="3"/>
    </w:lvl>
  </w:abstractNum>
  <w:abstractNum w:abstractNumId="90">
    <w:nsid w:val="53299938"/>
    <w:multiLevelType w:val="hybridMultilevel"/>
    <w:lvl w:ilvl="0">
      <w:lvlJc w:val="left"/>
      <w:lvlText w:val="•"/>
      <w:numFmt w:val="bullet"/>
      <w:start w:val="1"/>
    </w:lvl>
  </w:abstractNum>
  <w:abstractNum w:abstractNumId="91">
    <w:nsid w:val="1FBFE8E0"/>
    <w:multiLevelType w:val="hybridMultilevel"/>
    <w:lvl w:ilvl="0">
      <w:lvlJc w:val="left"/>
      <w:lvlText w:val="•"/>
      <w:numFmt w:val="bullet"/>
      <w:start w:val="1"/>
    </w:lvl>
  </w:abstractNum>
  <w:abstractNum w:abstractNumId="92">
    <w:nsid w:val="5092CA79"/>
    <w:multiLevelType w:val="hybridMultilevel"/>
    <w:lvl w:ilvl="0">
      <w:lvlJc w:val="left"/>
      <w:lvlText w:val="•"/>
      <w:numFmt w:val="bullet"/>
      <w:start w:val="1"/>
    </w:lvl>
  </w:abstractNum>
  <w:abstractNum w:abstractNumId="93">
    <w:nsid w:val="1D545C4D"/>
    <w:multiLevelType w:val="hybridMultilevel"/>
    <w:lvl w:ilvl="0">
      <w:lvlJc w:val="left"/>
      <w:lvlText w:val="•"/>
      <w:numFmt w:val="bullet"/>
      <w:start w:val="1"/>
    </w:lvl>
    <w:lvl w:ilvl="1">
      <w:lvlJc w:val="left"/>
      <w:lvlText w:val="•"/>
      <w:numFmt w:val="bullet"/>
      <w:start w:val="1"/>
    </w:lvl>
  </w:abstractNum>
  <w:abstractNum w:abstractNumId="94">
    <w:nsid w:val="59ADEA3D"/>
    <w:multiLevelType w:val="hybridMultilevel"/>
    <w:lvl w:ilvl="0">
      <w:lvlJc w:val="left"/>
      <w:lvlText w:val="(%1)"/>
      <w:numFmt w:val="decimal"/>
      <w:start w:val="1"/>
    </w:lvl>
  </w:abstractNum>
  <w:abstractNum w:abstractNumId="95">
    <w:nsid w:val="288F1A34"/>
    <w:multiLevelType w:val="hybridMultilevel"/>
    <w:lvl w:ilvl="0">
      <w:lvlJc w:val="left"/>
      <w:lvlText w:val="%1."/>
      <w:numFmt w:val="decimal"/>
      <w:start w:val="1"/>
    </w:lvl>
  </w:abstractNum>
  <w:abstractNum w:abstractNumId="96">
    <w:nsid w:val="2A155DBC"/>
    <w:multiLevelType w:val="hybridMultilevel"/>
    <w:lvl w:ilvl="0">
      <w:lvlJc w:val="left"/>
      <w:lvlText w:val="%1."/>
      <w:numFmt w:val="decimal"/>
      <w:start w:val="2"/>
    </w:lvl>
  </w:abstractNum>
  <w:abstractNum w:abstractNumId="97">
    <w:nsid w:val="1D9F6E5F"/>
    <w:multiLevelType w:val="hybridMultilevel"/>
    <w:lvl w:ilvl="0">
      <w:lvlJc w:val="left"/>
      <w:lvlText w:val="%1."/>
      <w:numFmt w:val="decimal"/>
      <w:start w:val="3"/>
    </w:lvl>
  </w:abstractNum>
  <w:abstractNum w:abstractNumId="98">
    <w:nsid w:val="97E1B4E"/>
    <w:multiLevelType w:val="hybridMultilevel"/>
    <w:lvl w:ilvl="0">
      <w:lvlJc w:val="left"/>
      <w:lvlText w:val="(%1)"/>
      <w:numFmt w:val="lowerRoman"/>
      <w:start w:val="1"/>
    </w:lvl>
  </w:abstractNum>
  <w:abstractNum w:abstractNumId="99">
    <w:nsid w:val="51088277"/>
    <w:multiLevelType w:val="hybridMultilevel"/>
    <w:lvl w:ilvl="0">
      <w:lvlJc w:val="left"/>
      <w:lvlText w:val="%1."/>
      <w:numFmt w:val="decimal"/>
      <w:start w:val="4"/>
    </w:lvl>
  </w:abstractNum>
  <w:abstractNum w:abstractNumId="100">
    <w:nsid w:val="1CA0C5FA"/>
    <w:multiLevelType w:val="hybridMultilevel"/>
    <w:lvl w:ilvl="0">
      <w:lvlJc w:val="left"/>
      <w:lvlText w:val="%1."/>
      <w:numFmt w:val="decimal"/>
      <w:start w:val="5"/>
    </w:lvl>
  </w:abstractNum>
  <w:abstractNum w:abstractNumId="101">
    <w:nsid w:val="53584BCB"/>
    <w:multiLevelType w:val="hybridMultilevel"/>
    <w:lvl w:ilvl="0">
      <w:lvlJc w:val="left"/>
      <w:lvlText w:val="%1."/>
      <w:numFmt w:val="decimal"/>
      <w:start w:val="6"/>
    </w:lvl>
  </w:abstractNum>
  <w:abstractNum w:abstractNumId="102">
    <w:nsid w:val="415E286C"/>
    <w:multiLevelType w:val="hybridMultilevel"/>
    <w:lvl w:ilvl="0">
      <w:lvlJc w:val="left"/>
      <w:lvlText w:val="%1."/>
      <w:numFmt w:val="decimal"/>
      <w:start w:val="7"/>
    </w:lvl>
  </w:abstractNum>
  <w:abstractNum w:abstractNumId="103">
    <w:nsid w:val="7C58FD05"/>
    <w:multiLevelType w:val="hybridMultilevel"/>
    <w:lvl w:ilvl="0">
      <w:lvlJc w:val="left"/>
      <w:lvlText w:val="%1."/>
      <w:numFmt w:val="decimal"/>
      <w:start w:val="8"/>
    </w:lvl>
  </w:abstractNum>
  <w:abstractNum w:abstractNumId="104">
    <w:nsid w:val="23D86AAC"/>
    <w:multiLevelType w:val="hybridMultilevel"/>
    <w:lvl w:ilvl="0">
      <w:lvlJc w:val="left"/>
      <w:lvlText w:val="%1."/>
      <w:numFmt w:val="decimal"/>
      <w:start w:val="9"/>
    </w:lvl>
  </w:abstractNum>
  <w:abstractNum w:abstractNumId="105">
    <w:nsid w:val="45E6D486"/>
    <w:multiLevelType w:val="hybridMultilevel"/>
    <w:lvl w:ilvl="0">
      <w:lvlJc w:val="left"/>
      <w:lvlText w:val="%1."/>
      <w:numFmt w:val="decimal"/>
      <w:start w:val="10"/>
    </w:lvl>
  </w:abstractNum>
  <w:abstractNum w:abstractNumId="106">
    <w:nsid w:val="5C10FE21"/>
    <w:multiLevelType w:val="hybridMultilevel"/>
    <w:lvl w:ilvl="0">
      <w:lvlJc w:val="left"/>
      <w:lvlText w:val="%1."/>
      <w:numFmt w:val="decimal"/>
      <w:start w:val="11"/>
    </w:lvl>
  </w:abstractNum>
  <w:abstractNum w:abstractNumId="107">
    <w:nsid w:val="E7FFA2B"/>
    <w:multiLevelType w:val="hybridMultilevel"/>
    <w:lvl w:ilvl="0">
      <w:lvlJc w:val="left"/>
      <w:lvlText w:val="%1."/>
      <w:numFmt w:val="decimal"/>
      <w:start w:val="12"/>
    </w:lvl>
  </w:abstractNum>
  <w:abstractNum w:abstractNumId="108">
    <w:nsid w:val="3C5991AA"/>
    <w:multiLevelType w:val="hybridMultilevel"/>
    <w:lvl w:ilvl="0">
      <w:lvlJc w:val="left"/>
      <w:lvlText w:val="*"/>
      <w:numFmt w:val="bullet"/>
      <w:start w:val="1"/>
    </w:lvl>
  </w:abstractNum>
  <w:abstractNum w:abstractNumId="109">
    <w:nsid w:val="4BD8591A"/>
    <w:multiLevelType w:val="hybridMultilevel"/>
    <w:lvl w:ilvl="0">
      <w:lvlJc w:val="left"/>
      <w:lvlText w:val="•"/>
      <w:numFmt w:val="bullet"/>
      <w:start w:val="1"/>
    </w:lvl>
  </w:abstractNum>
  <w:abstractNum w:abstractNumId="110">
    <w:nsid w:val="78DF6A55"/>
    <w:multiLevelType w:val="hybridMultilevel"/>
    <w:lvl w:ilvl="0">
      <w:lvlJc w:val="left"/>
      <w:lvlText w:val="%1"/>
      <w:numFmt w:val="decimal"/>
      <w:start w:val="104"/>
    </w:lvl>
  </w:abstractNum>
  <w:abstractNum w:abstractNumId="111">
    <w:nsid w:val="39B7AAA2"/>
    <w:multiLevelType w:val="hybridMultilevel"/>
    <w:lvl w:ilvl="0">
      <w:lvlJc w:val="left"/>
      <w:lvlText w:val="†"/>
      <w:numFmt w:val="bullet"/>
      <w:start w:val="1"/>
    </w:lvl>
    <w:lvl w:ilvl="1">
      <w:lvlJc w:val="left"/>
      <w:lvlText w:val="(%2)"/>
      <w:numFmt w:val="lowerLetter"/>
      <w:start w:val="2"/>
    </w:lvl>
  </w:abstractNum>
  <w:abstractNum w:abstractNumId="112">
    <w:nsid w:val="2B0D8DBE"/>
    <w:multiLevelType w:val="hybridMultilevel"/>
    <w:lvl w:ilvl="0">
      <w:lvlJc w:val="left"/>
      <w:lvlText w:val="(%1)"/>
      <w:numFmt w:val="lowerRoman"/>
      <w:start w:val="1"/>
    </w:lvl>
  </w:abstractNum>
  <w:abstractNum w:abstractNumId="113">
    <w:nsid w:val="6C80EC70"/>
    <w:multiLevelType w:val="hybridMultilevel"/>
    <w:lvl w:ilvl="0">
      <w:lvlJc w:val="left"/>
      <w:lvlText w:val="(%1)"/>
      <w:numFmt w:val="decimal"/>
      <w:start w:val="2"/>
    </w:lvl>
  </w:abstractNum>
  <w:abstractNum w:abstractNumId="114">
    <w:nsid w:val="379E21B5"/>
    <w:multiLevelType w:val="hybridMultilevel"/>
    <w:lvl w:ilvl="0">
      <w:lvlJc w:val="left"/>
      <w:lvlText w:val="(%1)"/>
      <w:numFmt w:val="upperLetter"/>
      <w:start w:val="1"/>
    </w:lvl>
  </w:abstractNum>
  <w:abstractNum w:abstractNumId="115">
    <w:nsid w:val="69E373"/>
    <w:multiLevelType w:val="hybridMultilevel"/>
    <w:lvl w:ilvl="0">
      <w:lvlJc w:val="left"/>
      <w:lvlText w:val="(%1)"/>
      <w:numFmt w:val="lowerRoman"/>
      <w:start w:val="2"/>
    </w:lvl>
  </w:abstractNum>
  <w:abstractNum w:abstractNumId="116">
    <w:nsid w:val="2C27173B"/>
    <w:multiLevelType w:val="hybridMultilevel"/>
    <w:lvl w:ilvl="0">
      <w:lvlJc w:val="left"/>
      <w:lvlText w:val="(%1)"/>
      <w:numFmt w:val="decimal"/>
      <w:start w:val="5"/>
    </w:lvl>
  </w:abstractNum>
  <w:abstractNum w:abstractNumId="117">
    <w:nsid w:val="4C9B0904"/>
    <w:multiLevelType w:val="hybridMultilevel"/>
    <w:lvl w:ilvl="0">
      <w:lvlJc w:val="left"/>
      <w:lvlText w:val="(%1)"/>
      <w:numFmt w:val="lowerRoman"/>
      <w:start w:val="1"/>
    </w:lvl>
  </w:abstractNum>
  <w:abstractNum w:abstractNumId="118">
    <w:nsid w:val="6AA7B75C"/>
    <w:multiLevelType w:val="hybridMultilevel"/>
    <w:lvl w:ilvl="0">
      <w:lvlJc w:val="left"/>
      <w:lvlText w:val="(%1)"/>
      <w:numFmt w:val="lowerLetter"/>
      <w:start w:val="2"/>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83" Type="http://schemas.openxmlformats.org/officeDocument/2006/relationships/image" Target="media/image247.png"/><Relationship Id="rId284" Type="http://schemas.openxmlformats.org/officeDocument/2006/relationships/image" Target="media/image248.png"/><Relationship Id="rId285" Type="http://schemas.openxmlformats.org/officeDocument/2006/relationships/image" Target="media/image249.png"/><Relationship Id="rId286" Type="http://schemas.openxmlformats.org/officeDocument/2006/relationships/image" Target="media/image250.png"/><Relationship Id="rId287" Type="http://schemas.openxmlformats.org/officeDocument/2006/relationships/image" Target="media/image251.png"/><Relationship Id="rId288" Type="http://schemas.openxmlformats.org/officeDocument/2006/relationships/image" Target="media/image252.png"/><Relationship Id="rId289" Type="http://schemas.openxmlformats.org/officeDocument/2006/relationships/image" Target="media/image253.png"/><Relationship Id="rId252" Type="http://schemas.openxmlformats.org/officeDocument/2006/relationships/hyperlink" Target="https://www.sec.gov/Archives/edgar/data/1808805/000114036121003650/brhc10019858_ex2-1.htm" TargetMode="External"/><Relationship Id="rId253" Type="http://schemas.openxmlformats.org/officeDocument/2006/relationships/hyperlink" Target="https://www.sec.gov/Archives/edgar/data/1808805/000162828021011892/exhibit31-form8xkclosing.htm" TargetMode="External"/><Relationship Id="rId254" Type="http://schemas.openxmlformats.org/officeDocument/2006/relationships/hyperlink" Target="https://www.sec.gov/Archives/edgar/data/1808805/000162828021011892/exhibit32-form8xkclosing.htm" TargetMode="External"/><Relationship Id="rId255" Type="http://schemas.openxmlformats.org/officeDocument/2006/relationships/hyperlink" Target="https://www.sec.gov/Archives/edgar/data/1808805/000162828021011892/exhibit41-super8xkclosing.htm" TargetMode="External"/><Relationship Id="rId256" Type="http://schemas.openxmlformats.org/officeDocument/2006/relationships/hyperlink" Target="https://www.sec.gov/Archives/edgar/data/1808805/000162828021014270/exhibit51-sx1.htm" TargetMode="External"/><Relationship Id="rId257" Type="http://schemas.openxmlformats.org/officeDocument/2006/relationships/hyperlink" Target="https://www.sec.gov/Archives/edgar/data/1808805/000114036121003650/brhc10019858_ex10-3.htm" TargetMode="External"/><Relationship Id="rId258" Type="http://schemas.openxmlformats.org/officeDocument/2006/relationships/hyperlink" Target="https://www.sec.gov/Archives/edgar/data/1808805/000114036121003650/brhc10019858_ex10-2.htm" TargetMode="External"/><Relationship Id="rId259" Type="http://schemas.openxmlformats.org/officeDocument/2006/relationships/hyperlink" Target="https://www.sec.gov/Archives/edgar/data/1808805/000162828021011892/exhibit104-form8xkclosing.htm" TargetMode="External"/><Relationship Id="rId260" Type="http://schemas.openxmlformats.org/officeDocument/2006/relationships/hyperlink" Target="https://www.sec.gov/Archives/edgar/data/1808805/000162828021011892/exhibit105-form8xkclosing.htm" TargetMode="External"/><Relationship Id="rId261" Type="http://schemas.openxmlformats.org/officeDocument/2006/relationships/hyperlink" Target="https://www.sec.gov/Archives/edgar/data/1808805/000162828021005786/exhibit107-sx4.htm" TargetMode="External"/><Relationship Id="rId262" Type="http://schemas.openxmlformats.org/officeDocument/2006/relationships/hyperlink" Target="https://www.sec.gov/Archives/edgar/data/1808805/000162828021005786/exhibit108-sx4.htm" TargetMode="External"/><Relationship Id="rId263" Type="http://schemas.openxmlformats.org/officeDocument/2006/relationships/hyperlink" Target="https://www.sec.gov/Archives/edgar/data/1808805/000162828021005786/exhibit109-sx4.htm" TargetMode="External"/><Relationship Id="rId264" Type="http://schemas.openxmlformats.org/officeDocument/2006/relationships/hyperlink" Target="https://www.sec.gov/Archives/edgar/data/1808805/000162828021005786/exhibit1011-sx4.htm" TargetMode="External"/><Relationship Id="rId265" Type="http://schemas.openxmlformats.org/officeDocument/2006/relationships/hyperlink" Target="https://www.sec.gov/Archives/edgar/data/1808805/000162828021007512/exhibit1012-sx4a2.htm" TargetMode="External"/><Relationship Id="rId266" Type="http://schemas.openxmlformats.org/officeDocument/2006/relationships/hyperlink" Target="https://www.sec.gov/Archives/edgar/data/1808805/000162828021007512/exhibit1013-sx4a2.htm" TargetMode="External"/><Relationship Id="rId267" Type="http://schemas.openxmlformats.org/officeDocument/2006/relationships/hyperlink" Target="https://www.sec.gov/Archives/edgar/data/1808805/000162828021007512/exhibit1015-sx4a2.htm" TargetMode="External"/><Relationship Id="rId268" Type="http://schemas.openxmlformats.org/officeDocument/2006/relationships/hyperlink" Target="https://www.sec.gov/Archives/edgar/data/1808805/000162828021007512/exhibit1014-sx4a2.htm" TargetMode="External"/><Relationship Id="rId271" Type="http://schemas.openxmlformats.org/officeDocument/2006/relationships/hyperlink" Target="https://www.sec.gov/Archives/edgar/data/1808805/000162828021007512/exhibit1016-sx4a2.htm" TargetMode="External"/><Relationship Id="rId272" Type="http://schemas.openxmlformats.org/officeDocument/2006/relationships/hyperlink" Target="https://www.sec.gov/Archives/edgar/data/1808805/000162828021007512/exhibit1017-sx4a2.htm" TargetMode="External"/><Relationship Id="rId273" Type="http://schemas.openxmlformats.org/officeDocument/2006/relationships/hyperlink" Target="https://www.sec.gov/Archives/edgar/data/1808805/000162828021007512/exhibit1018-sx4a2.htm" TargetMode="External"/><Relationship Id="rId274" Type="http://schemas.openxmlformats.org/officeDocument/2006/relationships/hyperlink" Target="https://www.sec.gov/Archives/edgar/data/1808805/000162828021007512/exhibit1019-sx4a2.htm" TargetMode="External"/><Relationship Id="rId275" Type="http://schemas.openxmlformats.org/officeDocument/2006/relationships/hyperlink" Target="https://www.sec.gov/Archives/edgar/data/1808805/000162828021007512/exhibit1021-sx4a2.htm" TargetMode="External"/><Relationship Id="rId276" Type="http://schemas.openxmlformats.org/officeDocument/2006/relationships/hyperlink" Target="https://www.sec.gov/Archives/edgar/data/1808805/000162828021007512/exhibit1020-sx4a2.htm" TargetMode="External"/><Relationship Id="rId277" Type="http://schemas.openxmlformats.org/officeDocument/2006/relationships/hyperlink" Target="https://www.sec.gov/Archives/edgar/data/1808805/000162828021007512/exhibit1022-sx4a2.htm" TargetMode="External"/><Relationship Id="rId278" Type="http://schemas.openxmlformats.org/officeDocument/2006/relationships/hyperlink" Target="https://www.sec.gov/Archives/edgar/data/1808805/000162828021007512/exhibit1023-sx4a2.htm" TargetMode="External"/><Relationship Id="rId279" Type="http://schemas.openxmlformats.org/officeDocument/2006/relationships/hyperlink" Target="https://www.sec.gov/Archives/edgar/data/1808805/000162828021007512/exhibit1024-sx4a2.htm" TargetMode="External"/><Relationship Id="rId280" Type="http://schemas.openxmlformats.org/officeDocument/2006/relationships/hyperlink" Target="https://www.sec.gov/Archives/edgar/data/1808805/000162828021007512/exhibit1025-sx4a2.htm" TargetMode="External"/><Relationship Id="rId281" Type="http://schemas.openxmlformats.org/officeDocument/2006/relationships/hyperlink" Target="https://www.sec.gov/Archives/edgar/data/1808805/000162828021011892/exhibit161-super8xk.htm" TargetMode="External"/><Relationship Id="rId282" Type="http://schemas.openxmlformats.org/officeDocument/2006/relationships/hyperlink" Target="https://www.sec.gov/Archives/edgar/data/1808805/000180880522000010/exhibit211-listofsubsidia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2022-02-24T16:57:11Z</dcterms:created>
  <dcterms:modified xsi:type="dcterms:W3CDTF">2022-02-24T16:57:11Z</dcterms:modified>
</cp:coreProperties>
</file>