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157"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Stone Adam Leo</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08/06/2020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ARYA Sciences Acquisition Corp III</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ARYA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157"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ARYA SCIENCES</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ACQUISITION CORP III</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51 ASTOR PLACE, 10TH FLOOR</w:t>
      </w:r>
    </w:p>
    <w:p>
      <w:pPr>
        <w:spacing w:after="0" w:line="35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97"/>
        <w:spacing w:after="0"/>
        <w:rPr>
          <w:sz w:val="20"/>
          <w:szCs w:val="20"/>
          <w:color w:val="auto"/>
        </w:rPr>
      </w:pPr>
      <w:r>
        <w:rPr>
          <w:rFonts w:ascii="Arial" w:cs="Arial" w:eastAsia="Arial" w:hAnsi="Arial"/>
          <w:sz w:val="39"/>
          <w:szCs w:val="39"/>
          <w:color w:val="0000FF"/>
          <w:vertAlign w:val="superscript"/>
        </w:rPr>
        <w:t>NEW</w:t>
      </w:r>
      <w:r>
        <w:rPr>
          <w:rFonts w:ascii="Arial" w:cs="Arial" w:eastAsia="Arial" w:hAnsi="Arial"/>
          <w:sz w:val="20"/>
          <w:szCs w:val="20"/>
          <w:color w:val="0000FF"/>
        </w:rPr>
        <w:t xml:space="preserve"> NY 10003 YORK</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183"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112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460" w:type="dxa"/>
            <w:vAlign w:val="bottom"/>
          </w:tcPr>
          <w:p>
            <w:pPr>
              <w:ind w:left="20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10% Owner</w:t>
            </w:r>
          </w:p>
        </w:tc>
        <w:tc>
          <w:tcPr>
            <w:tcW w:w="0" w:type="dxa"/>
            <w:vAlign w:val="bottom"/>
          </w:tcPr>
          <w:p>
            <w:pPr>
              <w:spacing w:after="0"/>
              <w:rPr>
                <w:sz w:val="1"/>
                <w:szCs w:val="1"/>
                <w:color w:val="auto"/>
              </w:rPr>
            </w:pPr>
          </w:p>
        </w:tc>
      </w:tr>
      <w:tr>
        <w:trPr>
          <w:trHeight w:val="226"/>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12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460" w:type="dxa"/>
            <w:vAlign w:val="bottom"/>
          </w:tcPr>
          <w:p>
            <w:pPr>
              <w:ind w:left="52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12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460" w:type="dxa"/>
            <w:vAlign w:val="bottom"/>
            <w:vMerge w:val="restart"/>
          </w:tcPr>
          <w:p>
            <w:pPr>
              <w:ind w:left="52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23"/>
        <w:spacing w:after="0"/>
        <w:rPr>
          <w:sz w:val="20"/>
          <w:szCs w:val="20"/>
          <w:color w:val="auto"/>
        </w:rPr>
      </w:pPr>
      <w:r>
        <w:rPr>
          <w:rFonts w:ascii="Arial" w:cs="Arial" w:eastAsia="Arial" w:hAnsi="Arial"/>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40" w:lineRule="exact"/>
        <w:rPr>
          <w:sz w:val="24"/>
          <w:szCs w:val="24"/>
          <w:color w:val="auto"/>
        </w:rPr>
      </w:pPr>
    </w:p>
    <w:p>
      <w:pPr>
        <w:sectPr>
          <w:pgSz w:w="11900" w:h="16838" w:orient="portrait"/>
          <w:cols w:equalWidth="0" w:num="3">
            <w:col w:w="4277" w:space="720"/>
            <w:col w:w="3003" w:space="269"/>
            <w:col w:w="2671"/>
          </w:cols>
          <w:pgMar w:left="480" w:top="236" w:right="479" w:bottom="1157" w:gutter="0" w:footer="0" w:header="0"/>
          <w:type w:val="continuous"/>
        </w:sectPr>
      </w:pPr>
    </w:p>
    <w:p>
      <w:pPr>
        <w:spacing w:after="0" w:line="20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77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7722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8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2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1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84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8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16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16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84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16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8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vMerge w:val="restart"/>
          </w:tcPr>
          <w:p>
            <w:pPr>
              <w:ind w:left="220"/>
              <w:spacing w:after="0"/>
              <w:rPr>
                <w:sz w:val="20"/>
                <w:szCs w:val="20"/>
                <w:color w:val="auto"/>
              </w:rPr>
            </w:pPr>
            <w:r>
              <w:rPr>
                <w:rFonts w:ascii="Arial" w:cs="Arial" w:eastAsia="Arial" w:hAnsi="Arial"/>
                <w:sz w:val="20"/>
                <w:szCs w:val="20"/>
                <w:color w:val="0000FF"/>
                <w:w w:val="98"/>
              </w:rPr>
              <w:t>Class A ordinary</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ind w:left="80"/>
              <w:spacing w:after="0"/>
              <w:rPr>
                <w:sz w:val="20"/>
                <w:szCs w:val="20"/>
                <w:color w:val="auto"/>
              </w:rPr>
            </w:pPr>
            <w:r>
              <w:rPr>
                <w:rFonts w:ascii="Arial" w:cs="Arial" w:eastAsia="Arial" w:hAnsi="Arial"/>
                <w:sz w:val="20"/>
                <w:szCs w:val="20"/>
                <w:color w:val="0000FF"/>
              </w:rPr>
              <w:t>By ARYA</w:t>
            </w:r>
          </w:p>
        </w:tc>
        <w:tc>
          <w:tcPr>
            <w:tcW w:w="0" w:type="dxa"/>
            <w:vAlign w:val="bottom"/>
          </w:tcPr>
          <w:p>
            <w:pPr>
              <w:spacing w:after="0"/>
              <w:rPr>
                <w:sz w:val="1"/>
                <w:szCs w:val="1"/>
                <w:color w:val="auto"/>
              </w:rPr>
            </w:pPr>
          </w:p>
        </w:tc>
      </w:tr>
      <w:tr>
        <w:trPr>
          <w:trHeight w:val="120"/>
        </w:trPr>
        <w:tc>
          <w:tcPr>
            <w:tcW w:w="2840" w:type="dxa"/>
            <w:vAlign w:val="bottom"/>
            <w:vMerge w:val="restart"/>
          </w:tcPr>
          <w:p>
            <w:pPr>
              <w:ind w:left="80"/>
              <w:spacing w:after="0"/>
              <w:rPr>
                <w:sz w:val="20"/>
                <w:szCs w:val="20"/>
                <w:color w:val="auto"/>
              </w:rPr>
            </w:pPr>
            <w:r>
              <w:rPr>
                <w:rFonts w:ascii="Arial" w:cs="Arial" w:eastAsia="Arial" w:hAnsi="Arial"/>
                <w:sz w:val="20"/>
                <w:szCs w:val="20"/>
                <w:color w:val="0000FF"/>
              </w:rPr>
              <w:t>Class B ordinary shares</w:t>
            </w:r>
          </w:p>
        </w:tc>
        <w:tc>
          <w:tcPr>
            <w:tcW w:w="100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89"/>
              <w:spacing w:after="0"/>
              <w:rPr>
                <w:sz w:val="20"/>
                <w:szCs w:val="20"/>
                <w:color w:val="auto"/>
              </w:rPr>
            </w:pPr>
            <w:r>
              <w:rPr>
                <w:rFonts w:ascii="Arial" w:cs="Arial" w:eastAsia="Arial" w:hAnsi="Arial"/>
                <w:sz w:val="13"/>
                <w:szCs w:val="13"/>
                <w:color w:val="008000"/>
              </w:rPr>
              <w:t>(1)</w:t>
            </w:r>
          </w:p>
        </w:tc>
        <w:tc>
          <w:tcPr>
            <w:tcW w:w="1680" w:type="dxa"/>
            <w:vAlign w:val="bottom"/>
            <w:vMerge w:val="continue"/>
          </w:tcPr>
          <w:p>
            <w:pPr>
              <w:spacing w:after="0"/>
              <w:rPr>
                <w:sz w:val="10"/>
                <w:szCs w:val="10"/>
                <w:color w:val="auto"/>
              </w:rPr>
            </w:pPr>
          </w:p>
        </w:tc>
        <w:tc>
          <w:tcPr>
            <w:tcW w:w="1160" w:type="dxa"/>
            <w:vAlign w:val="bottom"/>
            <w:vMerge w:val="restart"/>
          </w:tcPr>
          <w:p>
            <w:pPr>
              <w:ind w:left="160"/>
              <w:spacing w:after="0" w:line="240" w:lineRule="exact"/>
              <w:rPr>
                <w:sz w:val="20"/>
                <w:szCs w:val="20"/>
                <w:color w:val="auto"/>
              </w:rPr>
            </w:pPr>
            <w:r>
              <w:rPr>
                <w:rFonts w:ascii="Arial" w:cs="Arial" w:eastAsia="Arial" w:hAnsi="Arial"/>
                <w:sz w:val="20"/>
                <w:szCs w:val="20"/>
                <w:color w:val="0000FF"/>
                <w:w w:val="89"/>
              </w:rPr>
              <w:t>3,647,500</w:t>
            </w:r>
            <w:r>
              <w:rPr>
                <w:rFonts w:ascii="Arial" w:cs="Arial" w:eastAsia="Arial" w:hAnsi="Arial"/>
                <w:sz w:val="25"/>
                <w:szCs w:val="25"/>
                <w:color w:val="008000"/>
                <w:w w:val="89"/>
                <w:vertAlign w:val="superscript"/>
              </w:rPr>
              <w:t>(2)</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ind w:left="360"/>
              <w:spacing w:after="0" w:line="240" w:lineRule="exact"/>
              <w:rPr>
                <w:sz w:val="20"/>
                <w:szCs w:val="20"/>
                <w:color w:val="auto"/>
              </w:rPr>
            </w:pPr>
            <w:r>
              <w:rPr>
                <w:rFonts w:ascii="Arial" w:cs="Arial" w:eastAsia="Arial" w:hAnsi="Arial"/>
                <w:sz w:val="27"/>
                <w:szCs w:val="27"/>
                <w:color w:val="0000FF"/>
                <w:vertAlign w:val="subscript"/>
              </w:rPr>
              <w:t>I</w:t>
            </w:r>
            <w:r>
              <w:rPr>
                <w:rFonts w:ascii="Arial" w:cs="Arial" w:eastAsia="Arial" w:hAnsi="Arial"/>
                <w:sz w:val="11"/>
                <w:szCs w:val="11"/>
                <w:color w:val="008000"/>
              </w:rPr>
              <w:t>(3)</w:t>
            </w:r>
          </w:p>
        </w:tc>
        <w:tc>
          <w:tcPr>
            <w:tcW w:w="1420" w:type="dxa"/>
            <w:vAlign w:val="bottom"/>
            <w:vMerge w:val="restart"/>
          </w:tcPr>
          <w:p>
            <w:pPr>
              <w:ind w:left="80"/>
              <w:spacing w:after="0"/>
              <w:rPr>
                <w:sz w:val="20"/>
                <w:szCs w:val="20"/>
                <w:color w:val="auto"/>
              </w:rPr>
            </w:pPr>
            <w:r>
              <w:rPr>
                <w:rFonts w:ascii="Arial" w:cs="Arial" w:eastAsia="Arial" w:hAnsi="Arial"/>
                <w:sz w:val="20"/>
                <w:szCs w:val="20"/>
                <w:color w:val="0000FF"/>
              </w:rPr>
              <w:t>Sciences</w:t>
            </w:r>
          </w:p>
        </w:tc>
        <w:tc>
          <w:tcPr>
            <w:tcW w:w="0" w:type="dxa"/>
            <w:vAlign w:val="bottom"/>
          </w:tcPr>
          <w:p>
            <w:pPr>
              <w:spacing w:after="0"/>
              <w:rPr>
                <w:sz w:val="1"/>
                <w:szCs w:val="1"/>
                <w:color w:val="auto"/>
              </w:rPr>
            </w:pPr>
          </w:p>
        </w:tc>
      </w:tr>
      <w:tr>
        <w:trPr>
          <w:trHeight w:val="120"/>
        </w:trPr>
        <w:tc>
          <w:tcPr>
            <w:tcW w:w="28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80" w:type="dxa"/>
            <w:vAlign w:val="bottom"/>
            <w:vMerge w:val="restart"/>
          </w:tcPr>
          <w:p>
            <w:pPr>
              <w:ind w:left="640"/>
              <w:spacing w:after="0"/>
              <w:rPr>
                <w:sz w:val="20"/>
                <w:szCs w:val="20"/>
                <w:color w:val="auto"/>
              </w:rPr>
            </w:pPr>
            <w:r>
              <w:rPr>
                <w:rFonts w:ascii="Arial" w:cs="Arial" w:eastAsia="Arial" w:hAnsi="Arial"/>
                <w:sz w:val="20"/>
                <w:szCs w:val="20"/>
                <w:color w:val="0000FF"/>
              </w:rPr>
              <w:t>shares</w:t>
            </w:r>
          </w:p>
        </w:tc>
        <w:tc>
          <w:tcPr>
            <w:tcW w:w="11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20" w:type="dxa"/>
            <w:vAlign w:val="bottom"/>
            <w:vMerge w:val="restart"/>
          </w:tcPr>
          <w:p>
            <w:pPr>
              <w:ind w:left="80"/>
              <w:spacing w:after="0"/>
              <w:rPr>
                <w:sz w:val="20"/>
                <w:szCs w:val="20"/>
                <w:color w:val="auto"/>
              </w:rPr>
            </w:pPr>
            <w:r>
              <w:rPr>
                <w:rFonts w:ascii="Arial" w:cs="Arial" w:eastAsia="Arial" w:hAnsi="Arial"/>
                <w:sz w:val="20"/>
                <w:szCs w:val="20"/>
                <w:color w:val="0000FF"/>
              </w:rPr>
              <w:t>Holdings III</w:t>
            </w:r>
          </w:p>
        </w:tc>
        <w:tc>
          <w:tcPr>
            <w:tcW w:w="0" w:type="dxa"/>
            <w:vAlign w:val="bottom"/>
          </w:tcPr>
          <w:p>
            <w:pPr>
              <w:spacing w:after="0"/>
              <w:rPr>
                <w:sz w:val="1"/>
                <w:szCs w:val="1"/>
                <w:color w:val="auto"/>
              </w:rPr>
            </w:pPr>
          </w:p>
        </w:tc>
      </w:tr>
      <w:tr>
        <w:trPr>
          <w:trHeight w:val="120"/>
        </w:trPr>
        <w:tc>
          <w:tcPr>
            <w:tcW w:w="2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200" w:firstLine="5"/>
        <w:spacing w:after="0" w:line="238"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As described in the issuer's registration statement on Form S-1 (File No. 333-239986) under the heading "Description of Securities--Founder Shares", the shares of Class B ordinary shares, par value $0.0001 per share, will automatically convert into shares of Class A ordinary shares, par value $0.0001 per share, of the issuer at the time of the issuer's initial business combination on a one-for-one basis, subject to adjustment for stock splits, stock dividends, reorganizations, recapitalizations and the like, and certain anti-dilution rights and have no expiration date.</w:t>
      </w:r>
    </w:p>
    <w:p>
      <w:pPr>
        <w:spacing w:after="0" w:line="36" w:lineRule="exact"/>
        <w:rPr>
          <w:rFonts w:ascii="Arial" w:cs="Arial" w:eastAsia="Arial" w:hAnsi="Arial"/>
          <w:sz w:val="15"/>
          <w:szCs w:val="15"/>
          <w:color w:val="008000"/>
        </w:rPr>
      </w:pPr>
    </w:p>
    <w:p>
      <w:pPr>
        <w:ind w:left="40" w:right="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Class B ordinary shares owned by the reporting person include up to 487,500 shares that are subject to forfeiture to the extent the underwriters of the initial public offering of the issuer's securities do not exercise in full their over-allotment option as described in the issuer's registration statement.</w:t>
      </w:r>
    </w:p>
    <w:p>
      <w:pPr>
        <w:spacing w:after="0" w:line="26" w:lineRule="exact"/>
        <w:rPr>
          <w:rFonts w:ascii="Arial" w:cs="Arial" w:eastAsia="Arial" w:hAnsi="Arial"/>
          <w:sz w:val="15"/>
          <w:szCs w:val="15"/>
          <w:color w:val="008000"/>
        </w:rPr>
      </w:pPr>
    </w:p>
    <w:p>
      <w:pPr>
        <w:ind w:left="40" w:right="300" w:firstLine="5"/>
        <w:spacing w:after="0" w:line="267"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securities reported herein are held by ARYA Sciences Holdings III (the "Sponsor"). The Sponsor is governed by a board of directors consisting of two directors, the Reporting Person and Michael Altman. As such, the Reporting Person and Mr. Altman have voting and investment discretion with respect to the Class B ordinary shares held of record by the Sponsor and may be deemed to have shared beneficial ownership of the Class B ordinary shares held directly by the Sponsor.</w:t>
      </w:r>
    </w:p>
    <w:p>
      <w:pPr>
        <w:spacing w:after="0" w:line="8"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Samuel M. Cohn, as</w:t>
            </w:r>
          </w:p>
        </w:tc>
        <w:tc>
          <w:tcPr>
            <w:tcW w:w="3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08/06/2020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157"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POWER OF ATTORNEY</w:t>
      </w:r>
    </w:p>
    <w:p>
      <w:pPr>
        <w:spacing w:after="0" w:line="272" w:lineRule="exact"/>
        <w:rPr>
          <w:sz w:val="20"/>
          <w:szCs w:val="20"/>
          <w:color w:val="auto"/>
        </w:rPr>
      </w:pPr>
    </w:p>
    <w:p>
      <w:pPr>
        <w:ind w:right="460" w:firstLine="720"/>
        <w:spacing w:after="0" w:line="257" w:lineRule="auto"/>
        <w:rPr>
          <w:sz w:val="20"/>
          <w:szCs w:val="20"/>
          <w:color w:val="auto"/>
        </w:rPr>
      </w:pPr>
      <w:r>
        <w:rPr>
          <w:rFonts w:ascii="Arial" w:cs="Arial" w:eastAsia="Arial" w:hAnsi="Arial"/>
          <w:sz w:val="23"/>
          <w:szCs w:val="23"/>
          <w:color w:val="auto"/>
        </w:rPr>
        <w:t>KNOW ALL BY THESE PRESENTS, that the undersigned hereby makes, constitutes and appoints Michael Altman, Konstantin Poukalov and Samuel Cohn, acting singly and with full power of substitution or revocation, the undersigned’s true and lawful attorneys-in-fact, with full power and authority as hereinafter described on behalf of and in the name, place and stead of the undersigned to:</w:t>
      </w:r>
    </w:p>
    <w:p>
      <w:pPr>
        <w:spacing w:after="0" w:line="225" w:lineRule="exact"/>
        <w:rPr>
          <w:sz w:val="20"/>
          <w:szCs w:val="20"/>
          <w:color w:val="auto"/>
        </w:rPr>
      </w:pPr>
    </w:p>
    <w:p>
      <w:pPr>
        <w:ind w:left="1440" w:right="100" w:hanging="720"/>
        <w:spacing w:after="0" w:line="270" w:lineRule="auto"/>
        <w:tabs>
          <w:tab w:leader="none" w:pos="1440" w:val="left"/>
        </w:tabs>
        <w:numPr>
          <w:ilvl w:val="0"/>
          <w:numId w:val="6"/>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 director, director nominee, officer or beneficial owner of ordinary shares of ARYA Sciences Acquisition Corp III, a Cayman Islands exempted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any Schedule 13D or Schedule 13G, and any amendments, supplements or exhibits thereto (including any joint filing agreements) required to be filed by the undersigned under Section 13 of the Securities Exchange Act of 1934, as amended, and the rules promulgated thereunder (the “</w:t>
      </w:r>
      <w:r>
        <w:rPr>
          <w:rFonts w:ascii="Arial" w:cs="Arial" w:eastAsia="Arial" w:hAnsi="Arial"/>
          <w:sz w:val="19"/>
          <w:szCs w:val="19"/>
          <w:u w:val="single" w:color="auto"/>
          <w:color w:val="auto"/>
        </w:rPr>
        <w:t>Exchange Act</w:t>
      </w:r>
      <w:r>
        <w:rPr>
          <w:rFonts w:ascii="Arial" w:cs="Arial" w:eastAsia="Arial" w:hAnsi="Arial"/>
          <w:sz w:val="19"/>
          <w:szCs w:val="19"/>
          <w:color w:val="auto"/>
        </w:rPr>
        <w:t>”), and any Forms 3, 4, and 5 and any amendments, supplements or exhibits thereto required to be filed by the undersigned under Section 16(a) of the Exchange Act;</w:t>
      </w:r>
    </w:p>
    <w:p>
      <w:pPr>
        <w:spacing w:after="0" w:line="230" w:lineRule="exact"/>
        <w:rPr>
          <w:rFonts w:ascii="Arial" w:cs="Arial" w:eastAsia="Arial" w:hAnsi="Arial"/>
          <w:sz w:val="19"/>
          <w:szCs w:val="19"/>
          <w:color w:val="auto"/>
        </w:rPr>
      </w:pPr>
    </w:p>
    <w:p>
      <w:pPr>
        <w:ind w:left="1440" w:right="40" w:hanging="720"/>
        <w:spacing w:after="0" w:line="264" w:lineRule="auto"/>
        <w:tabs>
          <w:tab w:leader="none" w:pos="1440" w:val="left"/>
        </w:tabs>
        <w:numPr>
          <w:ilvl w:val="0"/>
          <w:numId w:val="6"/>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schedules or forms and timely file such forms with the United States Securities and Exchange Commission and any applicable stock exchange; and</w:t>
      </w:r>
    </w:p>
    <w:p>
      <w:pPr>
        <w:spacing w:after="0" w:line="231" w:lineRule="exact"/>
        <w:rPr>
          <w:rFonts w:ascii="Arial" w:cs="Arial" w:eastAsia="Arial" w:hAnsi="Arial"/>
          <w:sz w:val="20"/>
          <w:szCs w:val="20"/>
          <w:color w:val="auto"/>
        </w:rPr>
      </w:pPr>
    </w:p>
    <w:p>
      <w:pPr>
        <w:ind w:left="1440" w:hanging="720"/>
        <w:spacing w:after="0" w:line="257" w:lineRule="auto"/>
        <w:tabs>
          <w:tab w:leader="none" w:pos="1440" w:val="left"/>
        </w:tabs>
        <w:numPr>
          <w:ilvl w:val="0"/>
          <w:numId w:val="6"/>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232" w:lineRule="exact"/>
        <w:rPr>
          <w:sz w:val="20"/>
          <w:szCs w:val="20"/>
          <w:color w:val="auto"/>
        </w:rPr>
      </w:pPr>
    </w:p>
    <w:p>
      <w:pPr>
        <w:ind w:right="40" w:firstLine="1441"/>
        <w:spacing w:after="0" w:line="249" w:lineRule="auto"/>
        <w:rPr>
          <w:sz w:val="20"/>
          <w:szCs w:val="20"/>
          <w:color w:val="auto"/>
        </w:rPr>
      </w:pPr>
      <w:r>
        <w:rPr>
          <w:rFonts w:ascii="Arial" w:cs="Arial" w:eastAsia="Arial" w:hAnsi="Arial"/>
          <w:sz w:val="23"/>
          <w:szCs w:val="23"/>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or any liability for the failure to comply with, Section 13 and/or Section 16 of the Exchange Act.</w:t>
      </w:r>
    </w:p>
    <w:p>
      <w:pPr>
        <w:spacing w:after="0" w:line="232" w:lineRule="exact"/>
        <w:rPr>
          <w:sz w:val="20"/>
          <w:szCs w:val="20"/>
          <w:color w:val="auto"/>
        </w:rPr>
      </w:pPr>
    </w:p>
    <w:p>
      <w:pPr>
        <w:jc w:val="both"/>
        <w:ind w:right="60" w:firstLine="720"/>
        <w:spacing w:after="0" w:line="281" w:lineRule="auto"/>
        <w:rPr>
          <w:sz w:val="20"/>
          <w:szCs w:val="20"/>
          <w:color w:val="auto"/>
        </w:rPr>
      </w:pPr>
      <w:r>
        <w:rPr>
          <w:rFonts w:ascii="Arial" w:cs="Arial" w:eastAsia="Arial" w:hAnsi="Arial"/>
          <w:sz w:val="22"/>
          <w:szCs w:val="22"/>
          <w:color w:val="auto"/>
        </w:rPr>
        <w:t>This Power of Attorney shall remain in full force and effect until the undersigned is no longer required to file reports or schedules under Section 13 or Section 16 of the Exchange Act with respect to the Company, unless earlier revoked by the undersigned in a signed writing delivered to the foregoing attorneys-in-fact.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9469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288" w:right="479" w:bottom="1440" w:gutter="0" w:footer="0" w:header="0"/>
        </w:sectPr>
      </w:pPr>
    </w:p>
    <w:bookmarkStart w:id="2" w:name="page3"/>
    <w:bookmarkEnd w:id="2"/>
    <w:p>
      <w:pPr>
        <w:ind w:firstLine="720"/>
        <w:spacing w:after="0" w:line="261" w:lineRule="auto"/>
        <w:rPr>
          <w:sz w:val="20"/>
          <w:szCs w:val="20"/>
          <w:color w:val="auto"/>
        </w:rPr>
      </w:pPr>
      <w:r>
        <w:rPr>
          <w:rFonts w:ascii="Arial" w:cs="Arial" w:eastAsia="Arial" w:hAnsi="Arial"/>
          <w:sz w:val="24"/>
          <w:szCs w:val="24"/>
          <w:color w:val="auto"/>
        </w:rPr>
        <w:t>IN WITNESS WHEREOF, the undersigned has caused this Power of Attorney to be executed as of this 6th day of August, 2020.</w:t>
      </w:r>
    </w:p>
    <w:p>
      <w:pPr>
        <w:spacing w:after="0" w:line="218" w:lineRule="exact"/>
        <w:rPr>
          <w:sz w:val="20"/>
          <w:szCs w:val="20"/>
          <w:color w:val="auto"/>
        </w:rPr>
      </w:pPr>
    </w:p>
    <w:p>
      <w:pPr>
        <w:ind w:left="5480"/>
        <w:spacing w:after="0"/>
        <w:tabs>
          <w:tab w:leader="none" w:pos="61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16510</wp:posOffset>
            </wp:positionV>
            <wp:extent cx="187706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7060" cy="19050"/>
                    </a:xfrm>
                    <a:prstGeom prst="rect">
                      <a:avLst/>
                    </a:prstGeom>
                    <a:noFill/>
                  </pic:spPr>
                </pic:pic>
              </a:graphicData>
            </a:graphic>
          </wp:anchor>
        </w:drawing>
      </w:r>
    </w:p>
    <w:p>
      <w:pPr>
        <w:spacing w:after="0" w:line="20"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Name:Adam Stone</w:t>
      </w:r>
    </w:p>
    <w:p>
      <w:pPr>
        <w:spacing w:after="0" w:line="2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Title:  Chief Executive Officer</w:t>
      </w:r>
    </w:p>
    <w:p>
      <w:pPr>
        <w:spacing w:after="0" w:line="200" w:lineRule="exact"/>
        <w:rPr>
          <w:sz w:val="20"/>
          <w:szCs w:val="20"/>
          <w:color w:val="auto"/>
        </w:rPr>
      </w:pPr>
    </w:p>
    <w:p>
      <w:pPr>
        <w:spacing w:after="0" w:line="327" w:lineRule="exact"/>
        <w:rPr>
          <w:sz w:val="20"/>
          <w:szCs w:val="20"/>
          <w:color w:val="auto"/>
        </w:rPr>
      </w:pPr>
    </w:p>
    <w:p>
      <w:pPr>
        <w:jc w:val="center"/>
        <w:ind w:right="-299"/>
        <w:spacing w:after="0"/>
        <w:rPr>
          <w:sz w:val="20"/>
          <w:szCs w:val="20"/>
          <w:color w:val="auto"/>
        </w:rPr>
      </w:pPr>
      <w:r>
        <w:rPr>
          <w:rFonts w:ascii="Arial" w:cs="Arial" w:eastAsia="Arial" w:hAnsi="Arial"/>
          <w:sz w:val="24"/>
          <w:szCs w:val="24"/>
          <w:color w:val="auto"/>
        </w:rPr>
        <w:t>[</w:t>
      </w:r>
      <w:r>
        <w:rPr>
          <w:rFonts w:ascii="Arial" w:cs="Arial" w:eastAsia="Arial" w:hAnsi="Arial"/>
          <w:sz w:val="24"/>
          <w:szCs w:val="24"/>
          <w:i w:val="1"/>
          <w:iCs w:val="1"/>
          <w:color w:val="auto"/>
        </w:rPr>
        <w:t>Signature Page to the Power of Attorney</w:t>
      </w:r>
      <w:r>
        <w:rPr>
          <w:rFonts w:ascii="Arial" w:cs="Arial" w:eastAsia="Arial" w:hAnsi="Arial"/>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694690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640"/>
      </w:cols>
      <w:pgMar w:left="480" w:top="115"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727440" TargetMode="External"/><Relationship Id="rId11"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2020-08-06T20:42:32Z</dcterms:created>
  <dcterms:modified xsi:type="dcterms:W3CDTF">2020-08-06T20:42:32Z</dcterms:modified>
</cp:coreProperties>
</file>