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26, 2026</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February 26, 2026, Nautilus Biotechnology, Inc. (the “Company”) issued a press release reporting its financial results for the quarter and fiscal year ended December 31, 2025. A copy of the press release is furnished herewith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dated February 26, 2026.</w:t>
      </w:r>
    </w:p>
    <w:p>
      <w:pPr>
        <w:spacing w:after="0" w:line="27" w:lineRule="exact"/>
        <w:rPr>
          <w:sz w:val="20"/>
          <w:szCs w:val="20"/>
          <w:color w:val="auto"/>
        </w:rPr>
      </w:pP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Reports Fourth Quarter and Fiscal Year 2025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WA, </w:t>
      </w:r>
      <w:r>
        <w:rPr>
          <w:rFonts w:ascii="Times New Roman" w:cs="Times New Roman" w:eastAsia="Times New Roman" w:hAnsi="Times New Roman"/>
          <w:sz w:val="18"/>
          <w:szCs w:val="18"/>
          <w:color w:val="auto"/>
        </w:rPr>
        <w:t>February 26, 2026 – Nautilus Biotechnology, Inc. (NASDAQ: NAUT), a company pioneering a single-molecule proteome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today reported financial results for the fourth quarter and fiscal year ended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and Fiscal Year 2025 Business Highlights</w:t>
      </w:r>
    </w:p>
    <w:p>
      <w:pPr>
        <w:spacing w:after="0" w:line="256"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was made in processing and analyzing Tau proteoform samples from collaborators to support platform validation and expanding scientific publications. Externally generated Tau data measured on the Nautilus Voyager™ platform was presented at the World HUPO conference, and collaborators are advancing results toward submission for publication.</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progress was made in the development of a new broadscale assay format including improvements designed to increase probe compatibility, performance, and long-term scalability.</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our Iterative Mapping Early Access Program in January 2026, beginning with Tau proteoforms, enabling select partners to engage with the Nautilus Voyager™ platform and generate data in support of research activities. Initial customer response has been encouraging across academic, nonprofit, and biopharma organizations.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collaboration supported by a research grant from The Michael J. Fox Foundation, in partnership with Weill Cornell Medicine–Qatar, focused on developing proteoform-level assay for alpha-synuclein in Parkinson’s disease research, expanding the Nautilus Voyager™ platform’s proteoform roadmap beyond Tau.</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Unveiled Nautilus Voyager™ platform at US HUPO conference to collaborators and KOLs in support of commercial launch in late 2026.</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Q4, Nautilus maintained disciplined execution and delivered meaningful progress across our platform development, strategic collaborations, and early commercial engagement aligned with our path toward commercialization in late 2026,” said Sujal Patel, CEO of Nautilus Biotechnology. “Our near-term focus remains on the successful expansion of our Early Access Program, beginning with Tau proteoforms and broadening over time, while continuing to advance our broadscale capabilities. These milestones are important steps toward enabling customers to experience the value of our technology and progressing toward full commercial availability.”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and Fiscal Year 2025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were $15.4 million for the fourth quarter of 2025, a $4.6 million or 23% decrease compared to $20.0 million for the corresponding prior year period. Operating expenses were $66.8 million for the year ended December 31, 2025, a $14.6 million or 18% decrease from $81.5 million for the year ended December 31, 2024. The decrease in operating expenses is attributable to decreased salaries, related benefits and stock-based compensation, operating efficiencies, lower development-related costs, and decrease in in-process research and development expense.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was $13.8 million for the fourth quarter of 2025, as compared to the net loss of $17.6 million for the corresponding prior year period. Net loss was $59.0 million for the year ended December 31, 2025, as compared to the net loss of $70.8 million for the year ended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$156.1 million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2026 Outlook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2026, we do not anticipate material revenue from our Early Access Program engagements. We expect operating expenses to increase by approximately 15–20% year over year compared to 2025. Based on our cash, cash equivalents, and investments totaling $156.1 million as of December 31, 2025, we believe we have sufficient resources to fund operations through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Nautilus will host a conference call to discuss the fourth quarter and fiscal year 2025 financial results, business developments and outlook before market open on Thursday, February 26, 2026, at 5:30 AM Pacific Time / 8:30 AM Eastern Time. Live audio of the webcast will be available on the “Investors” section of the company website at: </w:t>
      </w:r>
      <w:r>
        <w:rPr>
          <w:rFonts w:ascii="Times New Roman" w:cs="Times New Roman" w:eastAsia="Times New Roman" w:hAnsi="Times New Roman"/>
          <w:sz w:val="18"/>
          <w:szCs w:val="18"/>
          <w:u w:val="single" w:color="auto"/>
          <w:color w:val="0563C1"/>
        </w:rPr>
        <w:t>www.nautilus.bio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operating expenses and cash runway; expectations with respect to any revenue timing or projections; expectations with respect to the development required for and the timing of the launch of Nautilus’ product platform and full commercial availability; the functionality and performance of Nautilus’ product platform, its potential impact on providing proteome or proteoform access, pharmaceutical development and drug discovery, expanding research horizons, and enabling scientific explorations and discovery; expectations regarding platform specifications required by potential customers and partners and the timeline for adoption of Nautilus’ platform by researchers;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to be filed for the year ended December 31, 2025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144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December 31, 2025 and December 31, 2024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132,826</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3"/>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0" w:type="dxa"/>
            <w:vAlign w:val="bottom"/>
          </w:tcPr>
          <w:p>
            <w:pPr>
              <w:spacing w:after="0"/>
              <w:rPr>
                <w:sz w:val="1"/>
                <w:szCs w:val="1"/>
                <w:color w:val="auto"/>
              </w:rPr>
            </w:pPr>
          </w:p>
        </w:tc>
      </w:tr>
      <w:tr>
        <w:trPr>
          <w:trHeight w:val="23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40" w:top="140"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and Year Ended December 31, 2025 and 2024 (Unaudited)</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16"/>
                <w:szCs w:val="16"/>
                <w:color w:val="auto"/>
              </w:rPr>
            </w:pPr>
          </w:p>
        </w:tc>
        <w:tc>
          <w:tcPr>
            <w:tcW w:w="28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0" w:type="dxa"/>
            <w:vAlign w:val="bottom"/>
          </w:tcPr>
          <w:p>
            <w:pPr>
              <w:spacing w:after="0"/>
              <w:rPr>
                <w:sz w:val="1"/>
                <w:szCs w:val="1"/>
                <w:color w:val="auto"/>
              </w:rPr>
            </w:pPr>
          </w:p>
        </w:tc>
      </w:tr>
      <w:tr>
        <w:trPr>
          <w:trHeight w:val="223"/>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60" w:type="dxa"/>
            <w:vAlign w:val="bottom"/>
            <w:vMerge w:val="continue"/>
          </w:tcPr>
          <w:p>
            <w:pPr>
              <w:spacing w:after="0"/>
              <w:rPr>
                <w:sz w:val="10"/>
                <w:szCs w:val="10"/>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0"/>
                <w:szCs w:val="10"/>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3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126,369,335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125,796,018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126,256,583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125,426,509</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40" w:top="14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 Ended December 31, 2025 and 2024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4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(accretion) of premiums (discounts) on securities,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(59,145)</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155,410</w:t>
            </w: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securities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Cash paid in connection with asset acquisition</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66,250</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00"/>
      </w:cols>
      <w:pgMar w:left="340" w:top="1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2026-02-26T05:22:50Z</dcterms:created>
  <dcterms:modified xsi:type="dcterms:W3CDTF">2026-02-26T05:22:50Z</dcterms:modified>
</cp:coreProperties>
</file>