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2637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6377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tcPr>
          <w:p>
            <w:pPr>
              <w:spacing w:after="0" w:line="181" w:lineRule="exact"/>
              <w:rPr>
                <w:rFonts w:ascii="Times New Roman" w:cs="Times New Roman" w:eastAsia="Times New Roman" w:hAnsi="Times New Roman"/>
                <w:sz w:val="16"/>
                <w:szCs w:val="16"/>
                <w:color w:val="0000EE"/>
                <w:w w:val="94"/>
              </w:rPr>
            </w:pPr>
            <w:hyperlink r:id="rId11">
              <w:r>
                <w:rPr>
                  <w:rFonts w:ascii="Times New Roman" w:cs="Times New Roman" w:eastAsia="Times New Roman" w:hAnsi="Times New Roman"/>
                  <w:sz w:val="16"/>
                  <w:szCs w:val="16"/>
                  <w:color w:val="0000EE"/>
                  <w:w w:val="94"/>
                </w:rPr>
                <w:t>Weld Gwen E</w:t>
              </w:r>
            </w:hyperlink>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0000EE"/>
            </w:tcBorders>
            <w:vMerge w:val="continue"/>
          </w:tcPr>
          <w:p>
            <w:pPr>
              <w:spacing w:after="0"/>
              <w:rPr>
                <w:sz w:val="9"/>
                <w:szCs w:val="9"/>
                <w:color w:val="auto"/>
              </w:rPr>
            </w:pPr>
          </w:p>
        </w:tc>
        <w:tc>
          <w:tcPr>
            <w:tcW w:w="8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3"/>
                <w:szCs w:val="13"/>
                <w:color w:val="0000FF"/>
              </w:rPr>
              <w:t>04/11/2022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tcPr>
          <w:p>
            <w:pPr>
              <w:spacing w:after="0"/>
              <w:rPr>
                <w:sz w:val="20"/>
                <w:szCs w:val="20"/>
                <w:color w:val="auto"/>
              </w:rPr>
            </w:pPr>
            <w:r>
              <w:rPr>
                <w:rFonts w:ascii="Arial" w:cs="Arial" w:eastAsia="Arial" w:hAnsi="Arial"/>
                <w:sz w:val="10"/>
                <w:szCs w:val="10"/>
                <w:color w:val="auto"/>
              </w:rPr>
              <w:t>(Last)</w:t>
            </w:r>
          </w:p>
        </w:tc>
        <w:tc>
          <w:tcPr>
            <w:tcW w:w="1040" w:type="dxa"/>
            <w:vAlign w:val="bottom"/>
          </w:tcPr>
          <w:p>
            <w:pPr>
              <w:ind w:left="8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15"/>
          <w:szCs w:val="15"/>
          <w:color w:val="0000EE"/>
        </w:rPr>
      </w:pPr>
      <w:hyperlink r:id="rId12">
        <w:r>
          <w:rPr>
            <w:rFonts w:ascii="Times New Roman" w:cs="Times New Roman" w:eastAsia="Times New Roman" w:hAnsi="Times New Roman"/>
            <w:sz w:val="15"/>
            <w:szCs w:val="15"/>
            <w:u w:val="single" w:color="auto"/>
            <w:color w:val="0000EE"/>
          </w:rPr>
          <w:t>Nautilus Biotechnology, Inc.</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NAUT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p>
      <w:pPr>
        <w:spacing w:after="0" w:line="361"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p>
      <w:pPr>
        <w:spacing w:after="0" w:line="110"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NAUTILUS BIOTECHNOLOGY, INC.</w:t>
      </w:r>
    </w:p>
    <w:p>
      <w:pPr>
        <w:spacing w:after="0" w:line="5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2701 EASTLAKE AVENUE EAST</w:t>
      </w:r>
    </w:p>
    <w:p>
      <w:pPr>
        <w:spacing w:after="0" w:line="220" w:lineRule="exact"/>
        <w:rPr>
          <w:sz w:val="24"/>
          <w:szCs w:val="24"/>
          <w:color w:val="auto"/>
        </w:rPr>
      </w:pPr>
    </w:p>
    <w:p>
      <w:pPr>
        <w:ind w:left="60"/>
        <w:spacing w:after="0"/>
        <w:rPr>
          <w:sz w:val="20"/>
          <w:szCs w:val="20"/>
          <w:color w:val="auto"/>
        </w:rPr>
      </w:pPr>
      <w:r>
        <w:rPr>
          <w:rFonts w:ascii="Arial" w:cs="Arial" w:eastAsia="Arial" w:hAnsi="Arial"/>
          <w:sz w:val="10"/>
          <w:szCs w:val="10"/>
          <w:color w:val="auto"/>
        </w:rPr>
        <w:t>(Street)</w:t>
      </w:r>
    </w:p>
    <w:p>
      <w:pPr>
        <w:spacing w:after="0" w:line="26" w:lineRule="exact"/>
        <w:rPr>
          <w:sz w:val="24"/>
          <w:szCs w:val="24"/>
          <w:color w:val="auto"/>
        </w:rPr>
      </w:pPr>
    </w:p>
    <w:p>
      <w:pPr>
        <w:ind w:left="100"/>
        <w:spacing w:after="0"/>
        <w:tabs>
          <w:tab w:leader="none" w:pos="1120" w:val="left"/>
          <w:tab w:leader="none" w:pos="2180" w:val="left"/>
        </w:tabs>
        <w:rPr>
          <w:sz w:val="20"/>
          <w:szCs w:val="20"/>
          <w:color w:val="auto"/>
        </w:rPr>
      </w:pPr>
      <w:r>
        <w:rPr>
          <w:rFonts w:ascii="Times New Roman" w:cs="Times New Roman" w:eastAsia="Times New Roman" w:hAnsi="Times New Roman"/>
          <w:sz w:val="13"/>
          <w:szCs w:val="13"/>
          <w:color w:val="0000FF"/>
        </w:rPr>
        <w:t>SEATTLE</w:t>
      </w:r>
      <w:r>
        <w:rPr>
          <w:sz w:val="20"/>
          <w:szCs w:val="20"/>
          <w:color w:val="auto"/>
        </w:rPr>
        <w:tab/>
      </w:r>
      <w:r>
        <w:rPr>
          <w:rFonts w:ascii="Times New Roman" w:cs="Times New Roman" w:eastAsia="Times New Roman" w:hAnsi="Times New Roman"/>
          <w:sz w:val="13"/>
          <w:szCs w:val="13"/>
          <w:color w:val="0000FF"/>
        </w:rPr>
        <w:t>WA</w:t>
      </w:r>
      <w:r>
        <w:rPr>
          <w:sz w:val="20"/>
          <w:szCs w:val="20"/>
          <w:color w:val="auto"/>
        </w:rPr>
        <w:tab/>
      </w:r>
      <w:r>
        <w:rPr>
          <w:rFonts w:ascii="Times New Roman" w:cs="Times New Roman" w:eastAsia="Times New Roman" w:hAnsi="Times New Roman"/>
          <w:sz w:val="12"/>
          <w:szCs w:val="12"/>
          <w:color w:val="0000FF"/>
        </w:rPr>
        <w:t>98102</w:t>
      </w:r>
    </w:p>
    <w:p>
      <w:pPr>
        <w:spacing w:after="0" w:line="20" w:lineRule="exact"/>
        <w:rPr>
          <w:sz w:val="24"/>
          <w:szCs w:val="24"/>
          <w:color w:val="auto"/>
        </w:rPr>
      </w:pPr>
      <w:r>
        <w:rPr>
          <w:sz w:val="24"/>
          <w:szCs w:val="24"/>
          <w:color w:val="auto"/>
        </w:rPr>
        <w:br w:type="column"/>
      </w:r>
    </w:p>
    <w:p>
      <w:pPr>
        <w:ind w:left="5" w:right="940" w:hanging="5"/>
        <w:spacing w:after="0" w:line="245"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5"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9" w:lineRule="exact"/>
        <w:rPr>
          <w:sz w:val="24"/>
          <w:szCs w:val="24"/>
          <w:color w:val="auto"/>
        </w:rPr>
      </w:pP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68" w:lineRule="exact"/>
        <w:rPr>
          <w:sz w:val="24"/>
          <w:szCs w:val="24"/>
          <w:color w:val="auto"/>
        </w:rPr>
      </w:pPr>
    </w:p>
    <w:p>
      <w:pPr>
        <w:ind w:left="1065"/>
        <w:spacing w:after="0"/>
        <w:rPr>
          <w:sz w:val="20"/>
          <w:szCs w:val="20"/>
          <w:color w:val="auto"/>
        </w:rPr>
      </w:pPr>
      <w:r>
        <w:rPr>
          <w:rFonts w:ascii="Times New Roman" w:cs="Times New Roman" w:eastAsia="Times New Roman" w:hAnsi="Times New Roman"/>
          <w:sz w:val="13"/>
          <w:szCs w:val="13"/>
          <w:color w:val="0000FF"/>
        </w:rPr>
        <w:t>Chief People Officer</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55"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45"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50"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7"/>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49"/>
        </w:trPr>
        <w:tc>
          <w:tcPr>
            <w:tcW w:w="2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3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3"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6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1"/>
                <w:szCs w:val="11"/>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80"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No securities are beneficially owned.</w:t>
      </w:r>
    </w:p>
    <w:p>
      <w:pPr>
        <w:sectPr>
          <w:pgSz w:w="11900" w:h="16838" w:orient="portrait"/>
          <w:cols w:equalWidth="0" w:num="1">
            <w:col w:w="11020"/>
          </w:cols>
          <w:pgMar w:left="440" w:top="199" w:right="439" w:bottom="1440" w:gutter="0" w:footer="0" w:header="0"/>
          <w:type w:val="continuous"/>
        </w:sectPr>
      </w:pPr>
    </w:p>
    <w:p>
      <w:pPr>
        <w:spacing w:after="0" w:line="56"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2"/>
          <w:szCs w:val="12"/>
          <w:color w:val="0000FF"/>
        </w:rPr>
        <w:t>/s/ Matthew B. Murphy,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1270</wp:posOffset>
            </wp:positionV>
            <wp:extent cx="131445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14450" cy="6350"/>
                    </a:xfrm>
                    <a:prstGeom prst="rect">
                      <a:avLst/>
                    </a:prstGeom>
                    <a:noFill/>
                  </pic:spPr>
                </pic:pic>
              </a:graphicData>
            </a:graphic>
          </wp:anchor>
        </w:drawing>
      </w:r>
    </w:p>
    <w:p>
      <w:pPr>
        <w:spacing w:after="0" w:line="10"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14224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2240" cy="6350"/>
                    </a:xfrm>
                    <a:prstGeom prst="rect">
                      <a:avLst/>
                    </a:prstGeom>
                    <a:noFill/>
                  </pic:spPr>
                </pic:pic>
              </a:graphicData>
            </a:graphic>
          </wp:anchor>
        </w:drawing>
      </w:r>
    </w:p>
    <w:p>
      <w:pPr>
        <w:spacing w:after="0" w:line="22"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2880" w:hanging="10"/>
        <w:spacing w:after="0" w:line="348"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04/13/2022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110"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680" w:space="140"/>
            <w:col w:w="220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Exhibit 24</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as a Section 16 reporting person of Nautilus Biotechnology, Inc. (the Company), hereby constitutes and appoints Sujal Patel,</w:t>
      </w:r>
    </w:p>
    <w:p>
      <w:pPr>
        <w:spacing w:after="0" w:line="153" w:lineRule="exact"/>
        <w:rPr>
          <w:sz w:val="20"/>
          <w:szCs w:val="20"/>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complete and execute Forms 3, 4 and 5 and other forms and all amendments thereto as such attorneys-in-fact shall in their discretion det</w:t>
      </w:r>
    </w:p>
    <w:p>
      <w:pPr>
        <w:spacing w:after="0" w:line="152" w:lineRule="exact"/>
        <w:rPr>
          <w:rFonts w:ascii="Courier New" w:cs="Courier New" w:eastAsia="Courier New" w:hAnsi="Courier New"/>
          <w:sz w:val="13"/>
          <w:szCs w:val="13"/>
          <w:color w:val="auto"/>
        </w:rPr>
      </w:pPr>
    </w:p>
    <w:p>
      <w:pPr>
        <w:jc w:val="both"/>
        <w:spacing w:after="0" w:line="529" w:lineRule="auto"/>
        <w:tabs>
          <w:tab w:leader="none" w:pos="468"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all acts necessary in order to file such forms with the Securities and Exchange Commission, any securities exchange or national assoc The undersigned hereby ratifies and confirms all that said attorneys in-fact and agent shall do or cause to be done by virtue hereof. The und This Power of Attorney shall remain in full force and effect until the undersigned is no longer required to file Forms 3, 4 and 5 with respect IN WITNESS WHEREOF, the undersigned has caused this Power of Attorney to be executed as of this 11th day of April, 2022.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Signature:/s/ Gwen Weld</w:t>
      </w:r>
    </w:p>
    <w:p>
      <w:pPr>
        <w:spacing w:after="0" w:line="153"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3"/>
          <w:szCs w:val="13"/>
          <w:color w:val="auto"/>
        </w:rPr>
        <w:t>Print Name:</w:t>
      </w:r>
      <w:r>
        <w:rPr>
          <w:sz w:val="20"/>
          <w:szCs w:val="20"/>
          <w:color w:val="auto"/>
        </w:rPr>
        <w:tab/>
      </w:r>
      <w:r>
        <w:rPr>
          <w:rFonts w:ascii="Courier New" w:cs="Courier New" w:eastAsia="Courier New" w:hAnsi="Courier New"/>
          <w:sz w:val="12"/>
          <w:szCs w:val="12"/>
          <w:color w:val="auto"/>
        </w:rPr>
        <w:t>Gwen Weld</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378831" TargetMode="External"/><Relationship Id="rId12"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2022-04-13T15:56:05Z</dcterms:created>
  <dcterms:modified xsi:type="dcterms:W3CDTF">2022-04-13T15:56:05Z</dcterms:modified>
</cp:coreProperties>
</file>