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9"/>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SEC Form 3</w:t>
            </w:r>
          </w:p>
        </w:tc>
        <w:tc>
          <w:tcPr>
            <w:tcW w:w="6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200" w:type="dxa"/>
            <w:vAlign w:val="bottom"/>
          </w:tcPr>
          <w:p>
            <w:pPr>
              <w:ind w:left="760"/>
              <w:spacing w:after="0" w:line="201" w:lineRule="exact"/>
              <w:rPr>
                <w:sz w:val="20"/>
                <w:szCs w:val="20"/>
                <w:color w:val="auto"/>
              </w:rPr>
            </w:pPr>
            <w:r>
              <w:rPr>
                <w:rFonts w:ascii="Arial" w:cs="Arial" w:eastAsia="Arial" w:hAnsi="Arial"/>
                <w:sz w:val="18"/>
                <w:szCs w:val="18"/>
                <w:b w:val="1"/>
                <w:bCs w:val="1"/>
                <w:color w:val="auto"/>
              </w:rPr>
              <w:t>FORM 3</w:t>
            </w:r>
          </w:p>
        </w:tc>
        <w:tc>
          <w:tcPr>
            <w:tcW w:w="6660" w:type="dxa"/>
            <w:vAlign w:val="bottom"/>
          </w:tcPr>
          <w:p>
            <w:pPr>
              <w:jc w:val="center"/>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20" w:type="dxa"/>
            <w:vAlign w:val="bottom"/>
            <w:tcBorders>
              <w:bottom w:val="single" w:sz="8" w:color="808080"/>
            </w:tcBorders>
          </w:tcPr>
          <w:p>
            <w:pPr>
              <w:spacing w:after="0"/>
              <w:rPr>
                <w:sz w:val="17"/>
                <w:szCs w:val="17"/>
                <w:color w:val="auto"/>
              </w:rPr>
            </w:pPr>
          </w:p>
        </w:tc>
        <w:tc>
          <w:tcPr>
            <w:tcW w:w="1580" w:type="dxa"/>
            <w:vAlign w:val="bottom"/>
            <w:tcBorders>
              <w:bottom w:val="single" w:sz="8" w:color="808080"/>
            </w:tcBorders>
          </w:tcPr>
          <w:p>
            <w:pPr>
              <w:spacing w:after="0"/>
              <w:rPr>
                <w:sz w:val="17"/>
                <w:szCs w:val="17"/>
                <w:color w:val="auto"/>
              </w:rPr>
            </w:pPr>
          </w:p>
        </w:tc>
        <w:tc>
          <w:tcPr>
            <w:tcW w:w="4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12" w:lineRule="exact"/>
              <w:rPr>
                <w:sz w:val="20"/>
                <w:szCs w:val="20"/>
                <w:color w:val="auto"/>
              </w:rPr>
            </w:pPr>
            <w:r>
              <w:rPr>
                <w:rFonts w:ascii="Arial" w:cs="Arial" w:eastAsia="Arial" w:hAnsi="Arial"/>
                <w:sz w:val="10"/>
                <w:szCs w:val="10"/>
                <w:color w:val="auto"/>
                <w:w w:val="99"/>
              </w:rPr>
              <w:t>Washington, D.C. 20549</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
        </w:trPr>
        <w:tc>
          <w:tcPr>
            <w:tcW w:w="2200" w:type="dxa"/>
            <w:vAlign w:val="bottom"/>
          </w:tcPr>
          <w:p>
            <w:pPr>
              <w:spacing w:after="0"/>
              <w:rPr>
                <w:sz w:val="6"/>
                <w:szCs w:val="6"/>
                <w:color w:val="auto"/>
              </w:rPr>
            </w:pPr>
          </w:p>
        </w:tc>
        <w:tc>
          <w:tcPr>
            <w:tcW w:w="666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580" w:type="dxa"/>
            <w:vAlign w:val="bottom"/>
            <w:vMerge w:val="restart"/>
          </w:tcPr>
          <w:p>
            <w:pPr>
              <w:ind w:left="520"/>
              <w:spacing w:after="0"/>
              <w:rPr>
                <w:sz w:val="20"/>
                <w:szCs w:val="20"/>
                <w:color w:val="auto"/>
              </w:rPr>
            </w:pPr>
            <w:r>
              <w:rPr>
                <w:rFonts w:ascii="Arial" w:cs="Arial" w:eastAsia="Arial" w:hAnsi="Arial"/>
                <w:sz w:val="13"/>
                <w:szCs w:val="13"/>
                <w:color w:val="auto"/>
              </w:rPr>
              <w:t>OMB APPROVAL</w:t>
            </w: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200" w:type="dxa"/>
            <w:vAlign w:val="bottom"/>
          </w:tcPr>
          <w:p>
            <w:pPr>
              <w:spacing w:after="0"/>
              <w:rPr>
                <w:sz w:val="7"/>
                <w:szCs w:val="7"/>
                <w:color w:val="auto"/>
              </w:rPr>
            </w:pPr>
          </w:p>
        </w:tc>
        <w:tc>
          <w:tcPr>
            <w:tcW w:w="6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40" w:lineRule="exact"/>
              <w:rPr>
                <w:sz w:val="20"/>
                <w:szCs w:val="20"/>
                <w:color w:val="auto"/>
              </w:rPr>
            </w:pPr>
            <w:r>
              <w:rPr>
                <w:rFonts w:ascii="Arial" w:cs="Arial" w:eastAsia="Arial" w:hAnsi="Arial"/>
                <w:sz w:val="16"/>
                <w:szCs w:val="16"/>
                <w:b w:val="1"/>
                <w:bCs w:val="1"/>
                <w:color w:val="auto"/>
                <w:w w:val="99"/>
              </w:rPr>
              <w:t>INITIAL STATEMENT OF BENEFICIAL OWNERSHIP OF SECURITIES</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2200" w:type="dxa"/>
            <w:vAlign w:val="bottom"/>
          </w:tcPr>
          <w:p>
            <w:pPr>
              <w:spacing w:after="0"/>
              <w:rPr>
                <w:sz w:val="8"/>
                <w:szCs w:val="8"/>
                <w:color w:val="auto"/>
              </w:rPr>
            </w:pPr>
          </w:p>
        </w:tc>
        <w:tc>
          <w:tcPr>
            <w:tcW w:w="66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
        </w:trPr>
        <w:tc>
          <w:tcPr>
            <w:tcW w:w="220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vMerge w:val="restart"/>
          </w:tcPr>
          <w:p>
            <w:pPr>
              <w:jc w:val="center"/>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200" w:type="dxa"/>
            <w:vAlign w:val="bottom"/>
          </w:tcPr>
          <w:p>
            <w:pPr>
              <w:spacing w:after="0"/>
              <w:rPr>
                <w:sz w:val="2"/>
                <w:szCs w:val="2"/>
                <w:color w:val="auto"/>
              </w:rPr>
            </w:pPr>
          </w:p>
        </w:tc>
        <w:tc>
          <w:tcPr>
            <w:tcW w:w="666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6934200</wp:posOffset>
            </wp:positionH>
            <wp:positionV relativeFrom="paragraph">
              <wp:posOffset>-488950</wp:posOffset>
            </wp:positionV>
            <wp:extent cx="50800" cy="502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0800" cy="502285"/>
                    </a:xfrm>
                    <a:prstGeom prst="rect">
                      <a:avLst/>
                    </a:prstGeom>
                    <a:noFill/>
                  </pic:spPr>
                </pic:pic>
              </a:graphicData>
            </a:graphic>
          </wp:anchor>
        </w:drawing>
        <w:drawing>
          <wp:anchor simplePos="0" relativeHeight="251657728" behindDoc="1" locked="0" layoutInCell="0" allowOverlap="1">
            <wp:simplePos x="0" y="0"/>
            <wp:positionH relativeFrom="column">
              <wp:posOffset>5612130</wp:posOffset>
            </wp:positionH>
            <wp:positionV relativeFrom="paragraph">
              <wp:posOffset>-488950</wp:posOffset>
            </wp:positionV>
            <wp:extent cx="50800" cy="502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800" cy="50228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15875</wp:posOffset>
            </wp:positionV>
            <wp:extent cx="7023100" cy="29679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23100" cy="2967990"/>
                    </a:xfrm>
                    <a:prstGeom prst="rect">
                      <a:avLst/>
                    </a:prstGeom>
                    <a:noFill/>
                  </pic:spPr>
                </pic:pic>
              </a:graphicData>
            </a:graphic>
          </wp:anchor>
        </w:drawing>
      </w:r>
    </w:p>
    <w:p>
      <w:pPr>
        <w:sectPr>
          <w:pgSz w:w="11900" w:h="16838" w:orient="portrait"/>
          <w:cols w:equalWidth="0" w:num="1">
            <w:col w:w="11020"/>
          </w:cols>
          <w:pgMar w:left="440" w:top="199" w:right="439" w:bottom="1440" w:gutter="0" w:footer="0" w:header="0"/>
        </w:sectPr>
      </w:pPr>
    </w:p>
    <w:p>
      <w:pPr>
        <w:spacing w:after="0" w:line="41" w:lineRule="exact"/>
        <w:rPr>
          <w:sz w:val="24"/>
          <w:szCs w:val="24"/>
          <w:color w:val="auto"/>
        </w:rPr>
      </w:pPr>
    </w:p>
    <w:tbl>
      <w:tblPr>
        <w:tblLayout w:type="fixed"/>
        <w:tblInd w:w="60" w:type="dxa"/>
        <w:tblCellMar>
          <w:top w:w="0" w:type="dxa"/>
          <w:left w:w="0" w:type="dxa"/>
          <w:bottom w:w="0" w:type="dxa"/>
          <w:right w:w="0" w:type="dxa"/>
        </w:tblCellMar>
      </w:tblPr>
      <w:tr>
        <w:trPr>
          <w:trHeight w:val="184"/>
        </w:trPr>
        <w:tc>
          <w:tcPr>
            <w:tcW w:w="2040" w:type="dxa"/>
            <w:vAlign w:val="bottom"/>
            <w:gridSpan w:val="5"/>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tc>
        <w:tc>
          <w:tcPr>
            <w:tcW w:w="1140" w:type="dxa"/>
            <w:vAlign w:val="bottom"/>
          </w:tcPr>
          <w:p>
            <w:pPr>
              <w:spacing w:after="0"/>
              <w:rPr>
                <w:sz w:val="16"/>
                <w:szCs w:val="16"/>
                <w:color w:val="auto"/>
              </w:rPr>
            </w:pPr>
          </w:p>
        </w:tc>
        <w:tc>
          <w:tcPr>
            <w:tcW w:w="1380" w:type="dxa"/>
            <w:vAlign w:val="bottom"/>
          </w:tcPr>
          <w:p>
            <w:pPr>
              <w:ind w:left="120"/>
              <w:spacing w:after="0"/>
              <w:rPr>
                <w:sz w:val="20"/>
                <w:szCs w:val="20"/>
                <w:color w:val="auto"/>
              </w:rPr>
            </w:pPr>
            <w:r>
              <w:rPr>
                <w:rFonts w:ascii="Arial" w:cs="Arial" w:eastAsia="Arial" w:hAnsi="Arial"/>
                <w:sz w:val="10"/>
                <w:szCs w:val="10"/>
                <w:color w:val="auto"/>
              </w:rPr>
              <w:t>2. Date of Event Requiring</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80" w:type="dxa"/>
            <w:vAlign w:val="bottom"/>
            <w:gridSpan w:val="2"/>
            <w:vMerge w:val="restart"/>
          </w:tcPr>
          <w:p>
            <w:pPr>
              <w:spacing w:after="0" w:line="181" w:lineRule="exact"/>
              <w:rPr>
                <w:rFonts w:ascii="Times New Roman" w:cs="Times New Roman" w:eastAsia="Times New Roman" w:hAnsi="Times New Roman"/>
                <w:sz w:val="16"/>
                <w:szCs w:val="16"/>
                <w:color w:val="0000EE"/>
                <w:w w:val="98"/>
              </w:rPr>
            </w:pPr>
            <w:hyperlink r:id="rId11">
              <w:r>
                <w:rPr>
                  <w:rFonts w:ascii="Times New Roman" w:cs="Times New Roman" w:eastAsia="Times New Roman" w:hAnsi="Times New Roman"/>
                  <w:sz w:val="16"/>
                  <w:szCs w:val="16"/>
                  <w:color w:val="0000EE"/>
                  <w:w w:val="98"/>
                </w:rPr>
                <w:t>Godwin Mary E.</w:t>
              </w:r>
            </w:hyperlink>
          </w:p>
        </w:tc>
        <w:tc>
          <w:tcPr>
            <w:tcW w:w="9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380" w:type="dxa"/>
            <w:vAlign w:val="bottom"/>
          </w:tcPr>
          <w:p>
            <w:pPr>
              <w:ind w:left="120"/>
              <w:spacing w:after="0" w:line="91" w:lineRule="exact"/>
              <w:rPr>
                <w:sz w:val="20"/>
                <w:szCs w:val="20"/>
                <w:color w:val="auto"/>
              </w:rPr>
            </w:pPr>
            <w:r>
              <w:rPr>
                <w:rFonts w:ascii="Arial" w:cs="Arial" w:eastAsia="Arial" w:hAnsi="Arial"/>
                <w:sz w:val="10"/>
                <w:szCs w:val="10"/>
                <w:color w:val="auto"/>
                <w:w w:val="97"/>
              </w:rPr>
              <w:t>Statement (Month/Day/Year)</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80" w:type="dxa"/>
            <w:vAlign w:val="bottom"/>
            <w:tcBorders>
              <w:bottom w:val="single" w:sz="8" w:color="0000EE"/>
            </w:tcBorders>
            <w:gridSpan w:val="2"/>
            <w:vMerge w:val="continue"/>
          </w:tcPr>
          <w:p>
            <w:pPr>
              <w:spacing w:after="0"/>
              <w:rPr>
                <w:sz w:val="9"/>
                <w:szCs w:val="9"/>
                <w:color w:val="auto"/>
              </w:rPr>
            </w:pPr>
          </w:p>
        </w:tc>
        <w:tc>
          <w:tcPr>
            <w:tcW w:w="920" w:type="dxa"/>
            <w:vAlign w:val="bottom"/>
            <w:vMerge w:val="restart"/>
          </w:tcPr>
          <w:p>
            <w:pPr>
              <w:spacing w:after="0"/>
              <w:rPr>
                <w:sz w:val="9"/>
                <w:szCs w:val="9"/>
                <w:color w:val="auto"/>
              </w:rPr>
            </w:pPr>
          </w:p>
        </w:tc>
        <w:tc>
          <w:tcPr>
            <w:tcW w:w="2520" w:type="dxa"/>
            <w:vAlign w:val="bottom"/>
            <w:gridSpan w:val="2"/>
            <w:vMerge w:val="restart"/>
          </w:tcPr>
          <w:p>
            <w:pPr>
              <w:ind w:left="1260"/>
              <w:spacing w:after="0"/>
              <w:rPr>
                <w:sz w:val="20"/>
                <w:szCs w:val="20"/>
                <w:color w:val="auto"/>
              </w:rPr>
            </w:pPr>
            <w:r>
              <w:rPr>
                <w:rFonts w:ascii="Times New Roman" w:cs="Times New Roman" w:eastAsia="Times New Roman" w:hAnsi="Times New Roman"/>
                <w:sz w:val="13"/>
                <w:szCs w:val="13"/>
                <w:color w:val="0000FF"/>
              </w:rPr>
              <w:t>07/01/2022</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80" w:type="dxa"/>
            <w:vAlign w:val="bottom"/>
            <w:gridSpan w:val="2"/>
          </w:tcPr>
          <w:p>
            <w:pPr>
              <w:spacing w:after="0"/>
              <w:rPr>
                <w:sz w:val="3"/>
                <w:szCs w:val="3"/>
                <w:color w:val="auto"/>
              </w:rPr>
            </w:pPr>
          </w:p>
        </w:tc>
        <w:tc>
          <w:tcPr>
            <w:tcW w:w="920" w:type="dxa"/>
            <w:vAlign w:val="bottom"/>
            <w:vMerge w:val="continue"/>
          </w:tcPr>
          <w:p>
            <w:pPr>
              <w:spacing w:after="0"/>
              <w:rPr>
                <w:sz w:val="3"/>
                <w:szCs w:val="3"/>
                <w:color w:val="auto"/>
              </w:rPr>
            </w:pPr>
          </w:p>
        </w:tc>
        <w:tc>
          <w:tcPr>
            <w:tcW w:w="25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2"/>
        </w:trPr>
        <w:tc>
          <w:tcPr>
            <w:tcW w:w="2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r>
              <w:rPr>
                <w:rFonts w:ascii="Arial" w:cs="Arial" w:eastAsia="Arial" w:hAnsi="Arial"/>
                <w:sz w:val="10"/>
                <w:szCs w:val="10"/>
                <w:color w:val="auto"/>
              </w:rPr>
              <w:t>(Last)</w:t>
            </w:r>
          </w:p>
        </w:tc>
        <w:tc>
          <w:tcPr>
            <w:tcW w:w="1200" w:type="dxa"/>
            <w:vAlign w:val="bottom"/>
            <w:gridSpan w:val="2"/>
          </w:tcPr>
          <w:p>
            <w:pPr>
              <w:ind w:left="240"/>
              <w:spacing w:after="0"/>
              <w:rPr>
                <w:sz w:val="20"/>
                <w:szCs w:val="20"/>
                <w:color w:val="auto"/>
              </w:rPr>
            </w:pPr>
            <w:r>
              <w:rPr>
                <w:rFonts w:ascii="Arial" w:cs="Arial" w:eastAsia="Arial" w:hAnsi="Arial"/>
                <w:sz w:val="10"/>
                <w:szCs w:val="10"/>
                <w:color w:val="auto"/>
              </w:rPr>
              <w:t>(First)</w:t>
            </w:r>
          </w:p>
        </w:tc>
        <w:tc>
          <w:tcPr>
            <w:tcW w:w="2520" w:type="dxa"/>
            <w:vAlign w:val="bottom"/>
            <w:gridSpan w:val="2"/>
          </w:tcPr>
          <w:p>
            <w:pPr>
              <w:ind w:left="100"/>
              <w:spacing w:after="0"/>
              <w:rPr>
                <w:sz w:val="20"/>
                <w:szCs w:val="20"/>
                <w:color w:val="auto"/>
              </w:rPr>
            </w:pPr>
            <w:r>
              <w:rPr>
                <w:rFonts w:ascii="Arial" w:cs="Arial" w:eastAsia="Arial" w:hAnsi="Arial"/>
                <w:sz w:val="10"/>
                <w:szCs w:val="10"/>
                <w:color w:val="auto"/>
              </w:rPr>
              <w:t>(Middle)</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20" w:type="dxa"/>
            <w:vAlign w:val="bottom"/>
            <w:gridSpan w:val="5"/>
          </w:tcPr>
          <w:p>
            <w:pPr>
              <w:spacing w:after="0"/>
              <w:rPr>
                <w:sz w:val="20"/>
                <w:szCs w:val="20"/>
                <w:color w:val="auto"/>
              </w:rPr>
            </w:pPr>
            <w:r>
              <w:rPr>
                <w:rFonts w:ascii="Times New Roman" w:cs="Times New Roman" w:eastAsia="Times New Roman" w:hAnsi="Times New Roman"/>
                <w:sz w:val="13"/>
                <w:szCs w:val="13"/>
                <w:color w:val="0000FF"/>
              </w:rPr>
              <w:t>C/O NAUTILUS BIOTECHNOLOGY, INC.</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0" w:type="dxa"/>
            <w:vAlign w:val="bottom"/>
            <w:gridSpan w:val="3"/>
          </w:tcPr>
          <w:p>
            <w:pPr>
              <w:spacing w:after="0"/>
              <w:rPr>
                <w:sz w:val="20"/>
                <w:szCs w:val="20"/>
                <w:color w:val="auto"/>
              </w:rPr>
            </w:pPr>
            <w:r>
              <w:rPr>
                <w:rFonts w:ascii="Times New Roman" w:cs="Times New Roman" w:eastAsia="Times New Roman" w:hAnsi="Times New Roman"/>
                <w:sz w:val="13"/>
                <w:szCs w:val="13"/>
                <w:color w:val="0000FF"/>
              </w:rPr>
              <w:t>2701 EASTLAKE AVE. EAST</w:t>
            </w:r>
          </w:p>
        </w:tc>
        <w:tc>
          <w:tcPr>
            <w:tcW w:w="1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840" w:type="dxa"/>
            <w:vAlign w:val="bottom"/>
            <w:gridSpan w:val="3"/>
          </w:tcPr>
          <w:p>
            <w:pPr>
              <w:spacing w:after="0"/>
              <w:rPr>
                <w:sz w:val="20"/>
                <w:szCs w:val="20"/>
                <w:color w:val="auto"/>
              </w:rPr>
            </w:pPr>
            <w:r>
              <w:rPr>
                <w:rFonts w:ascii="Arial" w:cs="Arial" w:eastAsia="Arial" w:hAnsi="Arial"/>
                <w:sz w:val="10"/>
                <w:szCs w:val="10"/>
                <w:color w:val="auto"/>
              </w:rPr>
              <w:t>(Street)</w:t>
            </w: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20"/>
                <w:szCs w:val="20"/>
                <w:color w:val="auto"/>
              </w:rPr>
            </w:pPr>
            <w:r>
              <w:rPr>
                <w:rFonts w:ascii="Times New Roman" w:cs="Times New Roman" w:eastAsia="Times New Roman" w:hAnsi="Times New Roman"/>
                <w:sz w:val="13"/>
                <w:szCs w:val="13"/>
                <w:color w:val="0000FF"/>
              </w:rPr>
              <w:t>SEATTLE</w:t>
            </w:r>
          </w:p>
        </w:tc>
        <w:tc>
          <w:tcPr>
            <w:tcW w:w="120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0000FF"/>
              </w:rPr>
              <w:t>WA</w:t>
            </w:r>
          </w:p>
        </w:tc>
        <w:tc>
          <w:tcPr>
            <w:tcW w:w="114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98102</w:t>
            </w: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160" w:type="dxa"/>
            <w:vAlign w:val="bottom"/>
            <w:gridSpan w:val="2"/>
          </w:tcPr>
          <w:p>
            <w:pPr>
              <w:ind w:left="60"/>
              <w:spacing w:after="0"/>
              <w:rPr>
                <w:sz w:val="20"/>
                <w:szCs w:val="20"/>
                <w:color w:val="auto"/>
              </w:rPr>
            </w:pPr>
            <w:r>
              <w:rPr>
                <w:rFonts w:ascii="Arial" w:cs="Arial" w:eastAsia="Arial" w:hAnsi="Arial"/>
                <w:sz w:val="10"/>
                <w:szCs w:val="10"/>
                <w:color w:val="auto"/>
                <w:w w:val="95"/>
              </w:rPr>
              <w:t>3.</w:t>
            </w:r>
          </w:p>
        </w:tc>
        <w:tc>
          <w:tcPr>
            <w:tcW w:w="1960" w:type="dxa"/>
            <w:vAlign w:val="bottom"/>
            <w:gridSpan w:val="3"/>
          </w:tcPr>
          <w:p>
            <w:pPr>
              <w:spacing w:after="0"/>
              <w:rPr>
                <w:sz w:val="20"/>
                <w:szCs w:val="20"/>
                <w:color w:val="auto"/>
              </w:rPr>
            </w:pPr>
            <w:r>
              <w:rPr>
                <w:rFonts w:ascii="Arial" w:cs="Arial" w:eastAsia="Arial" w:hAnsi="Arial"/>
                <w:sz w:val="10"/>
                <w:szCs w:val="10"/>
                <w:color w:val="auto"/>
              </w:rPr>
              <w:t xml:space="preserve">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1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60" w:type="dxa"/>
            <w:vAlign w:val="bottom"/>
          </w:tcPr>
          <w:p>
            <w:pPr>
              <w:spacing w:after="0"/>
              <w:rPr>
                <w:sz w:val="14"/>
                <w:szCs w:val="14"/>
                <w:color w:val="auto"/>
              </w:rPr>
            </w:pPr>
          </w:p>
        </w:tc>
        <w:tc>
          <w:tcPr>
            <w:tcW w:w="3240" w:type="dxa"/>
            <w:vAlign w:val="bottom"/>
            <w:gridSpan w:val="5"/>
          </w:tcPr>
          <w:p>
            <w:pPr>
              <w:spacing w:after="0" w:line="170" w:lineRule="exact"/>
              <w:rPr>
                <w:rFonts w:ascii="Times New Roman" w:cs="Times New Roman" w:eastAsia="Times New Roman" w:hAnsi="Times New Roman"/>
                <w:sz w:val="16"/>
                <w:szCs w:val="16"/>
                <w:color w:val="0000EE"/>
              </w:rPr>
            </w:pPr>
            <w:hyperlink r:id="rId12">
              <w:r>
                <w:rPr>
                  <w:rFonts w:ascii="Times New Roman" w:cs="Times New Roman" w:eastAsia="Times New Roman" w:hAnsi="Times New Roman"/>
                  <w:sz w:val="16"/>
                  <w:szCs w:val="16"/>
                  <w:color w:val="0000EE"/>
                </w:rPr>
                <w:t xml:space="preserve">Nautilus Biotechnology,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NAUT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0"/>
        </w:trPr>
        <w:tc>
          <w:tcPr>
            <w:tcW w:w="60" w:type="dxa"/>
            <w:vAlign w:val="bottom"/>
            <w:tcBorders>
              <w:bottom w:val="single" w:sz="8" w:color="2C2C2C"/>
            </w:tcBorders>
          </w:tcPr>
          <w:p>
            <w:pPr>
              <w:spacing w:after="0"/>
              <w:rPr>
                <w:sz w:val="24"/>
                <w:szCs w:val="24"/>
                <w:color w:val="auto"/>
              </w:rPr>
            </w:pPr>
          </w:p>
        </w:tc>
        <w:tc>
          <w:tcPr>
            <w:tcW w:w="100" w:type="dxa"/>
            <w:vAlign w:val="bottom"/>
            <w:tcBorders>
              <w:top w:val="single" w:sz="8" w:color="0000EE"/>
              <w:bottom w:val="single" w:sz="8" w:color="2C2C2C"/>
            </w:tcBorders>
          </w:tcPr>
          <w:p>
            <w:pPr>
              <w:spacing w:after="0"/>
              <w:rPr>
                <w:sz w:val="24"/>
                <w:szCs w:val="24"/>
                <w:color w:val="auto"/>
              </w:rPr>
            </w:pPr>
          </w:p>
        </w:tc>
        <w:tc>
          <w:tcPr>
            <w:tcW w:w="300" w:type="dxa"/>
            <w:vAlign w:val="bottom"/>
            <w:tcBorders>
              <w:top w:val="single" w:sz="8" w:color="0000EE"/>
              <w:bottom w:val="single" w:sz="8" w:color="2C2C2C"/>
            </w:tcBorders>
          </w:tcPr>
          <w:p>
            <w:pPr>
              <w:spacing w:after="0"/>
              <w:rPr>
                <w:sz w:val="24"/>
                <w:szCs w:val="24"/>
                <w:color w:val="auto"/>
              </w:rPr>
            </w:pPr>
          </w:p>
        </w:tc>
        <w:tc>
          <w:tcPr>
            <w:tcW w:w="1440" w:type="dxa"/>
            <w:vAlign w:val="bottom"/>
            <w:tcBorders>
              <w:top w:val="single" w:sz="8" w:color="0000EE"/>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6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40"/>
        </w:trPr>
        <w:tc>
          <w:tcPr>
            <w:tcW w:w="160" w:type="dxa"/>
            <w:vAlign w:val="bottom"/>
            <w:gridSpan w:val="2"/>
          </w:tcPr>
          <w:p>
            <w:pPr>
              <w:ind w:left="60"/>
              <w:spacing w:after="0"/>
              <w:rPr>
                <w:sz w:val="20"/>
                <w:szCs w:val="20"/>
                <w:color w:val="auto"/>
              </w:rPr>
            </w:pPr>
            <w:r>
              <w:rPr>
                <w:rFonts w:ascii="Arial" w:cs="Arial" w:eastAsia="Arial" w:hAnsi="Arial"/>
                <w:sz w:val="10"/>
                <w:szCs w:val="10"/>
                <w:color w:val="auto"/>
                <w:w w:val="95"/>
              </w:rPr>
              <w:t>4.</w:t>
            </w:r>
          </w:p>
        </w:tc>
        <w:tc>
          <w:tcPr>
            <w:tcW w:w="3140" w:type="dxa"/>
            <w:vAlign w:val="bottom"/>
            <w:gridSpan w:val="4"/>
          </w:tcPr>
          <w:p>
            <w:pPr>
              <w:spacing w:after="0"/>
              <w:rPr>
                <w:sz w:val="20"/>
                <w:szCs w:val="20"/>
                <w:color w:val="auto"/>
              </w:rPr>
            </w:pPr>
            <w:r>
              <w:rPr>
                <w:rFonts w:ascii="Arial" w:cs="Arial" w:eastAsia="Arial" w:hAnsi="Arial"/>
                <w:sz w:val="10"/>
                <w:szCs w:val="10"/>
                <w:color w:val="auto"/>
              </w:rPr>
              <w:t>Relationship of Reporting Person(s) to Issuer</w:t>
            </w:r>
          </w:p>
        </w:tc>
        <w:tc>
          <w:tcPr>
            <w:tcW w:w="140" w:type="dxa"/>
            <w:vAlign w:val="bottom"/>
          </w:tcPr>
          <w:p>
            <w:pPr>
              <w:jc w:val="right"/>
              <w:spacing w:after="0"/>
              <w:rPr>
                <w:sz w:val="20"/>
                <w:szCs w:val="20"/>
                <w:color w:val="auto"/>
              </w:rPr>
            </w:pPr>
            <w:r>
              <w:rPr>
                <w:rFonts w:ascii="Arial" w:cs="Arial" w:eastAsia="Arial" w:hAnsi="Arial"/>
                <w:sz w:val="10"/>
                <w:szCs w:val="10"/>
                <w:color w:val="auto"/>
              </w:rPr>
              <w:t>5.</w:t>
            </w:r>
          </w:p>
        </w:tc>
        <w:tc>
          <w:tcPr>
            <w:tcW w:w="2620" w:type="dxa"/>
            <w:vAlign w:val="bottom"/>
          </w:tcPr>
          <w:p>
            <w:pPr>
              <w:ind w:left="20"/>
              <w:spacing w:after="0"/>
              <w:rPr>
                <w:sz w:val="20"/>
                <w:szCs w:val="20"/>
                <w:color w:val="auto"/>
              </w:rPr>
            </w:pPr>
            <w:r>
              <w:rPr>
                <w:rFonts w:ascii="Arial" w:cs="Arial" w:eastAsia="Arial" w:hAnsi="Arial"/>
                <w:sz w:val="10"/>
                <w:szCs w:val="10"/>
                <w:color w:val="auto"/>
              </w:rPr>
              <w:t>If Amendment, Date of Original Filed (Month/Day/Year)</w:t>
            </w:r>
          </w:p>
        </w:tc>
        <w:tc>
          <w:tcPr>
            <w:tcW w:w="0" w:type="dxa"/>
            <w:vAlign w:val="bottom"/>
          </w:tcPr>
          <w:p>
            <w:pPr>
              <w:spacing w:after="0"/>
              <w:rPr>
                <w:sz w:val="1"/>
                <w:szCs w:val="1"/>
                <w:color w:val="auto"/>
              </w:rPr>
            </w:pPr>
          </w:p>
        </w:tc>
      </w:tr>
      <w:tr>
        <w:trPr>
          <w:trHeight w:val="133"/>
        </w:trPr>
        <w:tc>
          <w:tcPr>
            <w:tcW w:w="60" w:type="dxa"/>
            <w:vAlign w:val="bottom"/>
          </w:tcPr>
          <w:p>
            <w:pPr>
              <w:spacing w:after="0"/>
              <w:rPr>
                <w:sz w:val="11"/>
                <w:szCs w:val="11"/>
                <w:color w:val="auto"/>
              </w:rPr>
            </w:pPr>
          </w:p>
        </w:tc>
        <w:tc>
          <w:tcPr>
            <w:tcW w:w="2060" w:type="dxa"/>
            <w:vAlign w:val="bottom"/>
            <w:gridSpan w:val="4"/>
          </w:tcPr>
          <w:p>
            <w:pPr>
              <w:spacing w:after="0"/>
              <w:rPr>
                <w:sz w:val="20"/>
                <w:szCs w:val="20"/>
                <w:color w:val="auto"/>
              </w:rPr>
            </w:pPr>
            <w:r>
              <w:rPr>
                <w:rFonts w:ascii="Arial" w:cs="Arial" w:eastAsia="Arial" w:hAnsi="Arial"/>
                <w:sz w:val="10"/>
                <w:szCs w:val="10"/>
                <w:color w:val="auto"/>
              </w:rPr>
              <w:t>(Check all applicable)</w:t>
            </w:r>
          </w:p>
        </w:tc>
        <w:tc>
          <w:tcPr>
            <w:tcW w:w="1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60" w:type="dxa"/>
            <w:vAlign w:val="bottom"/>
            <w:gridSpan w:val="2"/>
          </w:tcPr>
          <w:p>
            <w:pPr>
              <w:ind w:left="120"/>
              <w:spacing w:after="0" w:line="88" w:lineRule="exact"/>
              <w:rPr>
                <w:sz w:val="20"/>
                <w:szCs w:val="20"/>
                <w:color w:val="auto"/>
              </w:rPr>
            </w:pPr>
            <w:r>
              <w:rPr>
                <w:rFonts w:ascii="Arial" w:cs="Arial" w:eastAsia="Arial" w:hAnsi="Arial"/>
                <w:sz w:val="10"/>
                <w:szCs w:val="10"/>
                <w:color w:val="auto"/>
              </w:rPr>
              <w:t>Director</w:t>
            </w:r>
          </w:p>
        </w:tc>
        <w:tc>
          <w:tcPr>
            <w:tcW w:w="1180" w:type="dxa"/>
            <w:vAlign w:val="bottom"/>
          </w:tcPr>
          <w:p>
            <w:pPr>
              <w:ind w:left="40"/>
              <w:spacing w:after="0" w:line="88" w:lineRule="exact"/>
              <w:rPr>
                <w:sz w:val="20"/>
                <w:szCs w:val="20"/>
                <w:color w:val="auto"/>
              </w:rPr>
            </w:pPr>
            <w:r>
              <w:rPr>
                <w:rFonts w:ascii="Arial" w:cs="Arial" w:eastAsia="Arial" w:hAnsi="Arial"/>
                <w:sz w:val="10"/>
                <w:szCs w:val="10"/>
                <w:color w:val="auto"/>
              </w:rPr>
              <w:t>10% Owner</w:t>
            </w:r>
          </w:p>
        </w:tc>
        <w:tc>
          <w:tcPr>
            <w:tcW w:w="140" w:type="dxa"/>
            <w:vAlign w:val="bottom"/>
            <w:tcBorders>
              <w:bottom w:val="single" w:sz="8" w:color="2C2C2C"/>
            </w:tcBorders>
          </w:tcPr>
          <w:p>
            <w:pPr>
              <w:spacing w:after="0"/>
              <w:rPr>
                <w:sz w:val="7"/>
                <w:szCs w:val="7"/>
                <w:color w:val="auto"/>
              </w:rPr>
            </w:pPr>
          </w:p>
        </w:tc>
        <w:tc>
          <w:tcPr>
            <w:tcW w:w="26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X</w:t>
            </w:r>
          </w:p>
        </w:tc>
        <w:tc>
          <w:tcPr>
            <w:tcW w:w="1660" w:type="dxa"/>
            <w:vAlign w:val="bottom"/>
            <w:gridSpan w:val="2"/>
          </w:tcPr>
          <w:p>
            <w:pPr>
              <w:ind w:left="120"/>
              <w:spacing w:after="0"/>
              <w:rPr>
                <w:sz w:val="20"/>
                <w:szCs w:val="20"/>
                <w:color w:val="auto"/>
              </w:rPr>
            </w:pPr>
            <w:r>
              <w:rPr>
                <w:rFonts w:ascii="Arial" w:cs="Arial" w:eastAsia="Arial" w:hAnsi="Arial"/>
                <w:sz w:val="10"/>
                <w:szCs w:val="10"/>
                <w:color w:val="auto"/>
              </w:rPr>
              <w:t>Officer (give title below)</w:t>
            </w:r>
          </w:p>
        </w:tc>
        <w:tc>
          <w:tcPr>
            <w:tcW w:w="1180" w:type="dxa"/>
            <w:vAlign w:val="bottom"/>
          </w:tcPr>
          <w:p>
            <w:pPr>
              <w:ind w:left="40"/>
              <w:spacing w:after="0"/>
              <w:rPr>
                <w:sz w:val="20"/>
                <w:szCs w:val="20"/>
                <w:color w:val="auto"/>
              </w:rPr>
            </w:pPr>
            <w:r>
              <w:rPr>
                <w:rFonts w:ascii="Arial" w:cs="Arial" w:eastAsia="Arial" w:hAnsi="Arial"/>
                <w:sz w:val="10"/>
                <w:szCs w:val="10"/>
                <w:color w:val="auto"/>
              </w:rPr>
              <w:t>Other (specify below)</w:t>
            </w:r>
          </w:p>
        </w:tc>
        <w:tc>
          <w:tcPr>
            <w:tcW w:w="140" w:type="dxa"/>
            <w:vAlign w:val="bottom"/>
          </w:tcPr>
          <w:p>
            <w:pPr>
              <w:jc w:val="right"/>
              <w:spacing w:after="0"/>
              <w:rPr>
                <w:sz w:val="20"/>
                <w:szCs w:val="20"/>
                <w:color w:val="auto"/>
              </w:rPr>
            </w:pPr>
            <w:r>
              <w:rPr>
                <w:rFonts w:ascii="Arial" w:cs="Arial" w:eastAsia="Arial" w:hAnsi="Arial"/>
                <w:sz w:val="10"/>
                <w:szCs w:val="10"/>
                <w:color w:val="auto"/>
              </w:rPr>
              <w:t>6.</w:t>
            </w:r>
          </w:p>
        </w:tc>
        <w:tc>
          <w:tcPr>
            <w:tcW w:w="2620" w:type="dxa"/>
            <w:vAlign w:val="bottom"/>
          </w:tcPr>
          <w:p>
            <w:pPr>
              <w:ind w:left="20"/>
              <w:spacing w:after="0"/>
              <w:rPr>
                <w:sz w:val="20"/>
                <w:szCs w:val="20"/>
                <w:color w:val="auto"/>
              </w:rPr>
            </w:pPr>
            <w:r>
              <w:rPr>
                <w:rFonts w:ascii="Arial" w:cs="Arial" w:eastAsia="Arial" w:hAnsi="Arial"/>
                <w:sz w:val="10"/>
                <w:szCs w:val="10"/>
                <w:color w:val="auto"/>
              </w:rPr>
              <w:t>Individual or Joint/Group Filing (Check Applicable Line)</w:t>
            </w:r>
          </w:p>
        </w:tc>
        <w:tc>
          <w:tcPr>
            <w:tcW w:w="0" w:type="dxa"/>
            <w:vAlign w:val="bottom"/>
          </w:tcPr>
          <w:p>
            <w:pPr>
              <w:spacing w:after="0"/>
              <w:rPr>
                <w:sz w:val="1"/>
                <w:szCs w:val="1"/>
                <w:color w:val="auto"/>
              </w:rPr>
            </w:pPr>
          </w:p>
        </w:tc>
      </w:tr>
      <w:tr>
        <w:trPr>
          <w:trHeight w:val="168"/>
        </w:trPr>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40" w:type="dxa"/>
            <w:vAlign w:val="bottom"/>
            <w:gridSpan w:val="3"/>
            <w:vMerge w:val="restart"/>
          </w:tcPr>
          <w:p>
            <w:pPr>
              <w:ind w:left="620"/>
              <w:spacing w:after="0"/>
              <w:rPr>
                <w:sz w:val="20"/>
                <w:szCs w:val="20"/>
                <w:color w:val="auto"/>
              </w:rPr>
            </w:pPr>
            <w:r>
              <w:rPr>
                <w:rFonts w:ascii="Times New Roman" w:cs="Times New Roman" w:eastAsia="Times New Roman" w:hAnsi="Times New Roman"/>
                <w:sz w:val="13"/>
                <w:szCs w:val="13"/>
                <w:color w:val="0000FF"/>
              </w:rPr>
              <w:t>Senior VP, Operations</w:t>
            </w:r>
          </w:p>
        </w:tc>
        <w:tc>
          <w:tcPr>
            <w:tcW w:w="140" w:type="dxa"/>
            <w:vAlign w:val="bottom"/>
          </w:tcPr>
          <w:p>
            <w:pPr>
              <w:spacing w:after="0"/>
              <w:rPr>
                <w:sz w:val="14"/>
                <w:szCs w:val="14"/>
                <w:color w:val="auto"/>
              </w:rPr>
            </w:pPr>
          </w:p>
        </w:tc>
        <w:tc>
          <w:tcPr>
            <w:tcW w:w="262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 xml:space="preserve">X   </w:t>
            </w:r>
            <w:r>
              <w:rPr>
                <w:rFonts w:ascii="Arial" w:cs="Arial" w:eastAsia="Arial" w:hAnsi="Arial"/>
                <w:sz w:val="10"/>
                <w:szCs w:val="10"/>
                <w:color w:val="000000"/>
              </w:rPr>
              <w:t>Form filed by One Reporting Person</w:t>
            </w:r>
          </w:p>
        </w:tc>
        <w:tc>
          <w:tcPr>
            <w:tcW w:w="0" w:type="dxa"/>
            <w:vAlign w:val="bottom"/>
          </w:tcPr>
          <w:p>
            <w:pPr>
              <w:spacing w:after="0"/>
              <w:rPr>
                <w:sz w:val="1"/>
                <w:szCs w:val="1"/>
                <w:color w:val="auto"/>
              </w:rPr>
            </w:pPr>
          </w:p>
        </w:tc>
      </w:tr>
      <w:tr>
        <w:trPr>
          <w:trHeight w:val="70"/>
        </w:trPr>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40" w:type="dxa"/>
            <w:vAlign w:val="bottom"/>
            <w:gridSpan w:val="3"/>
            <w:vMerge w:val="continue"/>
          </w:tcPr>
          <w:p>
            <w:pPr>
              <w:spacing w:after="0"/>
              <w:rPr>
                <w:sz w:val="6"/>
                <w:szCs w:val="6"/>
                <w:color w:val="auto"/>
              </w:rPr>
            </w:pPr>
          </w:p>
        </w:tc>
        <w:tc>
          <w:tcPr>
            <w:tcW w:w="140" w:type="dxa"/>
            <w:vAlign w:val="bottom"/>
          </w:tcPr>
          <w:p>
            <w:pPr>
              <w:spacing w:after="0"/>
              <w:rPr>
                <w:sz w:val="6"/>
                <w:szCs w:val="6"/>
                <w:color w:val="auto"/>
              </w:rPr>
            </w:pPr>
          </w:p>
        </w:tc>
        <w:tc>
          <w:tcPr>
            <w:tcW w:w="2620" w:type="dxa"/>
            <w:vAlign w:val="bottom"/>
            <w:vMerge w:val="restart"/>
          </w:tcPr>
          <w:p>
            <w:pPr>
              <w:ind w:left="36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r>
        <w:trPr>
          <w:trHeight w:val="84"/>
        </w:trPr>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346" w:lineRule="exact"/>
        <w:rPr>
          <w:sz w:val="24"/>
          <w:szCs w:val="24"/>
          <w:color w:val="auto"/>
        </w:rPr>
      </w:pPr>
    </w:p>
    <w:p>
      <w:pPr>
        <w:sectPr>
          <w:pgSz w:w="11900" w:h="16838" w:orient="portrait"/>
          <w:cols w:equalWidth="0" w:num="2">
            <w:col w:w="4620" w:space="320"/>
            <w:col w:w="6080"/>
          </w:cols>
          <w:pgMar w:left="440" w:top="199" w:right="439" w:bottom="1440" w:gutter="0" w:footer="0" w:header="0"/>
          <w:type w:val="continuous"/>
        </w:sectPr>
      </w:pPr>
    </w:p>
    <w:p>
      <w:pPr>
        <w:spacing w:after="0" w:line="32" w:lineRule="exact"/>
        <w:rPr>
          <w:sz w:val="24"/>
          <w:szCs w:val="24"/>
          <w:color w:val="auto"/>
        </w:rPr>
      </w:pPr>
    </w:p>
    <w:p>
      <w:pPr>
        <w:ind w:left="100"/>
        <w:spacing w:after="0"/>
        <w:tabs>
          <w:tab w:leader="none" w:pos="1120" w:val="left"/>
          <w:tab w:leader="none" w:pos="2180" w:val="left"/>
        </w:tabs>
        <w:rPr>
          <w:sz w:val="20"/>
          <w:szCs w:val="20"/>
          <w:color w:val="auto"/>
        </w:rPr>
      </w:pPr>
      <w:r>
        <w:rPr>
          <w:rFonts w:ascii="Arial" w:cs="Arial" w:eastAsia="Arial" w:hAnsi="Arial"/>
          <w:sz w:val="10"/>
          <w:szCs w:val="10"/>
          <w:color w:val="auto"/>
        </w:rPr>
        <w:t>(City)</w:t>
      </w:r>
      <w:r>
        <w:rPr>
          <w:sz w:val="20"/>
          <w:szCs w:val="20"/>
          <w:color w:val="auto"/>
        </w:rPr>
        <w:tab/>
      </w:r>
      <w:r>
        <w:rPr>
          <w:rFonts w:ascii="Arial" w:cs="Arial" w:eastAsia="Arial" w:hAnsi="Arial"/>
          <w:sz w:val="10"/>
          <w:szCs w:val="10"/>
          <w:color w:val="auto"/>
        </w:rPr>
        <w:t>(State)</w:t>
      </w:r>
      <w:r>
        <w:rPr>
          <w:sz w:val="20"/>
          <w:szCs w:val="20"/>
          <w:color w:val="auto"/>
        </w:rPr>
        <w:tab/>
      </w:r>
      <w:r>
        <w:rPr>
          <w:rFonts w:ascii="Arial" w:cs="Arial" w:eastAsia="Arial" w:hAnsi="Arial"/>
          <w:sz w:val="9"/>
          <w:szCs w:val="9"/>
          <w:color w:val="auto"/>
        </w:rPr>
        <w:t>(Zip)</w:t>
      </w:r>
    </w:p>
    <w:p>
      <w:pPr>
        <w:spacing w:after="0" w:line="14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 - Non-Derivative Securities Beneficially Owned</w:t>
      </w:r>
    </w:p>
    <w:p>
      <w:pPr>
        <w:spacing w:after="0" w:line="95"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100" w:type="dxa"/>
            <w:vAlign w:val="bottom"/>
          </w:tcPr>
          <w:p>
            <w:pPr>
              <w:ind w:left="40"/>
              <w:spacing w:after="0"/>
              <w:rPr>
                <w:sz w:val="20"/>
                <w:szCs w:val="20"/>
                <w:color w:val="auto"/>
              </w:rPr>
            </w:pPr>
            <w:r>
              <w:rPr>
                <w:rFonts w:ascii="Arial" w:cs="Arial" w:eastAsia="Arial" w:hAnsi="Arial"/>
                <w:sz w:val="10"/>
                <w:szCs w:val="10"/>
                <w:b w:val="1"/>
                <w:bCs w:val="1"/>
                <w:color w:val="auto"/>
              </w:rPr>
              <w:t>1. Title of Security (Instr. 4)</w:t>
            </w:r>
          </w:p>
        </w:tc>
        <w:tc>
          <w:tcPr>
            <w:tcW w:w="3680" w:type="dxa"/>
            <w:vAlign w:val="bottom"/>
          </w:tcPr>
          <w:p>
            <w:pPr>
              <w:ind w:left="1780"/>
              <w:spacing w:after="0"/>
              <w:rPr>
                <w:sz w:val="20"/>
                <w:szCs w:val="20"/>
                <w:color w:val="auto"/>
              </w:rPr>
            </w:pPr>
            <w:r>
              <w:rPr>
                <w:rFonts w:ascii="Arial" w:cs="Arial" w:eastAsia="Arial" w:hAnsi="Arial"/>
                <w:sz w:val="10"/>
                <w:szCs w:val="10"/>
                <w:b w:val="1"/>
                <w:bCs w:val="1"/>
                <w:color w:val="auto"/>
              </w:rPr>
              <w:t>2. Amount of Securities Beneficially</w:t>
            </w: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3. Ownership Form:</w:t>
            </w:r>
          </w:p>
        </w:tc>
        <w:tc>
          <w:tcPr>
            <w:tcW w:w="2880" w:type="dxa"/>
            <w:vAlign w:val="bottom"/>
            <w:gridSpan w:val="2"/>
          </w:tcPr>
          <w:p>
            <w:pPr>
              <w:ind w:left="60"/>
              <w:spacing w:after="0"/>
              <w:rPr>
                <w:sz w:val="20"/>
                <w:szCs w:val="20"/>
                <w:color w:val="auto"/>
              </w:rPr>
            </w:pPr>
            <w:r>
              <w:rPr>
                <w:rFonts w:ascii="Arial" w:cs="Arial" w:eastAsia="Arial" w:hAnsi="Arial"/>
                <w:sz w:val="10"/>
                <w:szCs w:val="10"/>
                <w:b w:val="1"/>
                <w:bCs w:val="1"/>
                <w:color w:val="auto"/>
              </w:rPr>
              <w:t>4. Nature of Indirect Beneficial Ownership (Instr. 5)</w:t>
            </w:r>
          </w:p>
        </w:tc>
      </w:tr>
      <w:tr>
        <w:trPr>
          <w:trHeight w:val="110"/>
        </w:trPr>
        <w:tc>
          <w:tcPr>
            <w:tcW w:w="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3680" w:type="dxa"/>
            <w:vAlign w:val="bottom"/>
          </w:tcPr>
          <w:p>
            <w:pPr>
              <w:ind w:left="1780"/>
              <w:spacing w:after="0" w:line="110" w:lineRule="exact"/>
              <w:rPr>
                <w:sz w:val="20"/>
                <w:szCs w:val="20"/>
                <w:color w:val="auto"/>
              </w:rPr>
            </w:pPr>
            <w:r>
              <w:rPr>
                <w:rFonts w:ascii="Arial" w:cs="Arial" w:eastAsia="Arial" w:hAnsi="Arial"/>
                <w:sz w:val="10"/>
                <w:szCs w:val="10"/>
                <w:b w:val="1"/>
                <w:bCs w:val="1"/>
                <w:color w:val="auto"/>
              </w:rPr>
              <w:t>Owned (Instr. 4)</w:t>
            </w:r>
          </w:p>
        </w:tc>
        <w:tc>
          <w:tcPr>
            <w:tcW w:w="1340" w:type="dxa"/>
            <w:vAlign w:val="bottom"/>
          </w:tcPr>
          <w:p>
            <w:pPr>
              <w:ind w:left="200"/>
              <w:spacing w:after="0" w:line="110" w:lineRule="exact"/>
              <w:rPr>
                <w:sz w:val="20"/>
                <w:szCs w:val="20"/>
                <w:color w:val="auto"/>
              </w:rPr>
            </w:pPr>
            <w:r>
              <w:rPr>
                <w:rFonts w:ascii="Arial" w:cs="Arial" w:eastAsia="Arial" w:hAnsi="Arial"/>
                <w:sz w:val="10"/>
                <w:szCs w:val="10"/>
                <w:b w:val="1"/>
                <w:bCs w:val="1"/>
                <w:color w:val="auto"/>
              </w:rPr>
              <w:t>Direct (D) or Indirect (I)</w:t>
            </w:r>
          </w:p>
        </w:tc>
        <w:tc>
          <w:tcPr>
            <w:tcW w:w="286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37"/>
        </w:trPr>
        <w:tc>
          <w:tcPr>
            <w:tcW w:w="2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(Instr. 5)</w:t>
            </w:r>
          </w:p>
        </w:tc>
        <w:tc>
          <w:tcPr>
            <w:tcW w:w="28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49"/>
        </w:trPr>
        <w:tc>
          <w:tcPr>
            <w:tcW w:w="20" w:type="dxa"/>
            <w:vAlign w:val="bottom"/>
            <w:tcBorders>
              <w:bottom w:val="single" w:sz="8" w:color="2C2C2C"/>
            </w:tcBorders>
          </w:tcPr>
          <w:p>
            <w:pPr>
              <w:spacing w:after="0"/>
              <w:rPr>
                <w:sz w:val="3"/>
                <w:szCs w:val="3"/>
                <w:color w:val="auto"/>
              </w:rPr>
            </w:pPr>
          </w:p>
        </w:tc>
        <w:tc>
          <w:tcPr>
            <w:tcW w:w="3100" w:type="dxa"/>
            <w:vAlign w:val="bottom"/>
            <w:tcBorders>
              <w:bottom w:val="single" w:sz="8" w:color="2C2C2C"/>
            </w:tcBorders>
          </w:tcPr>
          <w:p>
            <w:pPr>
              <w:spacing w:after="0"/>
              <w:rPr>
                <w:sz w:val="3"/>
                <w:szCs w:val="3"/>
                <w:color w:val="auto"/>
              </w:rPr>
            </w:pPr>
          </w:p>
        </w:tc>
        <w:tc>
          <w:tcPr>
            <w:tcW w:w="36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100" w:type="dxa"/>
            <w:vAlign w:val="bottom"/>
            <w:tcBorders>
              <w:top w:val="single" w:sz="8" w:color="808080"/>
            </w:tcBorders>
            <w:shd w:val="clear" w:color="auto" w:fill="2C2C2C"/>
          </w:tcPr>
          <w:p>
            <w:pPr>
              <w:spacing w:after="0" w:line="20" w:lineRule="exact"/>
              <w:rPr>
                <w:sz w:val="1"/>
                <w:szCs w:val="1"/>
                <w:color w:val="auto"/>
              </w:rPr>
            </w:pPr>
          </w:p>
        </w:tc>
        <w:tc>
          <w:tcPr>
            <w:tcW w:w="3680" w:type="dxa"/>
            <w:vAlign w:val="bottom"/>
            <w:tcBorders>
              <w:top w:val="single" w:sz="8" w:color="808080"/>
            </w:tcBorders>
            <w:shd w:val="clear" w:color="auto" w:fill="2C2C2C"/>
          </w:tcPr>
          <w:p>
            <w:pPr>
              <w:spacing w:after="0" w:line="20" w:lineRule="exact"/>
              <w:rPr>
                <w:sz w:val="1"/>
                <w:szCs w:val="1"/>
                <w:color w:val="auto"/>
              </w:rPr>
            </w:pPr>
          </w:p>
        </w:tc>
        <w:tc>
          <w:tcPr>
            <w:tcW w:w="134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II - Derivative Securities Beneficially Owned</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(e.g., puts, calls, warrants, options, convertible securities)</w:t>
      </w:r>
    </w:p>
    <w:p>
      <w:pPr>
        <w:spacing w:after="0" w:line="83"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700" w:type="dxa"/>
            <w:vAlign w:val="bottom"/>
          </w:tcPr>
          <w:p>
            <w:pPr>
              <w:ind w:left="40"/>
              <w:spacing w:after="0"/>
              <w:rPr>
                <w:sz w:val="20"/>
                <w:szCs w:val="20"/>
                <w:color w:val="auto"/>
              </w:rPr>
            </w:pPr>
            <w:r>
              <w:rPr>
                <w:rFonts w:ascii="Arial" w:cs="Arial" w:eastAsia="Arial" w:hAnsi="Arial"/>
                <w:sz w:val="10"/>
                <w:szCs w:val="10"/>
                <w:b w:val="1"/>
                <w:bCs w:val="1"/>
                <w:color w:val="auto"/>
              </w:rPr>
              <w:t>1. Title of Derivative Security (Instr. 4)</w:t>
            </w:r>
          </w:p>
        </w:tc>
        <w:tc>
          <w:tcPr>
            <w:tcW w:w="1260" w:type="dxa"/>
            <w:vAlign w:val="bottom"/>
            <w:gridSpan w:val="2"/>
          </w:tcPr>
          <w:p>
            <w:pPr>
              <w:ind w:left="60"/>
              <w:spacing w:after="0"/>
              <w:rPr>
                <w:sz w:val="20"/>
                <w:szCs w:val="20"/>
                <w:color w:val="auto"/>
              </w:rPr>
            </w:pPr>
            <w:r>
              <w:rPr>
                <w:rFonts w:ascii="Arial" w:cs="Arial" w:eastAsia="Arial" w:hAnsi="Arial"/>
                <w:sz w:val="10"/>
                <w:szCs w:val="10"/>
                <w:b w:val="1"/>
                <w:bCs w:val="1"/>
                <w:color w:val="auto"/>
              </w:rPr>
              <w:t>2. Date Exercisable and</w:t>
            </w:r>
          </w:p>
        </w:tc>
        <w:tc>
          <w:tcPr>
            <w:tcW w:w="2780" w:type="dxa"/>
            <w:vAlign w:val="bottom"/>
            <w:gridSpan w:val="2"/>
          </w:tcPr>
          <w:p>
            <w:pPr>
              <w:ind w:left="40"/>
              <w:spacing w:after="0"/>
              <w:rPr>
                <w:sz w:val="20"/>
                <w:szCs w:val="20"/>
                <w:color w:val="auto"/>
              </w:rPr>
            </w:pPr>
            <w:r>
              <w:rPr>
                <w:rFonts w:ascii="Arial" w:cs="Arial" w:eastAsia="Arial" w:hAnsi="Arial"/>
                <w:sz w:val="10"/>
                <w:szCs w:val="10"/>
                <w:b w:val="1"/>
                <w:bCs w:val="1"/>
                <w:color w:val="auto"/>
              </w:rPr>
              <w:t>3. Title and Amount of Securities Underlying Derivative</w:t>
            </w:r>
          </w:p>
        </w:tc>
        <w:tc>
          <w:tcPr>
            <w:tcW w:w="720" w:type="dxa"/>
            <w:vAlign w:val="bottom"/>
          </w:tcPr>
          <w:p>
            <w:pPr>
              <w:ind w:left="60"/>
              <w:spacing w:after="0"/>
              <w:rPr>
                <w:sz w:val="20"/>
                <w:szCs w:val="20"/>
                <w:color w:val="auto"/>
              </w:rPr>
            </w:pPr>
            <w:r>
              <w:rPr>
                <w:rFonts w:ascii="Arial" w:cs="Arial" w:eastAsia="Arial" w:hAnsi="Arial"/>
                <w:sz w:val="10"/>
                <w:szCs w:val="10"/>
                <w:b w:val="1"/>
                <w:bCs w:val="1"/>
                <w:color w:val="auto"/>
              </w:rPr>
              <w:t>4.</w:t>
            </w:r>
          </w:p>
        </w:tc>
        <w:tc>
          <w:tcPr>
            <w:tcW w:w="840" w:type="dxa"/>
            <w:vAlign w:val="bottom"/>
          </w:tcPr>
          <w:p>
            <w:pPr>
              <w:ind w:left="100"/>
              <w:spacing w:after="0"/>
              <w:rPr>
                <w:sz w:val="20"/>
                <w:szCs w:val="20"/>
                <w:color w:val="auto"/>
              </w:rPr>
            </w:pPr>
            <w:r>
              <w:rPr>
                <w:rFonts w:ascii="Arial" w:cs="Arial" w:eastAsia="Arial" w:hAnsi="Arial"/>
                <w:sz w:val="10"/>
                <w:szCs w:val="10"/>
                <w:b w:val="1"/>
                <w:bCs w:val="1"/>
                <w:color w:val="auto"/>
              </w:rPr>
              <w:t>5. Ownership</w:t>
            </w:r>
          </w:p>
        </w:tc>
        <w:tc>
          <w:tcPr>
            <w:tcW w:w="1700" w:type="dxa"/>
            <w:vAlign w:val="bottom"/>
            <w:gridSpan w:val="2"/>
          </w:tcPr>
          <w:p>
            <w:pPr>
              <w:ind w:left="120"/>
              <w:spacing w:after="0"/>
              <w:rPr>
                <w:sz w:val="20"/>
                <w:szCs w:val="20"/>
                <w:color w:val="auto"/>
              </w:rPr>
            </w:pPr>
            <w:r>
              <w:rPr>
                <w:rFonts w:ascii="Arial" w:cs="Arial" w:eastAsia="Arial" w:hAnsi="Arial"/>
                <w:sz w:val="10"/>
                <w:szCs w:val="10"/>
                <w:b w:val="1"/>
                <w:bCs w:val="1"/>
                <w:color w:val="auto"/>
              </w:rPr>
              <w:t>6. Nature of Indirect Beneficial</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700" w:type="dxa"/>
            <w:vAlign w:val="bottom"/>
          </w:tcPr>
          <w:p>
            <w:pPr>
              <w:spacing w:after="0"/>
              <w:rPr>
                <w:sz w:val="9"/>
                <w:szCs w:val="9"/>
                <w:color w:val="auto"/>
              </w:rPr>
            </w:pPr>
          </w:p>
        </w:tc>
        <w:tc>
          <w:tcPr>
            <w:tcW w:w="1260" w:type="dxa"/>
            <w:vAlign w:val="bottom"/>
            <w:gridSpan w:val="2"/>
          </w:tcPr>
          <w:p>
            <w:pPr>
              <w:ind w:left="60"/>
              <w:spacing w:after="0" w:line="110" w:lineRule="exact"/>
              <w:rPr>
                <w:sz w:val="20"/>
                <w:szCs w:val="20"/>
                <w:color w:val="auto"/>
              </w:rPr>
            </w:pPr>
            <w:r>
              <w:rPr>
                <w:rFonts w:ascii="Arial" w:cs="Arial" w:eastAsia="Arial" w:hAnsi="Arial"/>
                <w:sz w:val="10"/>
                <w:szCs w:val="10"/>
                <w:b w:val="1"/>
                <w:bCs w:val="1"/>
                <w:color w:val="auto"/>
              </w:rPr>
              <w:t>Expiration Date</w:t>
            </w:r>
          </w:p>
        </w:tc>
        <w:tc>
          <w:tcPr>
            <w:tcW w:w="182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Security (Instr. 4)</w:t>
            </w:r>
          </w:p>
        </w:tc>
        <w:tc>
          <w:tcPr>
            <w:tcW w:w="96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Conversion</w:t>
            </w:r>
          </w:p>
        </w:tc>
        <w:tc>
          <w:tcPr>
            <w:tcW w:w="2540" w:type="dxa"/>
            <w:vAlign w:val="bottom"/>
            <w:gridSpan w:val="3"/>
          </w:tcPr>
          <w:p>
            <w:pPr>
              <w:ind w:left="100"/>
              <w:spacing w:after="0" w:line="110" w:lineRule="exact"/>
              <w:rPr>
                <w:sz w:val="20"/>
                <w:szCs w:val="20"/>
                <w:color w:val="auto"/>
              </w:rPr>
            </w:pPr>
            <w:r>
              <w:rPr>
                <w:rFonts w:ascii="Arial" w:cs="Arial" w:eastAsia="Arial" w:hAnsi="Arial"/>
                <w:sz w:val="10"/>
                <w:szCs w:val="10"/>
                <w:b w:val="1"/>
                <w:bCs w:val="1"/>
                <w:color w:val="auto"/>
              </w:rPr>
              <w:t>Form: Direct (D)  Ownership (Instr. 5)</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700" w:type="dxa"/>
            <w:vAlign w:val="bottom"/>
          </w:tcPr>
          <w:p>
            <w:pPr>
              <w:spacing w:after="0"/>
              <w:rPr>
                <w:sz w:val="9"/>
                <w:szCs w:val="9"/>
                <w:color w:val="auto"/>
              </w:rPr>
            </w:pPr>
          </w:p>
        </w:tc>
        <w:tc>
          <w:tcPr>
            <w:tcW w:w="1260" w:type="dxa"/>
            <w:vAlign w:val="bottom"/>
            <w:gridSpan w:val="2"/>
          </w:tcPr>
          <w:p>
            <w:pPr>
              <w:ind w:left="60"/>
              <w:spacing w:after="0" w:line="110" w:lineRule="exact"/>
              <w:rPr>
                <w:sz w:val="20"/>
                <w:szCs w:val="20"/>
                <w:color w:val="auto"/>
              </w:rPr>
            </w:pPr>
            <w:r>
              <w:rPr>
                <w:rFonts w:ascii="Arial" w:cs="Arial" w:eastAsia="Arial" w:hAnsi="Arial"/>
                <w:sz w:val="10"/>
                <w:szCs w:val="10"/>
                <w:b w:val="1"/>
                <w:bCs w:val="1"/>
                <w:color w:val="auto"/>
              </w:rPr>
              <w:t>(Month/Day/Year)</w:t>
            </w:r>
          </w:p>
        </w:tc>
        <w:tc>
          <w:tcPr>
            <w:tcW w:w="18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or Exercise</w:t>
            </w:r>
          </w:p>
        </w:tc>
        <w:tc>
          <w:tcPr>
            <w:tcW w:w="840" w:type="dxa"/>
            <w:vAlign w:val="bottom"/>
          </w:tcPr>
          <w:p>
            <w:pPr>
              <w:ind w:left="100"/>
              <w:spacing w:after="0" w:line="110" w:lineRule="exact"/>
              <w:rPr>
                <w:sz w:val="20"/>
                <w:szCs w:val="20"/>
                <w:color w:val="auto"/>
              </w:rPr>
            </w:pPr>
            <w:r>
              <w:rPr>
                <w:rFonts w:ascii="Arial" w:cs="Arial" w:eastAsia="Arial" w:hAnsi="Arial"/>
                <w:sz w:val="10"/>
                <w:szCs w:val="10"/>
                <w:b w:val="1"/>
                <w:bCs w:val="1"/>
                <w:color w:val="auto"/>
              </w:rPr>
              <w:t>or Indirect (I)</w:t>
            </w:r>
          </w:p>
        </w:tc>
        <w:tc>
          <w:tcPr>
            <w:tcW w:w="1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70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20" w:type="dxa"/>
            <w:vAlign w:val="bottom"/>
            <w:vMerge w:val="restart"/>
          </w:tcPr>
          <w:p>
            <w:pPr>
              <w:ind w:left="60"/>
              <w:spacing w:after="0" w:line="110" w:lineRule="exact"/>
              <w:rPr>
                <w:sz w:val="20"/>
                <w:szCs w:val="20"/>
                <w:color w:val="auto"/>
              </w:rPr>
            </w:pPr>
            <w:r>
              <w:rPr>
                <w:rFonts w:ascii="Arial" w:cs="Arial" w:eastAsia="Arial" w:hAnsi="Arial"/>
                <w:sz w:val="10"/>
                <w:szCs w:val="10"/>
                <w:b w:val="1"/>
                <w:bCs w:val="1"/>
                <w:color w:val="auto"/>
              </w:rPr>
              <w:t>Price of</w:t>
            </w:r>
          </w:p>
        </w:tc>
        <w:tc>
          <w:tcPr>
            <w:tcW w:w="840" w:type="dxa"/>
            <w:vAlign w:val="bottom"/>
            <w:vMerge w:val="restart"/>
          </w:tcPr>
          <w:p>
            <w:pPr>
              <w:ind w:left="100"/>
              <w:spacing w:after="0" w:line="110" w:lineRule="exact"/>
              <w:rPr>
                <w:sz w:val="20"/>
                <w:szCs w:val="20"/>
                <w:color w:val="auto"/>
              </w:rPr>
            </w:pPr>
            <w:r>
              <w:rPr>
                <w:rFonts w:ascii="Arial" w:cs="Arial" w:eastAsia="Arial" w:hAnsi="Arial"/>
                <w:sz w:val="10"/>
                <w:szCs w:val="10"/>
                <w:b w:val="1"/>
                <w:bCs w:val="1"/>
                <w:color w:val="auto"/>
              </w:rPr>
              <w:t>(Instr. 5)</w:t>
            </w:r>
          </w:p>
        </w:tc>
        <w:tc>
          <w:tcPr>
            <w:tcW w:w="16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3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20" w:type="dxa"/>
            <w:vAlign w:val="bottom"/>
          </w:tcPr>
          <w:p>
            <w:pPr>
              <w:spacing w:after="0"/>
              <w:rPr>
                <w:sz w:val="3"/>
                <w:szCs w:val="3"/>
                <w:color w:val="auto"/>
              </w:rPr>
            </w:pPr>
          </w:p>
        </w:tc>
        <w:tc>
          <w:tcPr>
            <w:tcW w:w="960" w:type="dxa"/>
            <w:vAlign w:val="bottom"/>
            <w:vMerge w:val="restart"/>
          </w:tcPr>
          <w:p>
            <w:pPr>
              <w:ind w:left="360"/>
              <w:spacing w:after="0"/>
              <w:rPr>
                <w:sz w:val="20"/>
                <w:szCs w:val="20"/>
                <w:color w:val="auto"/>
              </w:rPr>
            </w:pPr>
            <w:r>
              <w:rPr>
                <w:rFonts w:ascii="Arial" w:cs="Arial" w:eastAsia="Arial" w:hAnsi="Arial"/>
                <w:sz w:val="10"/>
                <w:szCs w:val="10"/>
                <w:b w:val="1"/>
                <w:bCs w:val="1"/>
                <w:color w:val="auto"/>
              </w:rPr>
              <w:t>Amount or</w:t>
            </w:r>
          </w:p>
        </w:tc>
        <w:tc>
          <w:tcPr>
            <w:tcW w:w="720" w:type="dxa"/>
            <w:vAlign w:val="bottom"/>
            <w:vMerge w:val="continue"/>
          </w:tcPr>
          <w:p>
            <w:pPr>
              <w:spacing w:after="0"/>
              <w:rPr>
                <w:sz w:val="3"/>
                <w:szCs w:val="3"/>
                <w:color w:val="auto"/>
              </w:rPr>
            </w:pPr>
          </w:p>
        </w:tc>
        <w:tc>
          <w:tcPr>
            <w:tcW w:w="840" w:type="dxa"/>
            <w:vAlign w:val="bottom"/>
            <w:vMerge w:val="continue"/>
          </w:tcPr>
          <w:p>
            <w:pPr>
              <w:spacing w:after="0"/>
              <w:rPr>
                <w:sz w:val="3"/>
                <w:szCs w:val="3"/>
                <w:color w:val="auto"/>
              </w:rPr>
            </w:pPr>
          </w:p>
        </w:tc>
        <w:tc>
          <w:tcPr>
            <w:tcW w:w="16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1"/>
        </w:trPr>
        <w:tc>
          <w:tcPr>
            <w:tcW w:w="20" w:type="dxa"/>
            <w:vAlign w:val="bottom"/>
          </w:tcPr>
          <w:p>
            <w:pPr>
              <w:spacing w:after="0"/>
              <w:rPr>
                <w:sz w:val="8"/>
                <w:szCs w:val="8"/>
                <w:color w:val="auto"/>
              </w:rPr>
            </w:pPr>
          </w:p>
        </w:tc>
        <w:tc>
          <w:tcPr>
            <w:tcW w:w="3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2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720" w:type="dxa"/>
            <w:vAlign w:val="bottom"/>
          </w:tcPr>
          <w:p>
            <w:pPr>
              <w:ind w:left="60"/>
              <w:spacing w:after="0" w:line="101" w:lineRule="exact"/>
              <w:rPr>
                <w:sz w:val="20"/>
                <w:szCs w:val="20"/>
                <w:color w:val="auto"/>
              </w:rPr>
            </w:pPr>
            <w:r>
              <w:rPr>
                <w:rFonts w:ascii="Arial" w:cs="Arial" w:eastAsia="Arial" w:hAnsi="Arial"/>
                <w:sz w:val="10"/>
                <w:szCs w:val="10"/>
                <w:b w:val="1"/>
                <w:bCs w:val="1"/>
                <w:color w:val="auto"/>
              </w:rPr>
              <w:t>Derivative</w:t>
            </w:r>
          </w:p>
        </w:tc>
        <w:tc>
          <w:tcPr>
            <w:tcW w:w="840" w:type="dxa"/>
            <w:vAlign w:val="bottom"/>
          </w:tcPr>
          <w:p>
            <w:pPr>
              <w:spacing w:after="0"/>
              <w:rPr>
                <w:sz w:val="8"/>
                <w:szCs w:val="8"/>
                <w:color w:val="auto"/>
              </w:rPr>
            </w:pPr>
          </w:p>
        </w:tc>
        <w:tc>
          <w:tcPr>
            <w:tcW w:w="16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700" w:type="dxa"/>
            <w:vAlign w:val="bottom"/>
          </w:tcPr>
          <w:p>
            <w:pPr>
              <w:spacing w:after="0"/>
              <w:rPr>
                <w:sz w:val="9"/>
                <w:szCs w:val="9"/>
                <w:color w:val="auto"/>
              </w:rPr>
            </w:pPr>
          </w:p>
        </w:tc>
        <w:tc>
          <w:tcPr>
            <w:tcW w:w="66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Date</w:t>
            </w:r>
          </w:p>
        </w:tc>
        <w:tc>
          <w:tcPr>
            <w:tcW w:w="600" w:type="dxa"/>
            <w:vAlign w:val="bottom"/>
          </w:tcPr>
          <w:p>
            <w:pPr>
              <w:jc w:val="center"/>
              <w:spacing w:after="0" w:line="110" w:lineRule="exact"/>
              <w:rPr>
                <w:sz w:val="20"/>
                <w:szCs w:val="20"/>
                <w:color w:val="auto"/>
              </w:rPr>
            </w:pPr>
            <w:r>
              <w:rPr>
                <w:rFonts w:ascii="Arial" w:cs="Arial" w:eastAsia="Arial" w:hAnsi="Arial"/>
                <w:sz w:val="10"/>
                <w:szCs w:val="10"/>
                <w:b w:val="1"/>
                <w:bCs w:val="1"/>
                <w:color w:val="auto"/>
                <w:w w:val="98"/>
              </w:rPr>
              <w:t>Expiration</w:t>
            </w:r>
          </w:p>
        </w:tc>
        <w:tc>
          <w:tcPr>
            <w:tcW w:w="1820" w:type="dxa"/>
            <w:vAlign w:val="bottom"/>
            <w:vMerge w:val="restart"/>
          </w:tcPr>
          <w:p>
            <w:pPr>
              <w:ind w:left="40"/>
              <w:spacing w:after="0"/>
              <w:rPr>
                <w:sz w:val="20"/>
                <w:szCs w:val="20"/>
                <w:color w:val="auto"/>
              </w:rPr>
            </w:pPr>
            <w:r>
              <w:rPr>
                <w:rFonts w:ascii="Arial" w:cs="Arial" w:eastAsia="Arial" w:hAnsi="Arial"/>
                <w:sz w:val="10"/>
                <w:szCs w:val="10"/>
                <w:b w:val="1"/>
                <w:bCs w:val="1"/>
                <w:color w:val="auto"/>
              </w:rPr>
              <w:t>Title</w:t>
            </w:r>
          </w:p>
        </w:tc>
        <w:tc>
          <w:tcPr>
            <w:tcW w:w="960" w:type="dxa"/>
            <w:vAlign w:val="bottom"/>
          </w:tcPr>
          <w:p>
            <w:pPr>
              <w:ind w:left="360"/>
              <w:spacing w:after="0" w:line="110" w:lineRule="exact"/>
              <w:rPr>
                <w:sz w:val="20"/>
                <w:szCs w:val="20"/>
                <w:color w:val="auto"/>
              </w:rPr>
            </w:pPr>
            <w:r>
              <w:rPr>
                <w:rFonts w:ascii="Arial" w:cs="Arial" w:eastAsia="Arial" w:hAnsi="Arial"/>
                <w:sz w:val="10"/>
                <w:szCs w:val="10"/>
                <w:b w:val="1"/>
                <w:bCs w:val="1"/>
                <w:color w:val="auto"/>
              </w:rPr>
              <w:t>Number of</w:t>
            </w: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w:t>
            </w:r>
          </w:p>
        </w:tc>
        <w:tc>
          <w:tcPr>
            <w:tcW w:w="840" w:type="dxa"/>
            <w:vAlign w:val="bottom"/>
          </w:tcPr>
          <w:p>
            <w:pPr>
              <w:spacing w:after="0"/>
              <w:rPr>
                <w:sz w:val="9"/>
                <w:szCs w:val="9"/>
                <w:color w:val="auto"/>
              </w:rPr>
            </w:pPr>
          </w:p>
        </w:tc>
        <w:tc>
          <w:tcPr>
            <w:tcW w:w="1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660" w:type="dxa"/>
            <w:vAlign w:val="bottom"/>
          </w:tcPr>
          <w:p>
            <w:pPr>
              <w:ind w:left="60"/>
              <w:spacing w:after="0"/>
              <w:rPr>
                <w:sz w:val="20"/>
                <w:szCs w:val="20"/>
                <w:color w:val="auto"/>
              </w:rPr>
            </w:pPr>
            <w:r>
              <w:rPr>
                <w:rFonts w:ascii="Arial" w:cs="Arial" w:eastAsia="Arial" w:hAnsi="Arial"/>
                <w:sz w:val="10"/>
                <w:szCs w:val="10"/>
                <w:b w:val="1"/>
                <w:bCs w:val="1"/>
                <w:color w:val="auto"/>
              </w:rPr>
              <w:t>Exercisable</w:t>
            </w:r>
          </w:p>
        </w:tc>
        <w:tc>
          <w:tcPr>
            <w:tcW w:w="600" w:type="dxa"/>
            <w:vAlign w:val="bottom"/>
          </w:tcPr>
          <w:p>
            <w:pPr>
              <w:ind w:left="60"/>
              <w:spacing w:after="0"/>
              <w:rPr>
                <w:sz w:val="20"/>
                <w:szCs w:val="20"/>
                <w:color w:val="auto"/>
              </w:rPr>
            </w:pPr>
            <w:r>
              <w:rPr>
                <w:rFonts w:ascii="Arial" w:cs="Arial" w:eastAsia="Arial" w:hAnsi="Arial"/>
                <w:sz w:val="10"/>
                <w:szCs w:val="10"/>
                <w:b w:val="1"/>
                <w:bCs w:val="1"/>
                <w:color w:val="auto"/>
              </w:rPr>
              <w:t>Date</w:t>
            </w:r>
          </w:p>
        </w:tc>
        <w:tc>
          <w:tcPr>
            <w:tcW w:w="1820" w:type="dxa"/>
            <w:vAlign w:val="bottom"/>
            <w:vMerge w:val="continue"/>
          </w:tcPr>
          <w:p>
            <w:pPr>
              <w:spacing w:after="0"/>
              <w:rPr>
                <w:sz w:val="11"/>
                <w:szCs w:val="11"/>
                <w:color w:val="auto"/>
              </w:rPr>
            </w:pPr>
          </w:p>
        </w:tc>
        <w:tc>
          <w:tcPr>
            <w:tcW w:w="960" w:type="dxa"/>
            <w:vAlign w:val="bottom"/>
          </w:tcPr>
          <w:p>
            <w:pPr>
              <w:ind w:left="360"/>
              <w:spacing w:after="0"/>
              <w:rPr>
                <w:sz w:val="20"/>
                <w:szCs w:val="20"/>
                <w:color w:val="auto"/>
              </w:rPr>
            </w:pPr>
            <w:r>
              <w:rPr>
                <w:rFonts w:ascii="Arial" w:cs="Arial" w:eastAsia="Arial" w:hAnsi="Arial"/>
                <w:sz w:val="10"/>
                <w:szCs w:val="10"/>
                <w:b w:val="1"/>
                <w:bCs w:val="1"/>
                <w:color w:val="auto"/>
              </w:rPr>
              <w:t>Shares</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70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82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16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70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Stock Option (Right to Buy)</w:t>
            </w:r>
          </w:p>
        </w:tc>
        <w:tc>
          <w:tcPr>
            <w:tcW w:w="660" w:type="dxa"/>
            <w:vAlign w:val="bottom"/>
          </w:tcPr>
          <w:p>
            <w:pPr>
              <w:ind w:left="280"/>
              <w:spacing w:after="0"/>
              <w:rPr>
                <w:sz w:val="20"/>
                <w:szCs w:val="20"/>
                <w:color w:val="auto"/>
              </w:rPr>
            </w:pPr>
            <w:r>
              <w:rPr>
                <w:rFonts w:ascii="Times New Roman" w:cs="Times New Roman" w:eastAsia="Times New Roman" w:hAnsi="Times New Roman"/>
                <w:sz w:val="8"/>
                <w:szCs w:val="8"/>
                <w:color w:val="008000"/>
              </w:rPr>
              <w:t>(1)</w:t>
            </w:r>
          </w:p>
        </w:tc>
        <w:tc>
          <w:tcPr>
            <w:tcW w:w="600" w:type="dxa"/>
            <w:vAlign w:val="bottom"/>
          </w:tcPr>
          <w:p>
            <w:pPr>
              <w:jc w:val="center"/>
              <w:spacing w:after="0"/>
              <w:rPr>
                <w:sz w:val="20"/>
                <w:szCs w:val="20"/>
                <w:color w:val="auto"/>
              </w:rPr>
            </w:pPr>
            <w:r>
              <w:rPr>
                <w:rFonts w:ascii="Times New Roman" w:cs="Times New Roman" w:eastAsia="Times New Roman" w:hAnsi="Times New Roman"/>
                <w:sz w:val="10"/>
                <w:szCs w:val="10"/>
                <w:color w:val="0000FF"/>
                <w:w w:val="96"/>
              </w:rPr>
              <w:t>01/30/2030</w:t>
            </w:r>
          </w:p>
        </w:tc>
        <w:tc>
          <w:tcPr>
            <w:tcW w:w="1820" w:type="dxa"/>
            <w:vAlign w:val="bottom"/>
          </w:tcPr>
          <w:p>
            <w:pPr>
              <w:ind w:left="660"/>
              <w:spacing w:after="0"/>
              <w:rPr>
                <w:sz w:val="20"/>
                <w:szCs w:val="20"/>
                <w:color w:val="auto"/>
              </w:rPr>
            </w:pPr>
            <w:r>
              <w:rPr>
                <w:rFonts w:ascii="Times New Roman" w:cs="Times New Roman" w:eastAsia="Times New Roman" w:hAnsi="Times New Roman"/>
                <w:sz w:val="13"/>
                <w:szCs w:val="13"/>
                <w:color w:val="0000FF"/>
              </w:rPr>
              <w:t>Common Stock</w:t>
            </w:r>
          </w:p>
        </w:tc>
        <w:tc>
          <w:tcPr>
            <w:tcW w:w="960" w:type="dxa"/>
            <w:vAlign w:val="bottom"/>
          </w:tcPr>
          <w:p>
            <w:pPr>
              <w:jc w:val="right"/>
              <w:ind w:right="44"/>
              <w:spacing w:after="0"/>
              <w:rPr>
                <w:sz w:val="20"/>
                <w:szCs w:val="20"/>
                <w:color w:val="auto"/>
              </w:rPr>
            </w:pPr>
            <w:r>
              <w:rPr>
                <w:rFonts w:ascii="Times New Roman" w:cs="Times New Roman" w:eastAsia="Times New Roman" w:hAnsi="Times New Roman"/>
                <w:sz w:val="13"/>
                <w:szCs w:val="13"/>
                <w:color w:val="0000FF"/>
              </w:rPr>
              <w:t>435,368</w:t>
            </w:r>
          </w:p>
        </w:tc>
        <w:tc>
          <w:tcPr>
            <w:tcW w:w="720" w:type="dxa"/>
            <w:vAlign w:val="bottom"/>
          </w:tcPr>
          <w:p>
            <w:pPr>
              <w:ind w:left="280"/>
              <w:spacing w:after="0"/>
              <w:rPr>
                <w:sz w:val="20"/>
                <w:szCs w:val="20"/>
                <w:color w:val="auto"/>
              </w:rPr>
            </w:pPr>
            <w:r>
              <w:rPr>
                <w:rFonts w:ascii="Times New Roman" w:cs="Times New Roman" w:eastAsia="Times New Roman" w:hAnsi="Times New Roman"/>
                <w:sz w:val="13"/>
                <w:szCs w:val="13"/>
                <w:color w:val="0000FF"/>
              </w:rPr>
              <w:t>0.46</w:t>
            </w:r>
          </w:p>
        </w:tc>
        <w:tc>
          <w:tcPr>
            <w:tcW w:w="840" w:type="dxa"/>
            <w:vAlign w:val="bottom"/>
          </w:tcPr>
          <w:p>
            <w:pPr>
              <w:ind w:left="440"/>
              <w:spacing w:after="0"/>
              <w:rPr>
                <w:sz w:val="20"/>
                <w:szCs w:val="20"/>
                <w:color w:val="auto"/>
              </w:rPr>
            </w:pPr>
            <w:r>
              <w:rPr>
                <w:rFonts w:ascii="Times New Roman" w:cs="Times New Roman" w:eastAsia="Times New Roman" w:hAnsi="Times New Roman"/>
                <w:sz w:val="13"/>
                <w:szCs w:val="13"/>
                <w:color w:val="0000FF"/>
              </w:rPr>
              <w:t>D</w:t>
            </w:r>
          </w:p>
        </w:tc>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3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70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Stock Option (Right to Buy)</w:t>
            </w:r>
          </w:p>
        </w:tc>
        <w:tc>
          <w:tcPr>
            <w:tcW w:w="660" w:type="dxa"/>
            <w:vAlign w:val="bottom"/>
          </w:tcPr>
          <w:p>
            <w:pPr>
              <w:ind w:left="280"/>
              <w:spacing w:after="0"/>
              <w:rPr>
                <w:sz w:val="20"/>
                <w:szCs w:val="20"/>
                <w:color w:val="auto"/>
              </w:rPr>
            </w:pPr>
            <w:r>
              <w:rPr>
                <w:rFonts w:ascii="Times New Roman" w:cs="Times New Roman" w:eastAsia="Times New Roman" w:hAnsi="Times New Roman"/>
                <w:sz w:val="8"/>
                <w:szCs w:val="8"/>
                <w:color w:val="008000"/>
              </w:rPr>
              <w:t>(2)</w:t>
            </w:r>
          </w:p>
        </w:tc>
        <w:tc>
          <w:tcPr>
            <w:tcW w:w="600" w:type="dxa"/>
            <w:vAlign w:val="bottom"/>
          </w:tcPr>
          <w:p>
            <w:pPr>
              <w:jc w:val="center"/>
              <w:spacing w:after="0"/>
              <w:rPr>
                <w:sz w:val="20"/>
                <w:szCs w:val="20"/>
                <w:color w:val="auto"/>
              </w:rPr>
            </w:pPr>
            <w:r>
              <w:rPr>
                <w:rFonts w:ascii="Times New Roman" w:cs="Times New Roman" w:eastAsia="Times New Roman" w:hAnsi="Times New Roman"/>
                <w:sz w:val="10"/>
                <w:szCs w:val="10"/>
                <w:color w:val="0000FF"/>
                <w:w w:val="96"/>
              </w:rPr>
              <w:t>02/25/2032</w:t>
            </w:r>
          </w:p>
        </w:tc>
        <w:tc>
          <w:tcPr>
            <w:tcW w:w="1820" w:type="dxa"/>
            <w:vAlign w:val="bottom"/>
          </w:tcPr>
          <w:p>
            <w:pPr>
              <w:ind w:left="660"/>
              <w:spacing w:after="0"/>
              <w:rPr>
                <w:sz w:val="20"/>
                <w:szCs w:val="20"/>
                <w:color w:val="auto"/>
              </w:rPr>
            </w:pPr>
            <w:r>
              <w:rPr>
                <w:rFonts w:ascii="Times New Roman" w:cs="Times New Roman" w:eastAsia="Times New Roman" w:hAnsi="Times New Roman"/>
                <w:sz w:val="13"/>
                <w:szCs w:val="13"/>
                <w:color w:val="0000FF"/>
              </w:rPr>
              <w:t>Common Stock</w:t>
            </w:r>
          </w:p>
        </w:tc>
        <w:tc>
          <w:tcPr>
            <w:tcW w:w="960" w:type="dxa"/>
            <w:vAlign w:val="bottom"/>
          </w:tcPr>
          <w:p>
            <w:pPr>
              <w:jc w:val="right"/>
              <w:ind w:right="44"/>
              <w:spacing w:after="0"/>
              <w:rPr>
                <w:sz w:val="20"/>
                <w:szCs w:val="20"/>
                <w:color w:val="auto"/>
              </w:rPr>
            </w:pPr>
            <w:r>
              <w:rPr>
                <w:rFonts w:ascii="Times New Roman" w:cs="Times New Roman" w:eastAsia="Times New Roman" w:hAnsi="Times New Roman"/>
                <w:sz w:val="13"/>
                <w:szCs w:val="13"/>
                <w:color w:val="0000FF"/>
              </w:rPr>
              <w:t>160,000</w:t>
            </w:r>
          </w:p>
        </w:tc>
        <w:tc>
          <w:tcPr>
            <w:tcW w:w="720" w:type="dxa"/>
            <w:vAlign w:val="bottom"/>
          </w:tcPr>
          <w:p>
            <w:pPr>
              <w:ind w:left="280"/>
              <w:spacing w:after="0"/>
              <w:rPr>
                <w:sz w:val="20"/>
                <w:szCs w:val="20"/>
                <w:color w:val="auto"/>
              </w:rPr>
            </w:pPr>
            <w:r>
              <w:rPr>
                <w:rFonts w:ascii="Times New Roman" w:cs="Times New Roman" w:eastAsia="Times New Roman" w:hAnsi="Times New Roman"/>
                <w:sz w:val="13"/>
                <w:szCs w:val="13"/>
                <w:color w:val="0000FF"/>
              </w:rPr>
              <w:t>3.78</w:t>
            </w:r>
          </w:p>
        </w:tc>
        <w:tc>
          <w:tcPr>
            <w:tcW w:w="840" w:type="dxa"/>
            <w:vAlign w:val="bottom"/>
          </w:tcPr>
          <w:p>
            <w:pPr>
              <w:ind w:left="440"/>
              <w:spacing w:after="0"/>
              <w:rPr>
                <w:sz w:val="20"/>
                <w:szCs w:val="20"/>
                <w:color w:val="auto"/>
              </w:rPr>
            </w:pPr>
            <w:r>
              <w:rPr>
                <w:rFonts w:ascii="Times New Roman" w:cs="Times New Roman" w:eastAsia="Times New Roman" w:hAnsi="Times New Roman"/>
                <w:sz w:val="13"/>
                <w:szCs w:val="13"/>
                <w:color w:val="0000FF"/>
              </w:rPr>
              <w:t>D</w:t>
            </w:r>
          </w:p>
        </w:tc>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20" w:type="dxa"/>
            <w:vAlign w:val="bottom"/>
            <w:tcBorders>
              <w:bottom w:val="single" w:sz="8" w:color="2C2C2C"/>
            </w:tcBorders>
          </w:tcPr>
          <w:p>
            <w:pPr>
              <w:spacing w:after="0"/>
              <w:rPr>
                <w:sz w:val="3"/>
                <w:szCs w:val="3"/>
                <w:color w:val="auto"/>
              </w:rPr>
            </w:pPr>
          </w:p>
        </w:tc>
        <w:tc>
          <w:tcPr>
            <w:tcW w:w="3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00" w:type="dxa"/>
            <w:vAlign w:val="bottom"/>
          </w:tcPr>
          <w:p>
            <w:pPr>
              <w:ind w:left="20"/>
              <w:spacing w:after="0"/>
              <w:rPr>
                <w:sz w:val="20"/>
                <w:szCs w:val="20"/>
                <w:color w:val="auto"/>
              </w:rPr>
            </w:pPr>
            <w:r>
              <w:rPr>
                <w:rFonts w:ascii="Arial" w:cs="Arial" w:eastAsia="Arial" w:hAnsi="Arial"/>
                <w:sz w:val="10"/>
                <w:szCs w:val="10"/>
                <w:b w:val="1"/>
                <w:bCs w:val="1"/>
                <w:color w:val="auto"/>
              </w:rPr>
              <w:t>Explanation of Responses:</w:t>
            </w: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5" w:lineRule="exact"/>
        <w:rPr>
          <w:sz w:val="24"/>
          <w:szCs w:val="24"/>
          <w:color w:val="auto"/>
        </w:rPr>
      </w:pPr>
    </w:p>
    <w:p>
      <w:pPr>
        <w:ind w:left="40" w:right="460" w:hanging="10"/>
        <w:spacing w:after="0" w:line="244" w:lineRule="auto"/>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Subject to reporting person's continuous status as a "Service Provider" (as defined in the Nautilus Subsidiary, Inc. 2017 Equity Incentive Plan) through each vesting date, twenty-five percent (25%) of the shares subject to the Option shall vest on the one (1) year anniversary of the Vesting Commencement Date (as defined below), and one thirty-sixth (1/36th) of the remaining shares subject to the Option shall vest each month thereafter on the same day of the month as the Vesting Commencement Date (and if there is no corresponding day, on the last day of the month). The Vesting Commencement date is January 21, 2020.</w:t>
      </w:r>
    </w:p>
    <w:p>
      <w:pPr>
        <w:spacing w:after="0" w:line="19" w:lineRule="exact"/>
        <w:rPr>
          <w:rFonts w:ascii="Times New Roman" w:cs="Times New Roman" w:eastAsia="Times New Roman" w:hAnsi="Times New Roman"/>
          <w:sz w:val="10"/>
          <w:szCs w:val="10"/>
          <w:color w:val="008000"/>
        </w:rPr>
      </w:pPr>
    </w:p>
    <w:p>
      <w:pPr>
        <w:ind w:left="40" w:right="80" w:hanging="10"/>
        <w:spacing w:after="0" w:line="244" w:lineRule="auto"/>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Subject to reporting person's continuous status as a "Service Provider" (as defined in the the Issuer's 2021 Equity Incentive Plan) through each vesting date, twenty-five percent (25%) of the shares subject to the Option shall vest on the one (1) year anniversary of the Vesting Commencement Date (as defined below), and one thirty-sixth (1/36th) of the remaining shares subject to the Option shall vest each month thereafter on the same day of the month as the Vesting Commencement Date (and if there is no corresponding day, on the last day of the month). The Vesting Commencement Date is February 25, 2022.</w:t>
      </w:r>
    </w:p>
    <w:p>
      <w:pPr>
        <w:sectPr>
          <w:pgSz w:w="11900" w:h="16838" w:orient="portrait"/>
          <w:cols w:equalWidth="0" w:num="1">
            <w:col w:w="11020"/>
          </w:cols>
          <w:pgMar w:left="440" w:top="199" w:right="439" w:bottom="1440" w:gutter="0" w:footer="0" w:header="0"/>
          <w:type w:val="continuous"/>
        </w:sectPr>
      </w:pPr>
    </w:p>
    <w:p>
      <w:pPr>
        <w:spacing w:after="0" w:line="1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101" w:lineRule="exact"/>
        <w:rPr>
          <w:sz w:val="24"/>
          <w:szCs w:val="24"/>
          <w:color w:val="auto"/>
        </w:rPr>
      </w:pPr>
    </w:p>
    <w:p>
      <w:pPr>
        <w:ind w:left="6620"/>
        <w:spacing w:after="0"/>
        <w:rPr>
          <w:sz w:val="20"/>
          <w:szCs w:val="20"/>
          <w:color w:val="auto"/>
        </w:rPr>
      </w:pPr>
      <w:r>
        <w:rPr>
          <w:rFonts w:ascii="Times New Roman" w:cs="Times New Roman" w:eastAsia="Times New Roman" w:hAnsi="Times New Roman"/>
          <w:sz w:val="12"/>
          <w:szCs w:val="12"/>
          <w:color w:val="0000FF"/>
        </w:rPr>
        <w:t>/s/ Matthew B. Murphy, as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4201160</wp:posOffset>
            </wp:positionH>
            <wp:positionV relativeFrom="paragraph">
              <wp:posOffset>1270</wp:posOffset>
            </wp:positionV>
            <wp:extent cx="131445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314450" cy="6350"/>
                    </a:xfrm>
                    <a:prstGeom prst="rect">
                      <a:avLst/>
                    </a:prstGeom>
                    <a:noFill/>
                  </pic:spPr>
                </pic:pic>
              </a:graphicData>
            </a:graphic>
          </wp:anchor>
        </w:drawing>
      </w:r>
    </w:p>
    <w:p>
      <w:pPr>
        <w:spacing w:after="0" w:line="10" w:lineRule="exact"/>
        <w:rPr>
          <w:sz w:val="24"/>
          <w:szCs w:val="24"/>
          <w:color w:val="auto"/>
        </w:rPr>
      </w:pPr>
    </w:p>
    <w:p>
      <w:pPr>
        <w:ind w:left="6620"/>
        <w:spacing w:after="0"/>
        <w:rPr>
          <w:sz w:val="20"/>
          <w:szCs w:val="20"/>
          <w:color w:val="auto"/>
        </w:rPr>
      </w:pPr>
      <w:r>
        <w:rPr>
          <w:rFonts w:ascii="Times New Roman" w:cs="Times New Roman" w:eastAsia="Times New Roman" w:hAnsi="Times New Roman"/>
          <w:sz w:val="13"/>
          <w:szCs w:val="13"/>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4201160</wp:posOffset>
            </wp:positionH>
            <wp:positionV relativeFrom="paragraph">
              <wp:posOffset>-10160</wp:posOffset>
            </wp:positionV>
            <wp:extent cx="14224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2240" cy="6350"/>
                    </a:xfrm>
                    <a:prstGeom prst="rect">
                      <a:avLst/>
                    </a:prstGeom>
                    <a:noFill/>
                  </pic:spPr>
                </pic:pic>
              </a:graphicData>
            </a:graphic>
          </wp:anchor>
        </w:drawing>
      </w:r>
    </w:p>
    <w:p>
      <w:pPr>
        <w:spacing w:after="0" w:line="22" w:lineRule="exact"/>
        <w:rPr>
          <w:sz w:val="24"/>
          <w:szCs w:val="24"/>
          <w:color w:val="auto"/>
        </w:rPr>
      </w:pPr>
    </w:p>
    <w:p>
      <w:pPr>
        <w:ind w:left="6620"/>
        <w:spacing w:after="0"/>
        <w:rPr>
          <w:sz w:val="20"/>
          <w:szCs w:val="20"/>
          <w:color w:val="auto"/>
        </w:rPr>
      </w:pPr>
      <w:r>
        <w:rPr>
          <w:rFonts w:ascii="Arial" w:cs="Arial" w:eastAsia="Arial" w:hAnsi="Arial"/>
          <w:sz w:val="10"/>
          <w:szCs w:val="10"/>
          <w:color w:val="auto"/>
        </w:rPr>
        <w:t>** Signature of Reporting Person</w:t>
      </w:r>
    </w:p>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0000FF"/>
        </w:rPr>
        <w:t>07/01/2022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376555"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76555" cy="6350"/>
                    </a:xfrm>
                    <a:prstGeom prst="rect">
                      <a:avLst/>
                    </a:prstGeom>
                    <a:noFill/>
                  </pic:spPr>
                </pic:pic>
              </a:graphicData>
            </a:graphic>
          </wp:anchor>
        </w:drawing>
      </w:r>
    </w:p>
    <w:p>
      <w:pPr>
        <w:spacing w:after="0" w:line="110" w:lineRule="exact"/>
        <w:rPr>
          <w:sz w:val="24"/>
          <w:szCs w:val="24"/>
          <w:color w:val="auto"/>
        </w:rPr>
      </w:pPr>
    </w:p>
    <w:p>
      <w:pPr>
        <w:spacing w:after="0"/>
        <w:rPr>
          <w:sz w:val="20"/>
          <w:szCs w:val="20"/>
          <w:color w:val="auto"/>
        </w:rPr>
      </w:pPr>
      <w:r>
        <w:rPr>
          <w:rFonts w:ascii="Arial" w:cs="Arial" w:eastAsia="Arial" w:hAnsi="Arial"/>
          <w:sz w:val="10"/>
          <w:szCs w:val="10"/>
          <w:color w:val="auto"/>
        </w:rPr>
        <w:t>Date</w:t>
      </w:r>
    </w:p>
    <w:p>
      <w:pPr>
        <w:spacing w:after="0" w:line="35" w:lineRule="exact"/>
        <w:rPr>
          <w:sz w:val="24"/>
          <w:szCs w:val="24"/>
          <w:color w:val="auto"/>
        </w:rPr>
      </w:pPr>
    </w:p>
    <w:p>
      <w:pPr>
        <w:sectPr>
          <w:pgSz w:w="11900" w:h="16838" w:orient="portrait"/>
          <w:cols w:equalWidth="0" w:num="2">
            <w:col w:w="8680" w:space="140"/>
            <w:col w:w="2200"/>
          </w:cols>
          <w:pgMar w:left="440" w:top="199" w:right="439" w:bottom="1440" w:gutter="0" w:footer="0" w:header="0"/>
          <w:type w:val="continuous"/>
        </w:sectPr>
      </w:pPr>
    </w:p>
    <w:p>
      <w:pPr>
        <w:ind w:left="40"/>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5 (b)(v).</w:t>
      </w:r>
    </w:p>
    <w:p>
      <w:pPr>
        <w:spacing w:after="0" w:line="35" w:lineRule="exact"/>
        <w:rPr>
          <w:sz w:val="24"/>
          <w:szCs w:val="24"/>
          <w:color w:val="auto"/>
        </w:rPr>
      </w:pPr>
    </w:p>
    <w:p>
      <w:pPr>
        <w:jc w:val="both"/>
        <w:ind w:left="40" w:right="5220" w:hanging="10"/>
        <w:spacing w:after="0" w:line="348" w:lineRule="auto"/>
        <w:tabs>
          <w:tab w:leader="none" w:pos="146" w:val="left"/>
        </w:tabs>
        <w:numPr>
          <w:ilvl w:val="0"/>
          <w:numId w:val="2"/>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40"/>
        <w:spacing w:after="0"/>
        <w:rPr>
          <w:rFonts w:ascii="Arial" w:cs="Arial" w:eastAsia="Arial" w:hAnsi="Arial"/>
          <w:sz w:val="9"/>
          <w:szCs w:val="9"/>
          <w:color w:val="auto"/>
        </w:rPr>
      </w:pPr>
      <w:r>
        <w:rPr>
          <w:rFonts w:ascii="Arial" w:cs="Arial" w:eastAsia="Arial" w:hAnsi="Arial"/>
          <w:sz w:val="9"/>
          <w:szCs w:val="9"/>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20"/>
          </w:cols>
          <w:pgMar w:left="440" w:top="199"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POWER OF ATTORNEY</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The undersigned, as a Section 16 reporting person of Nautilus Biotechnology, Inc. (the "Company"), hereby constitutes and appoints Sujal Patel</w:t>
      </w:r>
    </w:p>
    <w:p>
      <w:pPr>
        <w:spacing w:after="0" w:line="153" w:lineRule="exact"/>
        <w:rPr>
          <w:sz w:val="20"/>
          <w:szCs w:val="20"/>
          <w:color w:val="auto"/>
        </w:rPr>
      </w:pPr>
    </w:p>
    <w:p>
      <w:pPr>
        <w:ind w:left="460" w:hanging="460"/>
        <w:spacing w:after="0"/>
        <w:tabs>
          <w:tab w:leader="none" w:pos="460" w:val="left"/>
        </w:tabs>
        <w:numPr>
          <w:ilvl w:val="0"/>
          <w:numId w:val="3"/>
        </w:numPr>
        <w:rPr>
          <w:rFonts w:ascii="Courier New" w:cs="Courier New" w:eastAsia="Courier New" w:hAnsi="Courier New"/>
          <w:sz w:val="13"/>
          <w:szCs w:val="13"/>
          <w:color w:val="auto"/>
        </w:rPr>
      </w:pPr>
      <w:r>
        <w:rPr>
          <w:rFonts w:ascii="Courier New" w:cs="Courier New" w:eastAsia="Courier New" w:hAnsi="Courier New"/>
          <w:sz w:val="13"/>
          <w:szCs w:val="13"/>
          <w:color w:val="auto"/>
        </w:rPr>
        <w:t>complete and execute Forms 3, 4 and 5 and other forms and all amendments thereto as such attorneys-in-fact shall in their discretion det</w:t>
      </w:r>
    </w:p>
    <w:p>
      <w:pPr>
        <w:spacing w:after="0" w:line="152" w:lineRule="exact"/>
        <w:rPr>
          <w:rFonts w:ascii="Courier New" w:cs="Courier New" w:eastAsia="Courier New" w:hAnsi="Courier New"/>
          <w:sz w:val="13"/>
          <w:szCs w:val="13"/>
          <w:color w:val="auto"/>
        </w:rPr>
      </w:pPr>
    </w:p>
    <w:p>
      <w:pPr>
        <w:jc w:val="both"/>
        <w:spacing w:after="0" w:line="529" w:lineRule="auto"/>
        <w:tabs>
          <w:tab w:leader="none" w:pos="468" w:val="left"/>
        </w:tabs>
        <w:numPr>
          <w:ilvl w:val="0"/>
          <w:numId w:val="3"/>
        </w:numPr>
        <w:rPr>
          <w:rFonts w:ascii="Courier New" w:cs="Courier New" w:eastAsia="Courier New" w:hAnsi="Courier New"/>
          <w:sz w:val="13"/>
          <w:szCs w:val="13"/>
          <w:color w:val="auto"/>
        </w:rPr>
      </w:pPr>
      <w:r>
        <w:rPr>
          <w:rFonts w:ascii="Courier New" w:cs="Courier New" w:eastAsia="Courier New" w:hAnsi="Courier New"/>
          <w:sz w:val="13"/>
          <w:szCs w:val="13"/>
          <w:color w:val="auto"/>
        </w:rPr>
        <w:t>do all acts necessary in order to file such forms with the Securities and Exchange Commission, any securities exchange or national assoc The undersigned hereby ratifies and confirms all that said attorneys in-fact and agent shall do or cause to be done by virtue hereof. The und This Power of Attorney shall remain in full force and effect until the undersigned is no longer required to file Forms 3, 4 and 5 with respect IN WITNESS WHEREOF, the undersigned has caused this Power of Attorney to be executed as of this 28th day of June, 2022.</w:t>
      </w:r>
    </w:p>
    <w:p>
      <w:pPr>
        <w:spacing w:after="0" w:line="203" w:lineRule="exact"/>
        <w:rPr>
          <w:sz w:val="20"/>
          <w:szCs w:val="20"/>
          <w:color w:val="auto"/>
        </w:rPr>
      </w:pPr>
    </w:p>
    <w:p>
      <w:pPr>
        <w:spacing w:after="0"/>
        <w:tabs>
          <w:tab w:leader="none" w:pos="1000" w:val="left"/>
        </w:tabs>
        <w:rPr>
          <w:sz w:val="20"/>
          <w:szCs w:val="20"/>
          <w:color w:val="auto"/>
        </w:rPr>
      </w:pPr>
      <w:r>
        <w:rPr>
          <w:rFonts w:ascii="Courier New" w:cs="Courier New" w:eastAsia="Courier New" w:hAnsi="Courier New"/>
          <w:sz w:val="13"/>
          <w:szCs w:val="13"/>
          <w:color w:val="auto"/>
        </w:rPr>
        <w:t>Signature:</w:t>
      </w:r>
      <w:r>
        <w:rPr>
          <w:sz w:val="20"/>
          <w:szCs w:val="20"/>
          <w:color w:val="auto"/>
        </w:rPr>
        <w:tab/>
      </w:r>
      <w:r>
        <w:rPr>
          <w:rFonts w:ascii="Courier New" w:cs="Courier New" w:eastAsia="Courier New" w:hAnsi="Courier New"/>
          <w:sz w:val="13"/>
          <w:szCs w:val="13"/>
          <w:color w:val="auto"/>
        </w:rPr>
        <w:t>/s/ Mary E. Godwin</w:t>
      </w:r>
    </w:p>
    <w:p>
      <w:pPr>
        <w:spacing w:after="0" w:line="153" w:lineRule="exact"/>
        <w:rPr>
          <w:sz w:val="20"/>
          <w:szCs w:val="20"/>
          <w:color w:val="auto"/>
        </w:rPr>
      </w:pPr>
    </w:p>
    <w:p>
      <w:pPr>
        <w:spacing w:after="0"/>
        <w:tabs>
          <w:tab w:leader="none" w:pos="1080" w:val="left"/>
        </w:tabs>
        <w:rPr>
          <w:sz w:val="20"/>
          <w:szCs w:val="20"/>
          <w:color w:val="auto"/>
        </w:rPr>
      </w:pPr>
      <w:r>
        <w:rPr>
          <w:rFonts w:ascii="Courier New" w:cs="Courier New" w:eastAsia="Courier New" w:hAnsi="Courier New"/>
          <w:sz w:val="13"/>
          <w:szCs w:val="13"/>
          <w:color w:val="auto"/>
        </w:rPr>
        <w:t>Print Name:</w:t>
      </w:r>
      <w:r>
        <w:rPr>
          <w:sz w:val="20"/>
          <w:szCs w:val="20"/>
          <w:color w:val="auto"/>
        </w:rPr>
        <w:tab/>
      </w:r>
      <w:r>
        <w:rPr>
          <w:rFonts w:ascii="Courier New" w:cs="Courier New" w:eastAsia="Courier New" w:hAnsi="Courier New"/>
          <w:sz w:val="12"/>
          <w:szCs w:val="12"/>
          <w:color w:val="auto"/>
        </w:rPr>
        <w:t>Mary E. Godwin</w:t>
      </w:r>
    </w:p>
    <w:sectPr>
      <w:pgSz w:w="11900" w:h="16838" w:orient="portrait"/>
      <w:cols w:equalWidth="0" w:num="1">
        <w:col w:w="11080"/>
      </w:cols>
      <w:pgMar w:left="440" w:top="11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1439716" TargetMode="External"/><Relationship Id="rId12" Type="http://schemas.openxmlformats.org/officeDocument/2006/relationships/hyperlink" Target="http://www.sec.gov/cgi-bin/browse-edgar?action=getcompany&amp;CIK=00018088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2022-07-01T16:37:02Z</dcterms:created>
  <dcterms:modified xsi:type="dcterms:W3CDTF">2022-07-01T16:37:02Z</dcterms:modified>
</cp:coreProperties>
</file>