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3820" w:type="dxa"/>
            <w:vAlign w:val="bottom"/>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2000" w:type="dxa"/>
            <w:vAlign w:val="bottom"/>
            <w:gridSpan w:val="2"/>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Stone Adam Leo</w:t>
              </w:r>
            </w:hyperlink>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20" w:type="dxa"/>
            <w:vAlign w:val="bottom"/>
          </w:tcPr>
          <w:p>
            <w:pPr>
              <w:ind w:left="80"/>
              <w:spacing w:after="0" w:line="205" w:lineRule="exact"/>
              <w:rPr>
                <w:rFonts w:ascii="Arial" w:cs="Arial" w:eastAsia="Arial" w:hAnsi="Arial"/>
                <w:sz w:val="21"/>
                <w:szCs w:val="21"/>
                <w:color w:val="0000EE"/>
              </w:rPr>
            </w:pPr>
            <w:hyperlink r:id="rId14">
              <w:r>
                <w:rPr>
                  <w:rFonts w:ascii="Arial" w:cs="Arial" w:eastAsia="Arial" w:hAnsi="Arial"/>
                  <w:sz w:val="21"/>
                  <w:szCs w:val="21"/>
                  <w:u w:val="single" w:color="auto"/>
                  <w:color w:val="0000EE"/>
                </w:rPr>
                <w:t>ARYA Sciences Acquisition Corp III</w:t>
              </w:r>
              <w:r>
                <w:rPr>
                  <w:rFonts w:ascii="Arial" w:cs="Arial" w:eastAsia="Arial" w:hAnsi="Arial"/>
                  <w:sz w:val="21"/>
                  <w:szCs w:val="21"/>
                  <w:color w:val="0000EE"/>
                </w:rPr>
                <w:t xml:space="preserve"> </w:t>
              </w:r>
            </w:hyperlink>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112"/>
        </w:trPr>
        <w:tc>
          <w:tcPr>
            <w:tcW w:w="40" w:type="dxa"/>
            <w:vAlign w:val="bottom"/>
          </w:tcPr>
          <w:p>
            <w:pPr>
              <w:spacing w:after="0"/>
              <w:rPr>
                <w:sz w:val="9"/>
                <w:szCs w:val="9"/>
                <w:color w:val="auto"/>
              </w:rPr>
            </w:pPr>
          </w:p>
        </w:tc>
        <w:tc>
          <w:tcPr>
            <w:tcW w:w="2000" w:type="dxa"/>
            <w:vAlign w:val="bottom"/>
            <w:gridSpan w:val="2"/>
            <w:vMerge w:val="continue"/>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20" w:type="dxa"/>
            <w:vAlign w:val="bottom"/>
            <w:vMerge w:val="restart"/>
          </w:tcPr>
          <w:p>
            <w:pPr>
              <w:ind w:left="80"/>
              <w:spacing w:after="0"/>
              <w:rPr>
                <w:sz w:val="20"/>
                <w:szCs w:val="20"/>
                <w:color w:val="auto"/>
              </w:rPr>
            </w:pPr>
            <w:r>
              <w:rPr>
                <w:rFonts w:ascii="Arial" w:cs="Arial" w:eastAsia="Arial" w:hAnsi="Arial"/>
                <w:sz w:val="17"/>
                <w:szCs w:val="17"/>
                <w:color w:val="0000FF"/>
              </w:rPr>
              <w:t xml:space="preserve">ARYA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3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9"/>
                <w:szCs w:val="19"/>
                <w:color w:val="auto"/>
              </w:rPr>
            </w:pPr>
          </w:p>
        </w:tc>
        <w:tc>
          <w:tcPr>
            <w:tcW w:w="3820" w:type="dxa"/>
            <w:vAlign w:val="bottom"/>
            <w:tcBorders>
              <w:bottom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1220" w:type="dxa"/>
            <w:vAlign w:val="bottom"/>
            <w:vMerge w:val="continue"/>
          </w:tcPr>
          <w:p>
            <w:pPr>
              <w:spacing w:after="0"/>
              <w:rPr>
                <w:sz w:val="4"/>
                <w:szCs w:val="4"/>
                <w:color w:val="auto"/>
              </w:rPr>
            </w:pPr>
          </w:p>
        </w:tc>
        <w:tc>
          <w:tcPr>
            <w:tcW w:w="16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382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3920"/>
        <w:spacing w:after="0" w:line="199" w:lineRule="auto"/>
        <w:rPr>
          <w:sz w:val="20"/>
          <w:szCs w:val="20"/>
          <w:color w:val="auto"/>
        </w:rPr>
      </w:pPr>
      <w:r>
        <w:rPr>
          <w:rFonts w:ascii="Arial" w:cs="Arial" w:eastAsia="Arial" w:hAnsi="Arial"/>
          <w:sz w:val="9"/>
          <w:szCs w:val="9"/>
          <w:color w:val="auto"/>
        </w:rPr>
        <w:t>3. Date of Earliest Transaction (Month/Day/Year)</w:t>
      </w:r>
    </w:p>
    <w:p>
      <w:pPr>
        <w:ind w:left="120" w:right="2960"/>
        <w:spacing w:after="0" w:line="193" w:lineRule="auto"/>
        <w:rPr>
          <w:sz w:val="20"/>
          <w:szCs w:val="20"/>
          <w:color w:val="auto"/>
        </w:rPr>
      </w:pPr>
      <w:r>
        <w:rPr>
          <w:rFonts w:ascii="Arial" w:cs="Arial" w:eastAsia="Arial" w:hAnsi="Arial"/>
          <w:sz w:val="17"/>
          <w:szCs w:val="17"/>
          <w:color w:val="0000FF"/>
        </w:rPr>
        <w:t xml:space="preserve">C/O ARYA SCIENCES ACQUISITION CORP III </w:t>
      </w:r>
      <w:r>
        <w:rPr>
          <w:rFonts w:ascii="Arial" w:cs="Arial" w:eastAsia="Arial" w:hAnsi="Arial"/>
          <w:sz w:val="34"/>
          <w:szCs w:val="34"/>
          <w:color w:val="0000FF"/>
          <w:vertAlign w:val="subscript"/>
        </w:rPr>
        <w:t>08/11/2020</w:t>
      </w:r>
      <w:r>
        <w:rPr>
          <w:rFonts w:ascii="Arial" w:cs="Arial" w:eastAsia="Arial" w:hAnsi="Arial"/>
          <w:sz w:val="17"/>
          <w:szCs w:val="17"/>
          <w:color w:val="0000FF"/>
        </w:rPr>
        <w:t xml:space="preserve"> 51 ASTOR PLACE, 10TH FLOOR</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0"/>
          <w:szCs w:val="20"/>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2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300" w:type="dxa"/>
            <w:vAlign w:val="bottom"/>
          </w:tcPr>
          <w:p>
            <w:pPr>
              <w:ind w:lef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3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300" w:type="dxa"/>
            <w:vAlign w:val="bottom"/>
            <w:vMerge w:val="restart"/>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745"/>
        <w:spacing w:after="0"/>
        <w:rPr>
          <w:sz w:val="20"/>
          <w:szCs w:val="20"/>
          <w:color w:val="auto"/>
        </w:rPr>
      </w:pPr>
      <w:r>
        <w:rPr>
          <w:rFonts w:ascii="Arial" w:cs="Arial" w:eastAsia="Arial" w:hAnsi="Arial"/>
          <w:sz w:val="17"/>
          <w:szCs w:val="17"/>
          <w:color w:val="0000FF"/>
        </w:rPr>
        <w:t>Chief Executive Officer</w:t>
      </w:r>
    </w:p>
    <w:p>
      <w:pPr>
        <w:spacing w:after="0" w:line="422"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p>
      <w:pPr>
        <w:spacing w:after="0" w:line="216"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10003</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-2484120</wp:posOffset>
            </wp:positionH>
            <wp:positionV relativeFrom="paragraph">
              <wp:posOffset>193040</wp:posOffset>
            </wp:positionV>
            <wp:extent cx="6964045" cy="1666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365" w:lineRule="exact"/>
        <w:rPr>
          <w:sz w:val="20"/>
          <w:szCs w:val="20"/>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8"/>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4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95"/>
              </w:rPr>
              <w:t>Price</w:t>
            </w: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40" w:type="dxa"/>
            <w:vAlign w:val="bottom"/>
            <w:gridSpan w:val="4"/>
          </w:tcPr>
          <w:p>
            <w:pPr>
              <w:ind w:left="2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gridSpan w:val="4"/>
          </w:tcPr>
          <w:p>
            <w:pPr>
              <w:ind w:left="20"/>
              <w:spacing w:after="0"/>
              <w:rPr>
                <w:sz w:val="20"/>
                <w:szCs w:val="20"/>
                <w:color w:val="auto"/>
              </w:rPr>
            </w:pPr>
            <w:r>
              <w:rPr>
                <w:rFonts w:ascii="Arial" w:cs="Arial" w:eastAsia="Arial" w:hAnsi="Arial"/>
                <w:sz w:val="17"/>
                <w:szCs w:val="17"/>
                <w:color w:val="0000FF"/>
              </w:rPr>
              <w:t>ARYA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tcPr>
          <w:p>
            <w:pPr>
              <w:ind w:left="60"/>
              <w:spacing w:after="0"/>
              <w:rPr>
                <w:sz w:val="20"/>
                <w:szCs w:val="20"/>
                <w:color w:val="auto"/>
              </w:rPr>
            </w:pPr>
            <w:r>
              <w:rPr>
                <w:rFonts w:ascii="Arial" w:cs="Arial" w:eastAsia="Arial" w:hAnsi="Arial"/>
                <w:sz w:val="17"/>
                <w:szCs w:val="17"/>
                <w:color w:val="0000FF"/>
              </w:rPr>
              <w:t>Class A ordinary shares</w:t>
            </w:r>
          </w:p>
        </w:tc>
        <w:tc>
          <w:tcPr>
            <w:tcW w:w="1580" w:type="dxa"/>
            <w:vAlign w:val="bottom"/>
            <w:gridSpan w:val="2"/>
          </w:tcPr>
          <w:p>
            <w:pPr>
              <w:ind w:left="640"/>
              <w:spacing w:after="0"/>
              <w:rPr>
                <w:sz w:val="20"/>
                <w:szCs w:val="20"/>
                <w:color w:val="auto"/>
              </w:rPr>
            </w:pPr>
            <w:r>
              <w:rPr>
                <w:rFonts w:ascii="Arial" w:cs="Arial" w:eastAsia="Arial" w:hAnsi="Arial"/>
                <w:sz w:val="17"/>
                <w:szCs w:val="17"/>
                <w:color w:val="0000FF"/>
              </w:rPr>
              <w:t>08/11/2020</w:t>
            </w: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ind w:left="140"/>
              <w:spacing w:after="0" w:line="213" w:lineRule="exact"/>
              <w:rPr>
                <w:sz w:val="20"/>
                <w:szCs w:val="20"/>
                <w:color w:val="auto"/>
              </w:rPr>
            </w:pPr>
            <w:r>
              <w:rPr>
                <w:rFonts w:ascii="Arial" w:cs="Arial" w:eastAsia="Arial" w:hAnsi="Arial"/>
                <w:sz w:val="24"/>
                <w:szCs w:val="24"/>
                <w:color w:val="0000FF"/>
                <w:vertAlign w:val="subscript"/>
              </w:rPr>
              <w:t>J</w:t>
            </w:r>
            <w:r>
              <w:rPr>
                <w:rFonts w:ascii="Arial" w:cs="Arial" w:eastAsia="Arial" w:hAnsi="Arial"/>
                <w:sz w:val="11"/>
                <w:szCs w:val="11"/>
                <w:color w:val="008000"/>
              </w:rPr>
              <w:t>(1)</w:t>
            </w:r>
          </w:p>
        </w:tc>
        <w:tc>
          <w:tcPr>
            <w:tcW w:w="760" w:type="dxa"/>
            <w:vAlign w:val="bottom"/>
          </w:tcPr>
          <w:p>
            <w:pPr>
              <w:ind w:left="140"/>
              <w:spacing w:after="0"/>
              <w:rPr>
                <w:sz w:val="20"/>
                <w:szCs w:val="20"/>
                <w:color w:val="auto"/>
              </w:rPr>
            </w:pPr>
            <w:r>
              <w:rPr>
                <w:rFonts w:ascii="Arial" w:cs="Arial" w:eastAsia="Arial" w:hAnsi="Arial"/>
                <w:sz w:val="17"/>
                <w:szCs w:val="17"/>
                <w:color w:val="0000FF"/>
                <w:w w:val="97"/>
              </w:rPr>
              <w:t>499,000</w:t>
            </w:r>
          </w:p>
        </w:tc>
        <w:tc>
          <w:tcPr>
            <w:tcW w:w="400" w:type="dxa"/>
            <w:vAlign w:val="bottom"/>
          </w:tcPr>
          <w:p>
            <w:pPr>
              <w:ind w:left="260"/>
              <w:spacing w:after="0"/>
              <w:rPr>
                <w:sz w:val="20"/>
                <w:szCs w:val="20"/>
                <w:color w:val="auto"/>
              </w:rPr>
            </w:pPr>
            <w:r>
              <w:rPr>
                <w:rFonts w:ascii="Arial" w:cs="Arial" w:eastAsia="Arial" w:hAnsi="Arial"/>
                <w:sz w:val="17"/>
                <w:szCs w:val="17"/>
                <w:color w:val="0000FF"/>
              </w:rPr>
              <w:t>A</w:t>
            </w:r>
          </w:p>
        </w:tc>
        <w:tc>
          <w:tcPr>
            <w:tcW w:w="24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10</w:t>
            </w:r>
          </w:p>
        </w:tc>
        <w:tc>
          <w:tcPr>
            <w:tcW w:w="1380" w:type="dxa"/>
            <w:vAlign w:val="bottom"/>
            <w:gridSpan w:val="3"/>
          </w:tcPr>
          <w:p>
            <w:pPr>
              <w:ind w:left="460"/>
              <w:spacing w:after="0"/>
              <w:rPr>
                <w:sz w:val="20"/>
                <w:szCs w:val="20"/>
                <w:color w:val="auto"/>
              </w:rPr>
            </w:pPr>
            <w:r>
              <w:rPr>
                <w:rFonts w:ascii="Arial" w:cs="Arial" w:eastAsia="Arial" w:hAnsi="Arial"/>
                <w:sz w:val="17"/>
                <w:szCs w:val="17"/>
                <w:color w:val="0000FF"/>
              </w:rPr>
              <w:t>499,000</w:t>
            </w:r>
          </w:p>
        </w:tc>
        <w:tc>
          <w:tcPr>
            <w:tcW w:w="920" w:type="dxa"/>
            <w:vAlign w:val="bottom"/>
          </w:tcPr>
          <w:p>
            <w:pPr>
              <w:ind w:left="380"/>
              <w:spacing w:after="0"/>
              <w:rPr>
                <w:sz w:val="20"/>
                <w:szCs w:val="20"/>
                <w:color w:val="auto"/>
              </w:rPr>
            </w:pPr>
            <w:r>
              <w:rPr>
                <w:rFonts w:ascii="Arial" w:cs="Arial" w:eastAsia="Arial" w:hAnsi="Arial"/>
                <w:sz w:val="17"/>
                <w:szCs w:val="17"/>
                <w:color w:val="0000FF"/>
              </w:rPr>
              <w:t>I</w:t>
            </w:r>
          </w:p>
        </w:tc>
        <w:tc>
          <w:tcPr>
            <w:tcW w:w="840" w:type="dxa"/>
            <w:vAlign w:val="bottom"/>
            <w:gridSpan w:val="4"/>
          </w:tcPr>
          <w:p>
            <w:pPr>
              <w:ind w:left="20"/>
              <w:spacing w:after="0"/>
              <w:rPr>
                <w:sz w:val="20"/>
                <w:szCs w:val="20"/>
                <w:color w:val="auto"/>
              </w:rPr>
            </w:pPr>
            <w:r>
              <w:rPr>
                <w:rFonts w:ascii="Arial" w:cs="Arial" w:eastAsia="Arial" w:hAnsi="Arial"/>
                <w:sz w:val="17"/>
                <w:szCs w:val="17"/>
                <w:color w:val="0000FF"/>
              </w:rPr>
              <w:t>Sciences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gridSpan w:val="4"/>
          </w:tcPr>
          <w:p>
            <w:pPr>
              <w:ind w:left="20"/>
              <w:spacing w:after="0"/>
              <w:rPr>
                <w:sz w:val="20"/>
                <w:szCs w:val="20"/>
                <w:color w:val="auto"/>
              </w:rPr>
            </w:pPr>
            <w:r>
              <w:rPr>
                <w:rFonts w:ascii="Arial" w:cs="Arial" w:eastAsia="Arial" w:hAnsi="Arial"/>
                <w:sz w:val="17"/>
                <w:szCs w:val="17"/>
                <w:color w:val="0000FF"/>
              </w:rPr>
              <w:t>Holdings</w:t>
            </w: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40" w:type="dxa"/>
            <w:vAlign w:val="bottom"/>
            <w:gridSpan w:val="4"/>
          </w:tcPr>
          <w:p>
            <w:pPr>
              <w:ind w:left="20"/>
              <w:spacing w:after="0" w:line="275" w:lineRule="exact"/>
              <w:rPr>
                <w:sz w:val="20"/>
                <w:szCs w:val="20"/>
                <w:color w:val="auto"/>
              </w:rPr>
            </w:pPr>
            <w:r>
              <w:rPr>
                <w:rFonts w:ascii="Arial" w:cs="Arial" w:eastAsia="Arial" w:hAnsi="Arial"/>
                <w:sz w:val="31"/>
                <w:szCs w:val="31"/>
                <w:color w:val="0000FF"/>
                <w:vertAlign w:val="subscript"/>
              </w:rPr>
              <w:t>III</w:t>
            </w:r>
            <w:r>
              <w:rPr>
                <w:rFonts w:ascii="Arial" w:cs="Arial" w:eastAsia="Arial" w:hAnsi="Arial"/>
                <w:sz w:val="11"/>
                <w:szCs w:val="11"/>
                <w:color w:val="008000"/>
              </w:rPr>
              <w:t>(2)</w:t>
            </w: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jc w:val="right"/>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9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4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Class A ordinary shares were purchased as Private Placement Shares by ARYA Sciences Holdings III (the "Sponsor") for $10.00 per share, as described under the heading "Description of Securities " in the Issuer's registration statement on Form S-1 (File No. 333- 239986).</w:t>
      </w:r>
    </w:p>
    <w:p>
      <w:pPr>
        <w:spacing w:after="0" w:line="15" w:lineRule="exact"/>
        <w:rPr>
          <w:rFonts w:ascii="Arial" w:cs="Arial" w:eastAsia="Arial" w:hAnsi="Arial"/>
          <w:sz w:val="13"/>
          <w:szCs w:val="13"/>
          <w:color w:val="008000"/>
        </w:rPr>
      </w:pPr>
    </w:p>
    <w:p>
      <w:pPr>
        <w:ind w:left="40" w:right="3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reported herein are held by the Sponsor. The Sponsor is governed by a board of directors consisting of two directors, the Reporting Person and Michael Altman. As such, the Reporting Person and Mr. Altman have voting and investment discretion with respect to the Class A ordinary shares held of record by the Sponsor and may be deemed to have shared beneficial ownership of the Class A ordinary shares held directly by the Sponsor.</w:t>
      </w:r>
    </w:p>
    <w:p>
      <w:pPr>
        <w:spacing w:after="0" w:line="39"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4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Samuel M. Cohn,</w:t>
            </w:r>
          </w:p>
        </w:tc>
        <w:tc>
          <w:tcPr>
            <w:tcW w:w="64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08/11/2020</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27440" TargetMode="External"/><Relationship Id="rId14" Type="http://schemas.openxmlformats.org/officeDocument/2006/relationships/hyperlink" Target="http://www.sec.gov/cgi-bin/browse-edgar?action=getcompany&amp;CIK=00018088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2020-08-11T19:44:44Z</dcterms:created>
  <dcterms:modified xsi:type="dcterms:W3CDTF">2020-08-11T19:44:44Z</dcterms:modified>
</cp:coreProperties>
</file>