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720" w:hanging="294"/>
        <w:spacing w:after="0"/>
        <w:tabs>
          <w:tab w:leader="none" w:pos="7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720" w:hanging="279"/>
        <w:spacing w:after="0"/>
        <w:tabs>
          <w:tab w:leader="none" w:pos="7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900" w:type="dxa"/>
        <w:tblCellMar>
          <w:top w:w="0" w:type="dxa"/>
          <w:left w:w="0" w:type="dxa"/>
          <w:bottom w:w="0" w:type="dxa"/>
          <w:right w:w="0" w:type="dxa"/>
        </w:tblCellMar>
      </w:tblPr>
      <w:tr>
        <w:trPr>
          <w:trHeight w:val="190"/>
        </w:trPr>
        <w:tc>
          <w:tcPr>
            <w:tcW w:w="35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40" w:type="dxa"/>
            <w:vAlign w:val="bottom"/>
          </w:tcPr>
          <w:p>
            <w:pPr>
              <w:jc w:val="center"/>
              <w:ind w:left="37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40" w:type="dxa"/>
            <w:vAlign w:val="bottom"/>
          </w:tcPr>
          <w:p>
            <w:pPr>
              <w:jc w:val="center"/>
              <w:ind w:left="37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69"/>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4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40" w:type="dxa"/>
            <w:vAlign w:val="bottom"/>
          </w:tcPr>
          <w:p>
            <w:pPr>
              <w:jc w:val="center"/>
              <w:ind w:left="378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580" w:type="dxa"/>
            <w:vAlign w:val="bottom"/>
          </w:tcPr>
          <w:p>
            <w:pPr>
              <w:spacing w:after="0"/>
              <w:rPr>
                <w:sz w:val="18"/>
                <w:szCs w:val="18"/>
                <w:color w:val="auto"/>
              </w:rPr>
            </w:pPr>
          </w:p>
        </w:tc>
        <w:tc>
          <w:tcPr>
            <w:tcW w:w="4940" w:type="dxa"/>
            <w:vAlign w:val="bottom"/>
          </w:tcPr>
          <w:p>
            <w:pPr>
              <w:jc w:val="right"/>
              <w:ind w:right="32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1100" w:type="dxa"/>
        <w:tblCellMar>
          <w:top w:w="0" w:type="dxa"/>
          <w:left w:w="0" w:type="dxa"/>
          <w:bottom w:w="0" w:type="dxa"/>
          <w:right w:w="0" w:type="dxa"/>
        </w:tblCellMar>
      </w:tblPr>
      <w:tr>
        <w:trPr>
          <w:trHeight w:val="252"/>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6"/>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8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NAUT</w:t>
            </w:r>
          </w:p>
        </w:tc>
        <w:tc>
          <w:tcPr>
            <w:tcW w:w="36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ind w:left="660" w:right="180" w:firstLine="324"/>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120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23, 2025, the registrant had 126,305,122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0" w:type="dxa"/>
            <w:vAlign w:val="bottom"/>
            <w:gridSpan w:val="11"/>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0" w:type="dxa"/>
            <w:vAlign w:val="bottom"/>
            <w:gridSpan w:val="11"/>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25"/>
        </w:trPr>
        <w:tc>
          <w:tcPr>
            <w:tcW w:w="10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66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60" w:type="dxa"/>
            <w:vAlign w:val="bottom"/>
            <w:gridSpan w:val="10"/>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6"/>
                <w:szCs w:val="6"/>
                <w:color w:val="0000FF"/>
                <w:w w:val="78"/>
              </w:rPr>
              <w:t>iii</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2025 and 2024</w:t>
            </w: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5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2025 and 2024</w:t>
            </w: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520" w:type="dxa"/>
            <w:vAlign w:val="bottom"/>
            <w:gridSpan w:val="22"/>
            <w:vMerge w:val="continue"/>
          </w:tcPr>
          <w:p>
            <w:pPr>
              <w:spacing w:after="0"/>
              <w:rPr>
                <w:sz w:val="22"/>
                <w:szCs w:val="22"/>
                <w:color w:val="auto"/>
              </w:rPr>
            </w:pP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gridSpan w:val="3"/>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5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 2024</w:t>
            </w: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520" w:type="dxa"/>
            <w:vAlign w:val="bottom"/>
            <w:gridSpan w:val="22"/>
            <w:vMerge w:val="continue"/>
          </w:tcPr>
          <w:p>
            <w:pPr>
              <w:spacing w:after="0"/>
              <w:rPr>
                <w:sz w:val="22"/>
                <w:szCs w:val="22"/>
                <w:color w:val="auto"/>
              </w:rPr>
            </w:pP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9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480" w:type="dxa"/>
            <w:vAlign w:val="bottom"/>
            <w:tcBorders>
              <w:top w:val="single" w:sz="8" w:color="0000FF"/>
            </w:tcBorders>
            <w:gridSpan w:val="17"/>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2024 (unaudited)</w:t>
            </w:r>
          </w:p>
        </w:tc>
        <w:tc>
          <w:tcPr>
            <w:tcW w:w="720" w:type="dxa"/>
            <w:vAlign w:val="bottom"/>
            <w:gridSpan w:val="3"/>
          </w:tcPr>
          <w:p>
            <w:pPr>
              <w:spacing w:after="0"/>
              <w:rPr>
                <w:sz w:val="23"/>
                <w:szCs w:val="23"/>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20" w:type="dxa"/>
            <w:vAlign w:val="bottom"/>
            <w:gridSpan w:val="3"/>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6"/>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60" w:type="dxa"/>
            <w:vAlign w:val="bottom"/>
            <w:gridSpan w:val="8"/>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90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8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80" w:type="dxa"/>
            <w:vAlign w:val="bottom"/>
            <w:gridSpan w:val="9"/>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0" w:type="dxa"/>
            <w:vAlign w:val="bottom"/>
            <w:gridSpan w:val="11"/>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760" w:type="dxa"/>
            <w:vAlign w:val="bottom"/>
            <w:gridSpan w:val="13"/>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920" w:type="dxa"/>
            <w:vAlign w:val="bottom"/>
            <w:gridSpan w:val="20"/>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0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29" w:lineRule="exact"/>
        <w:rPr>
          <w:sz w:val="20"/>
          <w:szCs w:val="20"/>
          <w:color w:val="auto"/>
        </w:rPr>
      </w:pPr>
    </w:p>
    <w:p>
      <w:pPr>
        <w:ind w:right="48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availability of private and public research funding for proteomics research and development activities;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 (as defined in Part I, Item I, Note 1, “Description of Business and Basis of Presentation,” in our notes to condensed consolidated financial statements in this Quarterly Report on Form 10-Q);</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length of time that our existing cash resources will fund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support,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in compliance with the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right="440" w:firstLine="332"/>
        <w:spacing w:after="0" w:line="282"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volatility in the global financial markets and general economic downturns, on the foregoing; and</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September 30, 2025 and December 31,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September 30, 2025 and</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2024; 0 shares issued and outstanding as of September 30, 2025 and December 31,</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5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September 30, 2025 and</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2024; 126,305,122 and 126,106,176 shares issued and outstanding as of</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0"/>
                <w:szCs w:val="10"/>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3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125,452,572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126,218,587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125,302,440</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securities available-for-sale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2025</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tcBorders>
              <w:top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125,406,748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125,560,309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2025</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126,106,176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00" w:type="dxa"/>
            <w:vAlign w:val="bottom"/>
            <w:tcBorders>
              <w:top w:val="single" w:sz="8" w:color="auto"/>
            </w:tcBorders>
          </w:tcPr>
          <w:p>
            <w:pPr>
              <w:spacing w:after="0"/>
              <w:rPr>
                <w:sz w:val="6"/>
                <w:szCs w:val="6"/>
                <w:color w:val="auto"/>
              </w:rPr>
            </w:pPr>
          </w:p>
        </w:tc>
        <w:tc>
          <w:tcPr>
            <w:tcW w:w="2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125,068,601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367,813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125,560,309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478,115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Nine Months Ended September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2024 on file with the SEC. The Company’s reporting currency is the U.S. dollar.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September 30, 2025, the Company had an accumulated deficit of $318.2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$131.4 million as of September 30, 2025.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loss contingency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7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and nine months ended September 30, 2025 and 2024, net unrealized gains and losses on marketable debt securities were included as a component of comprehensive income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is in the process of evaluating the impact of the adoption of this update on its consolidated financial statements and related disclosures.</w:t>
      </w:r>
    </w:p>
    <w:p>
      <w:pPr>
        <w:spacing w:after="0" w:line="1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and is not expected to have a material impact on its annual consolidated financial statements and related disclosures.</w:t>
      </w:r>
    </w:p>
    <w:p>
      <w:pPr>
        <w:spacing w:after="0" w:line="11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43,977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43,977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54,658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63,575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72,457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136,990</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76,411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unrealized losses and fair values of available-for-sale securities that have been in an unrealized loss position for a period of less than and greater than 12 months as of September 30, 2025 are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40" w:type="dxa"/>
            <w:vAlign w:val="bottom"/>
          </w:tcPr>
          <w:p>
            <w:pPr>
              <w:spacing w:after="0"/>
              <w:rPr>
                <w:sz w:val="13"/>
                <w:szCs w:val="13"/>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60" w:type="dxa"/>
            <w:vAlign w:val="bottom"/>
          </w:tcPr>
          <w:p>
            <w:pPr>
              <w:spacing w:after="0"/>
              <w:rPr>
                <w:sz w:val="13"/>
                <w:szCs w:val="13"/>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6"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and nine months ended September 30, 2025 and 2024, and had no allowance for credit losses as of September 30, 2025 and December 31, 2024.</w:t>
      </w:r>
    </w:p>
    <w:p>
      <w:pPr>
        <w:spacing w:after="0" w:line="122" w:lineRule="exact"/>
        <w:rPr>
          <w:sz w:val="20"/>
          <w:szCs w:val="20"/>
          <w:color w:val="auto"/>
        </w:rPr>
      </w:pPr>
    </w:p>
    <w:p>
      <w:pPr>
        <w:ind w:right="4660" w:firstLine="8"/>
        <w:spacing w:after="0" w:line="440"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$0.4 million and $1.3 million for the three and nine months ended September 30, 2025, and $0.5 million and $1.5 million for the three and nine months ended September 30, 2024,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 consisted of $1.0 million of restricted cash and $0.2 million of deposits as of September 30, 2025 and December 31, 2024.</w:t>
      </w:r>
    </w:p>
    <w:p>
      <w:pPr>
        <w:spacing w:after="0" w:line="16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126,305,122 shares issued and outstanding as of September 30, 2025.</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29,395,802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23,784,439</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17,268,287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16,634,775</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5,630,908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4,508,360</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52,294,997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44,927,574</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2025 and 2024, no income tax expense or benefit was recognized, due to a full valuation allowance recorded against its deferred tax assets.</w:t>
      </w:r>
    </w:p>
    <w:p>
      <w:pPr>
        <w:spacing w:after="0" w:line="1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H.R. 1, the One Big Beautiful Bill Act (“OBBBA”) into law. Two key provisions are applicable to the Company: (1) the treatment of capitalization and amortization of domestic Section 174 research and experimental expenditures or currently expensing domestic research and experimental expenditures, and (2) the allowance of 100% bonus depreciation on qualified fixed assets. The Company is currently evaluating the available implementation options and expects to finalize its approach in the fourth quarter of calendar year 2025. In accordance with U.S. GAAP, the Company has also assessed the impact of the OBBBA on its annual</w:t>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and related disclosures and does not expect a material impact given the Company has a full valuation allowance.</w:t>
      </w:r>
    </w:p>
    <w:p>
      <w:pPr>
        <w:spacing w:after="0" w:line="16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June 8, 2021, the stockholders of the Company approved the 2021 Equity Incentive Plan (“2021 Plan”) and the 2021 Employee Stock Purchase Plan (“2021 ESPP”). As of September 30, 2025, 29,395,802 and 5,630,908 shares were available for grant under the 2021 Plan and 2021 ESPP,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2025, the number of shares available under the 2021 ESPP increased by 1,261,061 shares pursuant to this feature.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right="120" w:firstLine="324"/>
        <w:spacing w:after="0" w:line="257"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2025, the number of shares available under the 2021 Plan increased by 6,305,308 shares pursuant to this feature.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6" w:right="37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4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4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0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5.3 - 6.1</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 - 102.7%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- 100.7%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 - 103.0%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- 101.1%</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- 3.88%</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- 4.14%</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- 4.04%</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- 4.60%</w:t>
            </w:r>
          </w:p>
        </w:tc>
      </w:tr>
    </w:tbl>
    <w:p>
      <w:pPr>
        <w:spacing w:after="0" w:line="19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85"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nine months ended September 30,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16,634,775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3,539,350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(2,845,405)</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17,268,287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September 30, 2025</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17,268,287</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10,828,679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$9.0 million of total unrecognized compensation expense expected to be recognized over a weighted average-period of 2.3 years. Aggregate intrinsic value represents the difference between the fair market value of the common stock and the exercise price of outstanding, in-the-money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total stock-based compensation expense included in the Company’s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580" w:firstLine="324"/>
        <w:spacing w:after="0" w:line="261"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September 30, 2025 as the Company had not yet received the related goods or services. As of September 30, 2025, the Company had open purchase commitments for goods and services of $1.2 million, of which $1.1 million are expected to be received through the next 12 months.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District Court Proceedings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September 30,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cash paid for amounts included in the measurement of operating lease liabilities included in cash flows used in operating activities was $5.4 million and $5.2 million,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$1.0 million in cash-collateralized letters of credit with one financial institution in lieu of security deposits in connection with the San Carlos and San Diego lease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25"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and nine months ended September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125,452,572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126,218,587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125,302,440</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and Nine Months Ended</w:t>
      </w:r>
    </w:p>
    <w:p>
      <w:pPr>
        <w:spacing w:after="0" w:line="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17,268,287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17,365,605</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119,275</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17,380,821</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17,484,880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is its CODM. The Company’s CODM uses consolidated net loss in assessing operating decisions, allocating resources and evaluating financial performance. Consolidated net loss is used to monitor budget versus actual results. The Company identified the following significant segment expenses for its single reportable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Payroll-related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 and laboratory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Facilities expenses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Footnotes:</w:t>
      </w:r>
    </w:p>
    <w:p>
      <w:pPr>
        <w:spacing w:after="0" w:line="42" w:lineRule="exact"/>
        <w:rPr>
          <w:sz w:val="20"/>
          <w:szCs w:val="20"/>
          <w:color w:val="auto"/>
        </w:rPr>
      </w:pPr>
    </w:p>
    <w:p>
      <w:pPr>
        <w:ind w:left="480" w:right="260" w:hanging="326"/>
        <w:spacing w:after="0" w:line="24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the Company’s single reportable segment include travel and entertainment, insurance, tax, expensed computer hardware and software, depreciation,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2024 and the related notes included in the Company’s Annual Report on Form 10-K filed with the SEC on February 27, 2025.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1"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34"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research collaborations with biopharmaceutical companies and key academic opinion leaders exploring utility of pre-commercial versions of the platform, during which we do not expect to recognize significant revenue, if any. The second phase will include an early access limited release in which we expect to engage with customers using a service model to generate pilot data on the platform in our facilities, or through on-site installation and testing to evaluate the platform at the customers’ facilities. Finally, the third phase is anticipated to include a broader commercial launch. We are currently in the collaboration phase during which we have entered into collaborations with a small number of research customers, including with biopharmaceutical companies and key academic opinion leaders in proteomics whose assessment and validation of our products can significantly influence other researchers in their respective markets and/or fields. During the second phase, we plan to provide early access to our collaborators with broadscale and targeted analysis and profiling of samples analyzed in our facility and shared via a cloud platform. We expect to work closely with early access collaborators to demonstrate the unique value proposition of our Nautilus platform. As part of the early access limited release during the second phase, we plan to leverage our publications to drive awareness and customer demand to pre-sell instruments and reagents to select customers performing large-scale proteomics research. We expect to launch early access to our platform starting with target specific service offerings in the first half of 2026 for the analysis of the microtubule-associated protein tau (or “Tau” for short), which has been broadly associated with the onset and progression of Alzheimer’s disease in human patients. Over time, we plan to extend this early access framework into a dual model that supports both targeted assays like Tau and broadscale workflows, which will offer broader proteome coverage. We do not anticipate these activities will result in any material revenue. We expect this second phase to lead into the third phase of launch of our proteome analysis platform in late 2026 and subsequent broad commercialization thereafter. Voice of customer studies have suggested strong interest in our product with recognition that our planned offering represents an entirely new class of measurement. Consequently, we have the ability to adjust our initial launch criteria for both our targeted and broadscale proteomics analysis offerings to balance time-to-market.</w:t>
      </w:r>
    </w:p>
    <w:p>
      <w:pPr>
        <w:spacing w:after="0" w:line="13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2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September 30, 2025, we had cash, cash equivalents and short-term investments of $131.4 million. As of the filing of this Quarterly Report on Form 10-Q, we believe that our existing cash, cash equivalents, and short-term investments will enable us to fund our planned operating expenses and capital expenditures through at least the next 12 months.</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was $45.2 million during the nine months ended September 30, 2025, and we expect to continue to incur significant losses for the foreseeable future as we continue our research and development activities and planned commercialization of our Nautilus platform. As of September 30, 2025, we had an accumulated deficit of $318.2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activities to develop and deliver service offerings and to establish and operate service laboratory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or at all. Our ability to raise additional funds may be adversely impacted by potential worsening global economic conditions and the disruptions to, and volatility in, the credit and financial markets in the United States and worldwide,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extreme weather conditions, economic uncertainty, increased tariffs, inflation, changing interest rates,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including closures at certain chip manufacturers, which led to extended lead times for certain chips;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w:t>
      </w:r>
    </w:p>
    <w:p>
      <w:pPr>
        <w:spacing w:after="0" w:line="1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and allocated expenses for technology and facilities. We expense research and development expenses in the periods in which they are incurred.</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While we anticipate certain cost savings associated with our workforce reductions implemented in the first quarter of 2025,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loss contingency accruals, and marketing expenses. We expense general and administrative expenses in the periods in which they are incurred.</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anticipate certain cost savings associated with our workforce reductions implemented in the first quarter of 2025,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Other income consists of interest income on our cash, cash equivalents and investments, including accretion and amortization of discounts and premiums on marketable debt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to the Three Months Ended September 30,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2014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440"/>
        <w:spacing w:after="0"/>
        <w:tabs>
          <w:tab w:leader="none" w:pos="70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1954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6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800" w:space="720"/>
            <w:col w:w="2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4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$9.6 million for the three months ended September 30, 2025, compared to $12.3 million for the three months ended September 30, 2024, a decrease of $2.7 million, or 22%. The decrease was due to a $1.3 million decrease in laboratory and professional services due to operating efficiencies and lower development-related costs, a $0.8 million decrease in salaries and related benefits driven by savings from the reduction in force implemented in March 2025, and a $0.5 million decrease in stock-based compensation. The decrease in stock-based compensation is driven by stock options granted at the time of the Merger becoming fully expensed in 2025 and lower expense associated with stock options granted since the Merger.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$5.9 million for the three months ended September 30, 2025, compared to $6.8 million for the three months ended September 30, 2024, a decrease of $0.9 million, or 14%. The decrease was primarily due to a $1.1 million decrease in stock-based compensation. The decrease is driven by stock options granted at the time of the Merger becoming fully expensed in 2025 and lower expense associated with stock options granted since the Merger.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73"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September 30, 2025 decreased compared to the three months ended September 30, 2024. The change is attributable to the decrease in interest income driven by a lower cash, cash equivalents, and investments balance as well as decreased yield rates on investments during the period.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to the Nine Months Ended September 30,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$31.5 million for the nine months ended September 30, 2025, compared to $37.7 million for the nine months ended September 30, 2024, a decrease of $6.1 million, or 16%. The decrease was due to a $3.4 million decrease in laboratory supplies and equipment expense attributable to due to operating efficiencies, lower development-related costs and continued focus on cost optimization. Also contributing to the decrease was a $1.5 million decrease in salaries and related benefits driven by savings from the reduction in force implemented in March 2025, and a $1.3 million decrease in stock-based compensation. The decrease in stock-based compensation is driven by stock options granted at the time of the Merger becoming fully expensed in 2025 and lower expense associated with stock options granted since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$19.9 million for the nine months ended September 30, 2025, compared to $23.8 million for the nine months ended September 30, 2024, a decrease of $4.0 million, or 17%. The decrease was primarily due to a $2.9 million decrease in stock-based compensation. The decrease in stock-based compensation is driven by stock options granted at the time of the Merger becoming fully expensed in 2025 and lower expense associated with stock options granted since the Merger. Also contributing to the decrease was a $1.5 million decrease in professional services attributable to legal and general consulting fees driven by professional services from fees related to the shelf registration statement filed in February 2024 and the resolution of the Standard Biotools legal matter. These decreases were partially offset by a $0.4 million increase in facilities expenses.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for the nine months ended September 30, 2025 decreased compared to the nine months ended September 30, 2024. The change is attributable to the decrease in interest income driven by a lower cash, cash equivalents, and investments balance as well as decreased yield rates on investments during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Our net loss was $45.2 million for the nine months ended September 30, 2025. As of September 30, 2025, we had an accumulated deficit of $318.2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September 30, 2025, we had cash, cash equivalents and investments of $168.5 million.</w:t>
      </w:r>
    </w:p>
    <w:p>
      <w:pPr>
        <w:spacing w:after="0" w:line="13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nine months ended September 30, 2025, we did not sell any shares of common stock pursuant to the Sales Agreement.</w:t>
      </w:r>
    </w:p>
    <w:p>
      <w:pPr>
        <w:spacing w:after="0" w:line="13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shares of our common stock to be offered and sold under the Sales Agreement will be issued and sold pursuant to our shelf registration statement on Form S-3 (File No. 333-277437) (the “Shelf Registration Statement”), which was filed with the SEC on February 28, 2024 and which became effective March 6, 2024. No securities have yet been sold under the Shelf Registration Statement.</w:t>
      </w:r>
    </w:p>
    <w:p>
      <w:pPr>
        <w:spacing w:after="0" w:line="12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Shelf Registration Statement will remain in effect for up to three years and allows us to sell from time to time up to $300.0 million of common stock, preferred stock, debt securities, depositary shares, warrants, subscription rights, purchase contracts or units comprised of any combination of these securities, for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12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with the SEC on May 2, 2025, we received a deficiency letter (the “Nasdaq Letter”) from the Nasdaq Listing Qualifications Staff, notifying the Company that we are not in compliance with Nasdaq Listing Rule 5450(a)(1), which requires the Company to maintain a minimum bid price of at least $1 per share for continued listing on The Nasdaq Global Select Market (the “Minimum Bid Price Requirement”). The Company’s failure to comply with the Minimum Bid Price Requirement was based on its common stock per share price being below the $1 threshold for a period of 30 consecutive trading days. Pursuant to the Nasdaq Letter, the Company had 180 calendar days from the date of the Nasdaq Letter, or until October 28, 2025, to regain compliance with the Minimum Bid Price Requirement. On October 15, 2025, the Company applied to transfer its listing from the Nasdaq Global Select Market to the Nasdaq Capital Market (the “Transfer”). On October 27, 2025, the Nasdaq Listing Qualifications Staff notified the Company that the Transfer was approved, to be effective October 29, 2025. In connection with the Transfer, the Company anticipates being eligible for an additional 180 calendar day period, or until April 26, 2026, to regain compliance with the Minimum Bid Price Requirement provided that the Company continues to meet the continued listing requirements of the Nasdaq Capital Market (with the exception of the Minimum Bid Price Requirement). If the Company does not regain compliance with the Minimum Bid Price Requirement by the end of the compliance period, its common stock will become subject to delisting. In connection with obtaining approval for the Transfer, the Company notified the Nasdaq Listing Qualifications Staff in writing of the Company’s intention to regain compliance with the Minimum Bid Price Requirement by effecting a reverse stock split during the additional 180 day period, if necessary. However, there can be no assurance that the Company will be able to regain compliance with the Minimum Bid Price Requirement or will otherwise be in compliance with other Nasdaq Listing Rules.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7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implemented a workforce reduction in the first quarter of 2025. The cost-saving initiatives resulted in reductions to personnel-related expenses during the period and are expected to continue throughout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we expect our expenses and capital requirements will continue to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activities to develop and deliver service offerings and to establish and operate service laboratory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the filing of this Quarterly Report on Form 10-Q, we expect our current cash, cash equivalents, and short-term investments will be sufficient to fund our operating expenses and capital expenditures for at least the next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3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or our Shelf Registration Statement,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 and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was $38.3 million, resulting from our net loss of $45.2 million and decrease in net changes in assets and liabilities aggregating $2.1 million. Net cash used in operating activities includes non-cash charges aggregating $9.0 million, which is driven by $5.4 million of stock-based compensation, $3.5 million of amortization of operating lease right-of-use assets, and $1.3 million of depreciation. These non-cash charges were partially offset by $1.3 million of net accretion of discounts on securities.</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operating activities was $44.8 million, resulting from our net loss of $53.2 million and decrease in net changes in assets and liabilities aggregating $3.9 million. Net cash used in operating activities includes non-cash charges aggregating $12.2 million, which is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by $9.6 million of stock-based compensation, $3.3 million amortization of operating lease right-of-use assets, and $1.5 million of depreciation. These non-cash charges were partially offset by $2.2 million of net accretion of discounts on securities.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investing activities was $34.4 million, resulting from $74.2 million in proceeds from the maturities of securities, partially offset by $38.8 million in purchases of securities and $1.0 million in purchases of property and equipment.</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investing activities was $29.1 million, resulting from $90.4 million in proceeds from maturities of securities, partially offset by $59.4 million in purchases of securities and $1.9 million in purchases of property and equipment.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cash provided by financing activities was comprised of $0.1 million of proceeds from the exercise of stock options and issuance of common stock under the employee stock purchase plan.</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financing activities was comprised of $0.7 million of proceeds from the exercise of stock options and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those disclosed in our audited financial statements as of and for the years ended December 31,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or December 31, 2025,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$168.5 million as of September 30, 2025.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September 30, 2025, the effect of a hypothetical 1.00% (100 basis point) change in interest rates would have changed the fair value of our marketable debt securities by $1.0 million. Such change would only be realized if we sold the marketable debt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2025.</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2025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4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8"/>
          <w:szCs w:val="18"/>
          <w:color w:val="auto"/>
        </w:rPr>
      </w:pPr>
    </w:p>
    <w:p>
      <w:pPr>
        <w:ind w:right="8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40" w:lineRule="exact"/>
        <w:rPr>
          <w:sz w:val="20"/>
          <w:szCs w:val="20"/>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07" w:lineRule="exact"/>
        <w:rPr>
          <w:rFonts w:ascii="Times New Roman" w:cs="Times New Roman" w:eastAsia="Times New Roman" w:hAnsi="Times New Roman"/>
          <w:sz w:val="18"/>
          <w:szCs w:val="18"/>
          <w:color w:val="auto"/>
        </w:rPr>
      </w:pPr>
    </w:p>
    <w:p>
      <w:pPr>
        <w:ind w:left="-40" w:right="66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40" w:right="38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the Middle East, increased tariffs, trade disputes and general economic downturns.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8"/>
          <w:szCs w:val="18"/>
          <w:color w:val="auto"/>
        </w:rPr>
      </w:pPr>
    </w:p>
    <w:p>
      <w:pPr>
        <w:ind w:left="-40" w:right="14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left="-40" w:right="20" w:firstLine="332"/>
        <w:spacing w:after="0" w:line="282" w:lineRule="auto"/>
        <w:tabs>
          <w:tab w:leader="none" w:pos="6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7" w:name="page38"/>
    <w:bookmarkEnd w:id="37"/>
    <w:p>
      <w:pPr>
        <w:spacing w:after="0" w:line="140" w:lineRule="exact"/>
        <w:rPr>
          <w:sz w:val="20"/>
          <w:szCs w:val="20"/>
          <w:color w:val="auto"/>
        </w:rPr>
      </w:pPr>
    </w:p>
    <w:p>
      <w:pPr>
        <w:ind w:right="160" w:firstLine="332"/>
        <w:spacing w:after="0" w:line="282"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$13.6 million and $45.2 million during the three and nine months ended September 30, 2025, respectively and $16.4 million and $53.2 million during the three and nine months ended September 30, 2024, respectively. As of September 30, 2025, we had an accumulated deficit of $318.2 million. These losses and accumulated deficit were primarily due to the substantial investments we made in the scientific and technological development of our Nautilus platform. While we anticipate continued cost savings associated with our workforce reductions,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3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which remains in the development stage and subject to 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and services fail to deliver currently anticipated functionality and levels of performance, if our products and/or services are found by a court of law to infringe the intellectual property of another party, or if we are unable to obtain broad scientific and market acceptance of our products, services and technologies, we may never recognize material revenue and may be unable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3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academic opinion leaders exploring utility of pre-commercial versions of the platform,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phase, we plan to provide early access to our collaborators with broadscale and targeted analysis and profiling of samples analyzed in our facility and shared via a cloud platform. We expect to work closely with early access collaborators to demonstrate the unique value proposition of our Nautilus platform. As part of the early access limited release during the second phase, we plan to leverage our publications to drive awareness and customer demand to pre-sell instruments and reagents to select customers performing large-scale proteomics research. We believe there is significant interest in our platform for targeted proteoform analysis. We expect to launch early access to our platform starting with target specific service offerings in the first half of 2026 for the analysis of the microtubule-associated protein tau (or “Tau” for short), which has been broadly associated with the onset and progression of Alzheimer’s disease in human patients. Over time, we plan to extend this early access framework into a dual model that supports both targeted assays like Tau and broadscale workflows, which will offer broader proteome coverage. We do not anticipate that these activities will result in any material revenue. We expect this second phase to lead into the third phase of launch of our proteome analysis platform in late 2026 and subsequent broad commercialization thereafter. We believe that subsequent consumable releases will enable our platform to meet or exceed our previously announced product specifications.</w:t>
      </w:r>
    </w:p>
    <w:p>
      <w:pPr>
        <w:spacing w:after="0" w:line="14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that they will be completed within the timelines currently anticipated, or that they will result in increased customer interest in our products and/or services. Given the scientific and technical complexity of our products and services, we could experience material delays in product development and commercial launch. In addition, if we are not able to supplement our initial platform release with subsequent consumable releases to enable our platform to meet or exceed our previously announced product specifications, we may lose customers or be limited in our ability to achieve market adoption. If our research and product development efforts do not result in commercially viable products and/or services within the anticipated timelines or if such products do not generate the interest in the market that we anticipate, our business, operating results, and financial condition will be adversely affected.</w:t>
      </w:r>
    </w:p>
    <w:p>
      <w:pPr>
        <w:spacing w:after="0" w:line="130"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right="60" w:firstLine="332"/>
        <w:spacing w:after="0" w:line="266"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right="58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71"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 instruments and consumables;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7"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71" w:lineRule="exact"/>
        <w:rPr>
          <w:sz w:val="20"/>
          <w:szCs w:val="20"/>
          <w:color w:val="auto"/>
        </w:rPr>
      </w:pPr>
    </w:p>
    <w:p>
      <w:pPr>
        <w:ind w:right="20" w:firstLine="332"/>
        <w:spacing w:after="0" w:line="266"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9"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rely on single source suppliers for certain components and materials used in our Nautilus platform.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such manufacturer or loss of manufacturing ability by such manufacturer could similarly require significant time, effort and expense to locate and qualify an alternative source of manufacturing, which could materially harm our business.</w:t>
      </w:r>
    </w:p>
    <w:p>
      <w:pPr>
        <w:spacing w:after="0" w:line="10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and Standard Biotools (formerly known as Somalogic). We also compete with a number of emerging companies that are developing proteomic products and solutions.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36"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volatility in the global financial markets, including with respect to any future financial institution failures;</w:t>
      </w:r>
    </w:p>
    <w:p>
      <w:pPr>
        <w:spacing w:after="0" w:line="107"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that may indirectly impact research institutions’ ability to allocate funds to different areas of research;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69" w:lineRule="exact"/>
        <w:rPr>
          <w:rFonts w:ascii="Times New Roman" w:cs="Times New Roman" w:eastAsia="Times New Roman" w:hAnsi="Times New Roman"/>
          <w:sz w:val="18"/>
          <w:szCs w:val="18"/>
          <w:color w:val="auto"/>
        </w:rPr>
      </w:pPr>
    </w:p>
    <w:p>
      <w:pPr>
        <w:ind w:right="220" w:firstLine="332"/>
        <w:spacing w:after="0" w:line="284"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availability of AI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based research and development approaches, such as in drug discovery, that could impact funding allocations for R&amp;D in the pharmaceutical and biotechnology industry;</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4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08" w:lineRule="exact"/>
        <w:rPr>
          <w:sz w:val="20"/>
          <w:szCs w:val="20"/>
          <w:color w:val="auto"/>
        </w:rPr>
      </w:pPr>
    </w:p>
    <w:p>
      <w:pPr>
        <w:ind w:right="16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and/or unpredictable tariffs on our products, and/or on parts or materials that we source from foreign suppliers;</w:t>
      </w:r>
    </w:p>
    <w:p>
      <w:pPr>
        <w:spacing w:after="0" w:line="171" w:lineRule="exact"/>
        <w:rPr>
          <w:rFonts w:ascii="Times New Roman" w:cs="Times New Roman" w:eastAsia="Times New Roman" w:hAnsi="Times New Roman"/>
          <w:sz w:val="18"/>
          <w:szCs w:val="18"/>
          <w:color w:val="auto"/>
        </w:rPr>
      </w:pPr>
    </w:p>
    <w:p>
      <w:pPr>
        <w:ind w:right="140" w:firstLine="332"/>
        <w:spacing w:after="0" w:line="266"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Eastern Europe and the Middle East,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1"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capital to fund our development and commercialization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71" w:lineRule="exact"/>
        <w:rPr>
          <w:rFonts w:ascii="Times New Roman" w:cs="Times New Roman" w:eastAsia="Times New Roman" w:hAnsi="Times New Roman"/>
          <w:sz w:val="18"/>
          <w:szCs w:val="18"/>
          <w:color w:val="auto"/>
        </w:rPr>
      </w:pPr>
    </w:p>
    <w:p>
      <w:pPr>
        <w:ind w:right="56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Eastern Europe and the Middle East, changing interest rates, volatility in the global financial markets and general economic downturns;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We filed (i) on February 28, 2024, a shelf registration statement on Form S-3 with the SEC that became effective on March 6, 2024 and allows us to undertake various equity and debt offerings up to $300.0 million; and (ii) on March 6, 2024, a prospectus supplement to the shelf registration statement that covers the offering, issuance and sale of up to $125.0 million of our common stock from time to time through an “at-the-market” program under the Securities Act. Our ability to raise additional funds may be adversely impacted by potential worsening global economic conditions and disruptions to, and volatility in, the credit and financial markets in the United States and worldwide,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4"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volatility in the global financial markets.</w:t>
      </w:r>
    </w:p>
    <w:p>
      <w:pPr>
        <w:spacing w:after="0" w:line="12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attention from other aspects of our business. Any of the foregoing events could have a material adverse effect on our business, financial condition and results of operations.</w:t>
      </w:r>
    </w:p>
    <w:p>
      <w:pPr>
        <w:spacing w:after="0" w:line="104"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3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spacing w:after="0" w:line="129" w:lineRule="exact"/>
        <w:rPr>
          <w:sz w:val="20"/>
          <w:szCs w:val="20"/>
          <w:color w:val="auto"/>
        </w:rPr>
      </w:pPr>
    </w:p>
    <w:p>
      <w:pPr>
        <w:jc w:val="both"/>
        <w:ind w:right="60" w:firstLine="324"/>
        <w:spacing w:after="0" w:line="272"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defense of these matters can be time consuming, costly to defend in litigation, divert management’s attention and resources, damage our reputation and brand and cause us to incur significant expenses or make substantial payments.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9"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6"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1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08" w:lineRule="exact"/>
        <w:rPr>
          <w:sz w:val="20"/>
          <w:szCs w:val="20"/>
          <w:color w:val="auto"/>
        </w:rPr>
      </w:pPr>
    </w:p>
    <w:p>
      <w:pPr>
        <w:ind w:left="340" w:right="700"/>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Litigation</w:t>
      </w:r>
    </w:p>
    <w:p>
      <w:pPr>
        <w:spacing w:after="0" w:line="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30"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340" w:right="120" w:hanging="8"/>
        <w:spacing w:after="0" w:line="435" w:lineRule="auto"/>
        <w:tabs>
          <w:tab w:leader="none" w:pos="6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(“IVDs”) are devices under the Federal Food, Drug, and Cosmetic Act, including when the manufacturer of the IVD is a laboratory, and phases out its enforcement discretion for LDTs. On March 31, 2025, the U.S. District Court for the Eastern District of Texas vacated and set aside the FDA LDT Final Rule in its entirety. Further,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which can lead to uncertainties in the industry.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spacing w:after="0" w:line="129"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have taken or will take effect in 2025; and Indiana, Rhode Island and Kentucky have enacted similar laws that will take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or otherwise processed as a result of a data breach. State laws are changing rapidly and there is discussion in the U.S. Congress of comprehensive federal data privacy legislation. It is possible that these or other laws, regulations, or other actual or asserted obligations relating to privacy or security matters may be interpreted and applied in a manner that is inconsistent with our practices. If so, this could result in government-imposed fines or orders requiring that we change our practices, which could adversely affect our business..</w:t>
      </w:r>
    </w:p>
    <w:p>
      <w:pPr>
        <w:spacing w:after="0" w:line="13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3"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We are in the process of evaluating compliance needs but do not currently have in place formal policies and procedures related to the storage, collection and processing of information, and have not conducted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7"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commercialize our Nautilus platform 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spacing w:after="0" w:line="12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71" w:lineRule="exact"/>
        <w:rPr>
          <w:rFonts w:ascii="Times New Roman" w:cs="Times New Roman" w:eastAsia="Times New Roman" w:hAnsi="Times New Roman"/>
          <w:sz w:val="18"/>
          <w:szCs w:val="18"/>
          <w:color w:val="auto"/>
        </w:rPr>
      </w:pPr>
    </w:p>
    <w:p>
      <w:pPr>
        <w:ind w:right="440" w:firstLine="332"/>
        <w:spacing w:after="0" w:line="282"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volatility;</w:t>
      </w:r>
    </w:p>
    <w:p>
      <w:pPr>
        <w:spacing w:after="0" w:line="171" w:lineRule="exact"/>
        <w:rPr>
          <w:rFonts w:ascii="Times New Roman" w:cs="Times New Roman" w:eastAsia="Times New Roman" w:hAnsi="Times New Roman"/>
          <w:sz w:val="18"/>
          <w:szCs w:val="18"/>
          <w:color w:val="auto"/>
        </w:rPr>
      </w:pPr>
    </w:p>
    <w:p>
      <w:pPr>
        <w:ind w:right="20" w:firstLine="332"/>
        <w:spacing w:after="0" w:line="266"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example, on January 15, 2025, the United States Department of Commerce Bureau of Industry and Security (“BIS”) issued an Interim Final Rule (“IFR”) implementing targeted export controls on certain laboratory instruments.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 and certain liquid chromatography mass spectrometers (LC/MS)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1"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6"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36"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9"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or changes in national laws or policies to protect or promote domestic interests and/or address foreign competition could have an adverse effect on our business and financial condition.</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spacing w:after="0" w:line="13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spacing w:after="0" w:line="14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3"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 Furthermore, defending a suit, regardless of its merit, could be costly, divert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2025, we had 124 employees. While in the first quarter of 2025 we implemented our workforce reductions,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spacing w:after="0" w:line="13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Workforce reductions, such as the workforce reduction implemented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0"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 changes in U.S. government spending resulting from new political administrations 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2025, we had cash, cash equivalents and investments of $168.5 million, consisting of U.S. treasury securities, mutual funds, commercial paper, and agency securities. Any default by the U.S. government or credit downgrade of the securities we hold could impact the liquidity or valuation of our investments.</w:t>
      </w:r>
    </w:p>
    <w:p>
      <w:pPr>
        <w:spacing w:after="0" w:line="13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0"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facilities in Seattle, San Carlos and San Diego are vulnerable to natural disasters, public health crises,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5"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Stock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right="6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natural disasters or major catastrophic events.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136"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2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Common Stock is listed on Nasdaq. Nasdaq rules impose certain continued listing requirements, including a minimum $1.00 bid price (the “Minimum Bid Price Requirement”), corporate governance standards and number of public stockholders. On May 1, 2025, we received a letter from the Listing Qualifications Staff (“Staff”) of Nasdaq indicating that, based upon the closing bid price of shares of our Common Stock for the 30 consecutive business day period between March 19, 2025, through April 30, 2025, we did not meet the Minimum Bid Price Requirement for continued listing on the Nasdaq Global Select Market pursuant to Nasdaq Listing Rule 5450(a)(1). In accordance with Nasdaq’s listing rules, we were afforded 180 calendar days, or until October 28, 2025 to regain compliance with the Minimum Bid Price Requirement. On October 15, 2025, we applied to transfer our listing from the Nasdaq Global Select Market to the Nasdaq Capital Market (the “Transfer”). On October 27, 2025, the Staff notified us that the Transfer was approved, to be effective October 29, 2025. In connection with the Transfer, the Company anticipates being eligible for an additional 180 calendar day compliance period, or until April 26, 2026 (the “Second Compliance Period”), to regain compliance with the Minimum Bid Price Requirement, if the Company otherwise meets the continued listing requirements for the Nasdaq Capital Market with the exception of the Minimum Bid Price Requirement. In order to regain compliance, the bid price of our Common Stock must close at a price of at least $1.00 per share for a minimum of 10 consecutive trading days during the Second Compliance Period. In addition, we are required to meet the continued listing requirement for the market value of our publicly held shares and all other initial listing standards for Nasdaq. In connection with obtaining approval for the Transfer, we notified the Staff in writing of our intention to regain compliance with the Minimum Bid Price Requirement by effecting a reverse stock split during the Second Compliance Period, if necessary. There can be no assurance that we will be able to regain or maintain compliance with the Minimum Bid Price Requirement or any other Nasdaq listing standards, if applicable.</w:t>
      </w:r>
    </w:p>
    <w:p>
      <w:pPr>
        <w:spacing w:after="0" w:line="14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7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are actively monitoring the closing bid price of our shares of Common Stock and may, if appropriate, evaluate available options to resolve the deficiency and regain compliance with the Minimum Bid Price Requirement, including effecting a reverse stock split during the Second Compliance Period, if necessary. While we are exercising diligent efforts to maintain the listing of our Common Stock on Nasdaq, there can be no assurance that we will be able to regain or maintain compliance with the Minimum Bid Price Requirement or any other Nasdaq listing standard.</w:t>
      </w:r>
    </w:p>
    <w:p>
      <w:pPr>
        <w:spacing w:after="0" w:line="122"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our directors, executive officers, holders of more than 5% of our outstanding shares of Common Stock and their respective affiliates beneficially owned a substantial portion of the outstanding shares of our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that our other stockholders may believe is in their best interests. This in turn could have a material adverse effect on our stock price and may prevent attempts by our stockholders to replace or remove the board of directors or management.</w:t>
      </w:r>
    </w:p>
    <w:p>
      <w:pPr>
        <w:spacing w:after="0" w:line="104"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9" w:lineRule="exact"/>
        <w:rPr>
          <w:sz w:val="20"/>
          <w:szCs w:val="20"/>
          <w:color w:val="auto"/>
        </w:rPr>
      </w:pPr>
    </w:p>
    <w:p>
      <w:pPr>
        <w:ind w:right="24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left="340" w:right="6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2024, we had U.S. federal NOLs of $105.6 million, of which $105.1 million do not expire, and state NOLs of $150.4 million that will begin to expire in 2037.</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tax laws, regulations, and policies of U.S. federal, state and local taxing jurisdictions and may in the future be subject to the tax laws, regulations, and policies of other taxing jurisdictions. Changes in tax laws, including recently enacted U.S. federal tax legislation commonly referred to as the One Big Beautiful Bill Act (the “OBBB Act”), as well as other factors, could cause us to experience fluctuations in our tax obligations and effective tax rates and otherwise adversely affect our tax positions and/or our tax liabilities. We are currently evaluating the full impact of the OBBB Act on us. In addition,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implemented by several countries and is being considered for implementation by others. On June 28, 2025, the G7 released a joint statement that it had reached an understanding with the United States for a side-by-side system based on certain accepted principles, including that U.S.-parented groups, such as ours, would be exempt from certain provisions of Pillar Two; however, no agreement regarding implementation of the proposal has yet been reached. Any new or changes to tax laws could adversely affect our future effective tax rate, operating results, tax credits or incentives or tax payments, which could have a material adverse effect on our future business, cash flows, results of operations or financial condition, including if we expand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36"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36"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Investor advocacy groups, proxy advisory services, investment funds, institutional investors, stockholders, and customers are increasingly focused on environmental, social, and governance (“ESG”) practices of companies.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accurately, or satisfy the expectations of stakeholders, or comply with applicable regulatory requirements, our reputation, business, financial performance,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Nasdaq Compliance Matters</w:t>
      </w:r>
    </w:p>
    <w:p>
      <w:pPr>
        <w:spacing w:after="0" w:line="175"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As previously reported on a Current Report on Form 8-K filed with the SEC on May 2, 2025, we received a notification letter (the “Bid Price Notice”) from Nasdaq on May 1, 2025 notifying us that, based on the closing bid price of our Common Stock, for the preceding 30 consecutive business days, we were not in compliance with the minimum bid price requirement for continued listing on The Nasdaq Global Select Market. Nasdaq Listing Rule 5450(a)</w:t>
      </w:r>
    </w:p>
    <w:p>
      <w:pPr>
        <w:spacing w:after="0" w:line="2" w:lineRule="exact"/>
        <w:rPr>
          <w:sz w:val="20"/>
          <w:szCs w:val="20"/>
          <w:color w:val="auto"/>
        </w:rPr>
      </w:pPr>
    </w:p>
    <w:p>
      <w:pPr>
        <w:ind w:firstLine="8"/>
        <w:spacing w:after="0" w:line="253"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listed securities to maintain a minimum bid price of $1.00 per share (the “Minimum Bid Price Requirement”). Pursuant to Nasdaq Listing Rule 5810(c)(3)(A), we had an initial compliance period of 180 calendar days, or until October 28, 2025, to regain compliance with the Minimum Bid Price Requirement. In response, on October 15, 2025, we filed an application to transfer the listing of our Common Stock from The Nasdaq Global Select Market to The Nasdaq Capital Market (the “Transfer”) and requested the additional 180-day compliance period offered on that market.</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October 27, 2025, the Nasdaq Listing Qualifications Staff notified the Company that the Transfer was approved, to be effective October 29, 2025. In connection with the Transfer, the Company anticipates being eligible for an additional 180 calendar day period, or until April 26, 2026, to regain compliance with the Minimum Bid Price Requirement provided that the Company continues to meet the continued listing requirements of the Nasdaq Capital Market (with the exception of the Minimum Bid Price Requirement).</w:t>
      </w:r>
    </w:p>
    <w:p>
      <w:pPr>
        <w:spacing w:after="0" w:line="12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Transfer, our Common Stock will be transferred to the Nasdaq Capital Market effective as of the opening of business on October 29, 2025, and will continue to trade under the symbol “NAUT.” The Nasdaq Capital Market operates in substantially the same manner as the Nasdaq Global Select Market, and listed companies must comply with Nasdaq’s continued listing requirements and standards.</w:t>
      </w:r>
    </w:p>
    <w:p>
      <w:pPr>
        <w:spacing w:after="0" w:line="1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granted an additional 180 day compliance period, in order to regain compliance with the Minimum Bid Price Requirement and qualify for continued listing on the Nasdaq Capital Market, the minimum bid price per share of our Common Stock must be at least $1.00 for at least ten consecutive business days during the additional 180-day compliance period. If we do not regain compliance during this additional grace period, our Common Stock would be subject to delisting by Nasdaq. In connection with obtaining approval for the Transfer, the Company notified the Nasdaq Listing Qualifications Staff in writing of the Company’s intention to regain compliance with the Minimum Bid Price Requirement by effecting a reverse stock split during the additional 180 day period,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60"/>
          </w:cols>
          <w:pgMar w:left="320" w:top="1440" w:right="419" w:bottom="1440" w:gutter="0" w:footer="0" w:header="0"/>
        </w:sectPr>
      </w:pP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000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18">
        <w:r>
          <w:rPr>
            <w:rFonts w:ascii="Times New Roman" w:cs="Times New Roman" w:eastAsia="Times New Roman" w:hAnsi="Times New Roman"/>
            <w:sz w:val="16"/>
            <w:szCs w:val="16"/>
            <w:u w:val="single" w:color="auto"/>
            <w:color w:val="0000FF"/>
          </w:rPr>
          <w:t>3.1</w:t>
        </w:r>
      </w:hyperlink>
    </w:p>
    <w:p>
      <w:pPr>
        <w:spacing w:after="0" w:line="221"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3.2</w:t>
        </w:r>
      </w:hyperlink>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31.1*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Certificate of Incorporation of Nautilus Biotechnology, Inc. (incorporated by reference to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Form 8-K filed with the SEC on June 10, 2021)</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Amended and Restated Bylaws of Nautilus Biotechnology, Inc. (incorporated by reference to Exhibit 3.2 to the Company’s Quarterly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Report on Form 10-Q filed with the SEC on August 2, 2023)</w:t>
        </w:r>
      </w:hyperlink>
    </w:p>
    <w:p>
      <w:pPr>
        <w:spacing w:after="0" w:line="1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740" w:space="480"/>
            <w:col w:w="9940"/>
          </w:cols>
          <w:pgMar w:left="320" w:top="1440" w:right="41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3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40" w:type="dxa"/>
            <w:vAlign w:val="bottom"/>
            <w:gridSpan w:val="6"/>
          </w:tcPr>
          <w:p>
            <w:pPr>
              <w:spacing w:after="0" w:line="170"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62"/>
        </w:trPr>
        <w:tc>
          <w:tcPr>
            <w:tcW w:w="3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560" w:type="dxa"/>
            <w:vAlign w:val="bottom"/>
            <w:tcBorders>
              <w:top w:val="single" w:sz="8" w:color="0000FF"/>
            </w:tcBorders>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
        </w:trPr>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7"/>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4"/>
                <w:szCs w:val="14"/>
                <w:color w:val="0000FF"/>
              </w:rPr>
              <w:t>†</w:t>
            </w:r>
          </w:p>
        </w:tc>
        <w:tc>
          <w:tcPr>
            <w:tcW w:w="9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62"/>
        </w:trPr>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60" w:type="dxa"/>
            <w:vAlign w:val="bottom"/>
            <w:tcBorders>
              <w:top w:val="single" w:sz="8" w:color="0000FF"/>
            </w:tcBorders>
            <w:gridSpan w:val="4"/>
          </w:tcPr>
          <w:p>
            <w:pPr>
              <w:spacing w:after="0"/>
              <w:rPr>
                <w:sz w:val="14"/>
                <w:szCs w:val="14"/>
                <w:color w:val="auto"/>
              </w:rPr>
            </w:pPr>
          </w:p>
        </w:tc>
        <w:tc>
          <w:tcPr>
            <w:tcW w:w="240" w:type="dxa"/>
            <w:vAlign w:val="bottom"/>
          </w:tcPr>
          <w:p>
            <w:pPr>
              <w:spacing w:after="0"/>
              <w:rPr>
                <w:sz w:val="14"/>
                <w:szCs w:val="14"/>
                <w:color w:val="auto"/>
              </w:rPr>
            </w:pPr>
          </w:p>
        </w:tc>
      </w:tr>
      <w:tr>
        <w:trPr>
          <w:trHeight w:val="217"/>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4"/>
                <w:szCs w:val="14"/>
                <w:color w:val="0000FF"/>
              </w:rPr>
              <w:t>†</w:t>
            </w:r>
          </w:p>
        </w:tc>
        <w:tc>
          <w:tcPr>
            <w:tcW w:w="9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62"/>
        </w:trPr>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00" w:type="dxa"/>
            <w:vAlign w:val="bottom"/>
            <w:tcBorders>
              <w:top w:val="single" w:sz="8" w:color="0000FF"/>
            </w:tcBorders>
            <w:gridSpan w:val="2"/>
          </w:tcPr>
          <w:p>
            <w:pPr>
              <w:spacing w:after="0"/>
              <w:rPr>
                <w:sz w:val="14"/>
                <w:szCs w:val="14"/>
                <w:color w:val="auto"/>
              </w:rPr>
            </w:pPr>
          </w:p>
        </w:tc>
        <w:tc>
          <w:tcPr>
            <w:tcW w:w="300" w:type="dxa"/>
            <w:vAlign w:val="bottom"/>
            <w:gridSpan w:val="3"/>
          </w:tcPr>
          <w:p>
            <w:pPr>
              <w:spacing w:after="0"/>
              <w:rPr>
                <w:sz w:val="14"/>
                <w:szCs w:val="14"/>
                <w:color w:val="auto"/>
              </w:rPr>
            </w:pPr>
          </w:p>
        </w:tc>
      </w:tr>
      <w:tr>
        <w:trPr>
          <w:trHeight w:val="210"/>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20" w:hanging="1194"/>
        <w:spacing w:after="0"/>
        <w:tabs>
          <w:tab w:leader="none" w:pos="12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ind w:left="340" w:right="20" w:hanging="332"/>
        <w:spacing w:after="0" w:line="272" w:lineRule="auto"/>
        <w:tabs>
          <w:tab w:leader="none" w:pos="12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83" w:name="page84"/>
    <w:bookmarkEnd w:id="8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83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50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8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2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8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2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60"/>
          </w:cols>
          <w:pgMar w:left="320" w:top="1440" w:right="4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September 30, 2025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September 30, 2025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2"/>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decimal"/>
      <w:start w:val="5"/>
    </w:lvl>
  </w:abstractNum>
  <w:abstractNum w:abstractNumId="9">
    <w:nsid w:val="737B8DDC"/>
    <w:multiLevelType w:val="hybridMultilevel"/>
    <w:lvl w:ilvl="0">
      <w:lvlJc w:val="left"/>
      <w:lvlText w:val="%1."/>
      <w:numFmt w:val="decimal"/>
      <w:start w:val="6"/>
    </w:lvl>
  </w:abstractNum>
  <w:abstractNum w:abstractNumId="10">
    <w:nsid w:val="6CEAF087"/>
    <w:multiLevelType w:val="hybridMultilevel"/>
    <w:lvl w:ilvl="0">
      <w:lvlJc w:val="left"/>
      <w:lvlText w:val="%1."/>
      <w:numFmt w:val="decimal"/>
      <w:start w:val="7"/>
    </w:lvl>
  </w:abstractNum>
  <w:abstractNum w:abstractNumId="11">
    <w:nsid w:val="22221A70"/>
    <w:multiLevelType w:val="hybridMultilevel"/>
    <w:lvl w:ilvl="0">
      <w:lvlJc w:val="left"/>
      <w:lvlText w:val="%1."/>
      <w:numFmt w:val="decimal"/>
      <w:start w:val="8"/>
    </w:lvl>
  </w:abstractNum>
  <w:abstractNum w:abstractNumId="12">
    <w:nsid w:val="4516DDE9"/>
    <w:multiLevelType w:val="hybridMultilevel"/>
    <w:lvl w:ilvl="0">
      <w:lvlJc w:val="left"/>
      <w:lvlText w:val="%1."/>
      <w:numFmt w:val="decimal"/>
      <w:start w:val="9"/>
    </w:lvl>
  </w:abstractNum>
  <w:abstractNum w:abstractNumId="13">
    <w:nsid w:val="3006C83E"/>
    <w:multiLevelType w:val="hybridMultilevel"/>
    <w:lvl w:ilvl="0">
      <w:lvlJc w:val="left"/>
      <w:lvlText w:val="%1."/>
      <w:numFmt w:val="decimal"/>
      <w:start w:val="10"/>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04"/>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0" Type="http://schemas.openxmlformats.org/officeDocument/2006/relationships/image" Target="media/image111.png"/><Relationship Id="rId118" Type="http://schemas.openxmlformats.org/officeDocument/2006/relationships/hyperlink" Target="https://www.sec.gov/Archives/edgar/data/1808805/000162828021011892/exhibit31-form8xkclosing.htm" TargetMode="External"/><Relationship Id="rId119" Type="http://schemas.openxmlformats.org/officeDocument/2006/relationships/hyperlink" Target="https://www.sec.gov/Archives/edgar/data/1808805/000180880523000069/exhibit32-nautilusbiotech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2025-11-19T12:18:40Z</dcterms:created>
  <dcterms:modified xsi:type="dcterms:W3CDTF">2025-11-19T12:18:40Z</dcterms:modified>
</cp:coreProperties>
</file>