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(Mark One)</w:t>
      </w:r>
    </w:p>
    <w:p>
      <w:pPr>
        <w:spacing w:after="0" w:line="1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2020</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820"/>
        <w:spacing w:after="0"/>
        <w:tabs>
          <w:tab w:leader="none" w:pos="72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 III</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40"/>
          </w:cols>
          <w:pgMar w:left="320" w:top="535" w:right="339" w:bottom="1089" w:gutter="0" w:footer="0" w:header="0"/>
        </w:sect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001-39434</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98-1541723</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660" w:space="660"/>
            <w:col w:w="2320" w:space="720"/>
            <w:col w:w="2880"/>
          </w:cols>
          <w:pgMar w:left="320" w:top="535" w:right="339" w:bottom="1089"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32" w:lineRule="exact"/>
        <w:rPr>
          <w:sz w:val="24"/>
          <w:szCs w:val="24"/>
          <w:color w:val="auto"/>
        </w:rPr>
      </w:pPr>
    </w:p>
    <w:p>
      <w:pPr>
        <w:sectPr>
          <w:pgSz w:w="11900" w:h="16838" w:orient="portrait"/>
          <w:cols w:equalWidth="0" w:num="2">
            <w:col w:w="7360" w:space="720"/>
            <w:col w:w="3160"/>
          </w:cols>
          <w:pgMar w:left="320" w:top="535" w:right="339" w:bottom="1089"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(212) 284-2300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534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tcPr>
          <w:p>
            <w:pPr>
              <w:jc w:val="center"/>
              <w:ind w:left="650"/>
              <w:spacing w:after="0" w:line="205" w:lineRule="exact"/>
              <w:rPr>
                <w:sz w:val="20"/>
                <w:szCs w:val="20"/>
                <w:color w:val="auto"/>
              </w:rPr>
            </w:pPr>
            <w:r>
              <w:rPr>
                <w:rFonts w:ascii="Arial" w:cs="Arial" w:eastAsia="Arial" w:hAnsi="Arial"/>
                <w:sz w:val="18"/>
                <w:szCs w:val="18"/>
                <w:b w:val="1"/>
                <w:bCs w:val="1"/>
                <w:color w:val="auto"/>
                <w:w w:val="93"/>
              </w:rPr>
              <w:t>Trading</w:t>
            </w:r>
          </w:p>
        </w:tc>
        <w:tc>
          <w:tcPr>
            <w:tcW w:w="338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534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Title of each class</w:t>
            </w:r>
          </w:p>
        </w:tc>
        <w:tc>
          <w:tcPr>
            <w:tcW w:w="25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89"/>
              </w:rPr>
              <w:t>Symbol(s)</w:t>
            </w:r>
          </w:p>
        </w:tc>
        <w:tc>
          <w:tcPr>
            <w:tcW w:w="3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which registered</w:t>
            </w:r>
          </w:p>
        </w:tc>
      </w:tr>
      <w:tr>
        <w:trPr>
          <w:trHeight w:val="234"/>
        </w:trPr>
        <w:tc>
          <w:tcPr>
            <w:tcW w:w="5340" w:type="dxa"/>
            <w:vAlign w:val="bottom"/>
          </w:tcPr>
          <w:p>
            <w:pPr>
              <w:spacing w:after="0"/>
              <w:rPr>
                <w:sz w:val="20"/>
                <w:szCs w:val="20"/>
                <w:color w:val="auto"/>
              </w:rPr>
            </w:pPr>
            <w:r>
              <w:rPr>
                <w:rFonts w:ascii="Arial" w:cs="Arial" w:eastAsia="Arial" w:hAnsi="Arial"/>
                <w:sz w:val="18"/>
                <w:szCs w:val="18"/>
                <w:b w:val="1"/>
                <w:bCs w:val="1"/>
                <w:color w:val="auto"/>
              </w:rPr>
              <w:t>Class A Ordinary Share, par value $0.0001 per Share</w:t>
            </w:r>
          </w:p>
        </w:tc>
        <w:tc>
          <w:tcPr>
            <w:tcW w:w="2520" w:type="dxa"/>
            <w:vAlign w:val="bottom"/>
          </w:tcPr>
          <w:p>
            <w:pPr>
              <w:jc w:val="center"/>
              <w:ind w:left="650"/>
              <w:spacing w:after="0"/>
              <w:rPr>
                <w:sz w:val="20"/>
                <w:szCs w:val="20"/>
                <w:color w:val="auto"/>
              </w:rPr>
            </w:pPr>
            <w:r>
              <w:rPr>
                <w:rFonts w:ascii="Arial" w:cs="Arial" w:eastAsia="Arial" w:hAnsi="Arial"/>
                <w:sz w:val="18"/>
                <w:szCs w:val="18"/>
                <w:b w:val="1"/>
                <w:bCs w:val="1"/>
                <w:color w:val="auto"/>
                <w:w w:val="97"/>
              </w:rPr>
              <w:t>ARYA</w:t>
            </w:r>
          </w:p>
        </w:tc>
        <w:tc>
          <w:tcPr>
            <w:tcW w:w="33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The Nasdaq Capital Market</w:t>
            </w:r>
          </w:p>
        </w:tc>
      </w:tr>
    </w:tbl>
    <w:p>
      <w:pPr>
        <w:spacing w:after="0" w:line="203" w:lineRule="exact"/>
        <w:rPr>
          <w:sz w:val="24"/>
          <w:szCs w:val="24"/>
          <w:color w:val="auto"/>
        </w:rPr>
      </w:pPr>
    </w:p>
    <w:p>
      <w:pPr>
        <w:ind w:right="10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ind w:right="20"/>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ind w:right="14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9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9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2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20" w:type="dxa"/>
            <w:vAlign w:val="bottom"/>
          </w:tcPr>
          <w:p>
            <w:pPr>
              <w:ind w:left="272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ind w:right="300"/>
        <w:spacing w:after="0" w:line="250" w:lineRule="auto"/>
        <w:rPr>
          <w:sz w:val="20"/>
          <w:szCs w:val="20"/>
          <w:color w:val="auto"/>
        </w:rPr>
      </w:pPr>
      <w:r>
        <w:rPr>
          <w:rFonts w:ascii="Arial" w:cs="Arial" w:eastAsia="Arial" w:hAnsi="Arial"/>
          <w:sz w:val="22"/>
          <w:szCs w:val="22"/>
          <w:color w:val="auto"/>
        </w:rPr>
        <w:t>As of November 13, 2020, 15,449,000 Class A ordinary shares, par value $0.0001, and 3,737,500 Class B ordinary shares,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08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w w:val="90"/>
              </w:rPr>
              <w:t>Page No.</w:t>
            </w:r>
          </w:p>
        </w:tc>
        <w:tc>
          <w:tcPr>
            <w:tcW w:w="0" w:type="dxa"/>
            <w:vAlign w:val="bottom"/>
          </w:tcPr>
          <w:p>
            <w:pPr>
              <w:spacing w:after="0"/>
              <w:rPr>
                <w:sz w:val="1"/>
                <w:szCs w:val="1"/>
                <w:color w:val="auto"/>
              </w:rPr>
            </w:pPr>
          </w:p>
        </w:tc>
      </w:tr>
      <w:tr>
        <w:trPr>
          <w:trHeight w:val="432"/>
        </w:trPr>
        <w:tc>
          <w:tcPr>
            <w:tcW w:w="10320" w:type="dxa"/>
            <w:vAlign w:val="bottom"/>
            <w:gridSpan w:val="6"/>
          </w:tcPr>
          <w:p>
            <w:pPr>
              <w:ind w:left="440"/>
              <w:spacing w:after="0"/>
              <w:rPr>
                <w:sz w:val="20"/>
                <w:szCs w:val="20"/>
                <w:color w:val="auto"/>
              </w:rPr>
            </w:pPr>
            <w:r>
              <w:rPr>
                <w:rFonts w:ascii="Arial" w:cs="Arial" w:eastAsia="Arial" w:hAnsi="Arial"/>
                <w:sz w:val="18"/>
                <w:szCs w:val="18"/>
                <w:b w:val="1"/>
                <w:bCs w:val="1"/>
                <w:color w:val="auto"/>
              </w:rPr>
              <w:t>PART I. FINANCIAL INFORMATION</w:t>
            </w: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Balance Sheet as of September 30, 2020</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9620" w:type="dxa"/>
            <w:vAlign w:val="bottom"/>
            <w:gridSpan w:val="5"/>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Statements of Operations for the three months ended September 30, 2020 and for the period from March 27,</w:t>
              </w:r>
            </w:hyperlink>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2020 (inception) through September 30, 2020</w:t>
              </w:r>
            </w:hyperlink>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328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9620" w:type="dxa"/>
            <w:vAlign w:val="bottom"/>
            <w:gridSpan w:val="5"/>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Statements of Changes in Shareholders’ Equity for the three months ended September 30, 2020 and for the</w:t>
              </w:r>
            </w:hyperlink>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0" w:type="dxa"/>
            <w:vAlign w:val="bottom"/>
            <w:tcBorders>
              <w:top w:val="single" w:sz="8" w:color="CCEEFF"/>
            </w:tcBorders>
            <w:shd w:val="clear" w:color="auto" w:fill="CCEEFF"/>
          </w:tcPr>
          <w:p>
            <w:pPr>
              <w:spacing w:after="0"/>
              <w:rPr>
                <w:sz w:val="18"/>
                <w:szCs w:val="18"/>
                <w:color w:val="auto"/>
              </w:rPr>
            </w:pPr>
          </w:p>
        </w:tc>
        <w:tc>
          <w:tcPr>
            <w:tcW w:w="93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period from March 27, 2020 (inception) through September 30, 2020</w:t>
              </w:r>
            </w:hyperlink>
          </w:p>
        </w:tc>
        <w:tc>
          <w:tcPr>
            <w:tcW w:w="30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top w:val="single" w:sz="8" w:color="CCEEFF"/>
            </w:tcBorders>
          </w:tcPr>
          <w:p>
            <w:pPr>
              <w:spacing w:after="0"/>
              <w:rPr>
                <w:sz w:val="18"/>
                <w:szCs w:val="18"/>
                <w:color w:val="auto"/>
              </w:rPr>
            </w:pPr>
          </w:p>
        </w:tc>
        <w:tc>
          <w:tcPr>
            <w:tcW w:w="32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620" w:type="dxa"/>
            <w:vAlign w:val="bottom"/>
            <w:gridSpan w:val="5"/>
            <w:shd w:val="clear" w:color="auto" w:fill="CCEEFF"/>
          </w:tcPr>
          <w:p>
            <w:pPr>
              <w:spacing w:after="0"/>
              <w:rPr>
                <w:rFonts w:ascii="Arial" w:cs="Arial" w:eastAsia="Arial" w:hAnsi="Arial"/>
                <w:sz w:val="18"/>
                <w:szCs w:val="18"/>
                <w:u w:val="single" w:color="auto"/>
                <w:color w:val="0000EE"/>
                <w:w w:val="96"/>
              </w:rPr>
            </w:pPr>
            <w:hyperlink w:anchor="page6">
              <w:r>
                <w:rPr>
                  <w:rFonts w:ascii="Arial" w:cs="Arial" w:eastAsia="Arial" w:hAnsi="Arial"/>
                  <w:sz w:val="18"/>
                  <w:szCs w:val="18"/>
                  <w:u w:val="single" w:color="auto"/>
                  <w:color w:val="0000EE"/>
                  <w:w w:val="96"/>
                </w:rPr>
                <w:t>Unaudited Condensed Statement of Cash Flows for the period from March 27, 2020 (inception) through September 30, 2020</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Controls and Procedures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6"/>
            <w:shd w:val="clear" w:color="auto" w:fill="CCEEFF"/>
          </w:tcPr>
          <w:p>
            <w:pPr>
              <w:ind w:left="440"/>
              <w:spacing w:after="0"/>
              <w:rPr>
                <w:sz w:val="20"/>
                <w:szCs w:val="20"/>
                <w:color w:val="auto"/>
              </w:rPr>
            </w:pPr>
            <w:r>
              <w:rPr>
                <w:rFonts w:ascii="Arial" w:cs="Arial" w:eastAsia="Arial" w:hAnsi="Arial"/>
                <w:sz w:val="18"/>
                <w:szCs w:val="18"/>
                <w:b w:val="1"/>
                <w:bCs w:val="1"/>
                <w:color w:val="auto"/>
              </w:rPr>
              <w:t>PART II. OTHER INFORMATION</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Unregistered Sales of Equity Securities and Use of Proceeds from Registered Securities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620" w:type="dxa"/>
            <w:vAlign w:val="bottom"/>
            <w:gridSpan w:val="5"/>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6"/>
            <w:shd w:val="clear" w:color="auto" w:fill="CCEEFF"/>
          </w:tcPr>
          <w:p>
            <w:pPr>
              <w:ind w:left="440"/>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SIGNATURES</w:t>
              </w:r>
            </w:hyperlink>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 FINANCIAL INFORMATION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4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80" w:type="dxa"/>
            <w:vAlign w:val="bottom"/>
          </w:tcPr>
          <w:p>
            <w:pPr>
              <w:spacing w:after="0"/>
              <w:rPr>
                <w:sz w:val="21"/>
                <w:szCs w:val="21"/>
                <w:color w:val="auto"/>
              </w:rPr>
            </w:pPr>
          </w:p>
        </w:tc>
        <w:tc>
          <w:tcPr>
            <w:tcW w:w="9340" w:type="dxa"/>
            <w:vAlign w:val="bottom"/>
          </w:tcPr>
          <w:p>
            <w:pPr>
              <w:jc w:val="center"/>
              <w:ind w:left="437"/>
              <w:spacing w:after="0" w:line="243" w:lineRule="exact"/>
              <w:rPr>
                <w:sz w:val="20"/>
                <w:szCs w:val="20"/>
                <w:color w:val="auto"/>
              </w:rPr>
            </w:pPr>
            <w:r>
              <w:rPr>
                <w:rFonts w:ascii="Arial" w:cs="Arial" w:eastAsia="Arial" w:hAnsi="Arial"/>
                <w:sz w:val="22"/>
                <w:szCs w:val="22"/>
                <w:b w:val="1"/>
                <w:bCs w:val="1"/>
                <w:color w:val="auto"/>
                <w:w w:val="99"/>
              </w:rPr>
              <w:t>ARYA SCIENCES ACQUISITION CORP III</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340" w:type="dxa"/>
            <w:vAlign w:val="bottom"/>
          </w:tcPr>
          <w:p>
            <w:pPr>
              <w:jc w:val="center"/>
              <w:ind w:left="437"/>
              <w:spacing w:after="0" w:line="243" w:lineRule="exact"/>
              <w:rPr>
                <w:sz w:val="20"/>
                <w:szCs w:val="20"/>
                <w:color w:val="auto"/>
              </w:rPr>
            </w:pPr>
            <w:r>
              <w:rPr>
                <w:rFonts w:ascii="Arial" w:cs="Arial" w:eastAsia="Arial" w:hAnsi="Arial"/>
                <w:sz w:val="22"/>
                <w:szCs w:val="22"/>
                <w:b w:val="1"/>
                <w:bCs w:val="1"/>
                <w:color w:val="auto"/>
                <w:w w:val="98"/>
              </w:rPr>
              <w:t>UNAUDITED CONDENSED BALANCE SHEET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0"/>
        </w:trPr>
        <w:tc>
          <w:tcPr>
            <w:tcW w:w="680" w:type="dxa"/>
            <w:vAlign w:val="bottom"/>
          </w:tcPr>
          <w:p>
            <w:pPr>
              <w:spacing w:after="0"/>
              <w:rPr>
                <w:sz w:val="24"/>
                <w:szCs w:val="24"/>
                <w:color w:val="auto"/>
              </w:rPr>
            </w:pPr>
          </w:p>
        </w:tc>
        <w:tc>
          <w:tcPr>
            <w:tcW w:w="9340" w:type="dxa"/>
            <w:vAlign w:val="bottom"/>
          </w:tcPr>
          <w:p>
            <w:pPr>
              <w:jc w:val="center"/>
              <w:ind w:left="457"/>
              <w:spacing w:after="0"/>
              <w:rPr>
                <w:sz w:val="20"/>
                <w:szCs w:val="20"/>
                <w:color w:val="auto"/>
              </w:rPr>
            </w:pPr>
            <w:r>
              <w:rPr>
                <w:rFonts w:ascii="Arial" w:cs="Arial" w:eastAsia="Arial" w:hAnsi="Arial"/>
                <w:sz w:val="22"/>
                <w:szCs w:val="22"/>
                <w:b w:val="1"/>
                <w:bCs w:val="1"/>
                <w:color w:val="auto"/>
                <w:w w:val="93"/>
              </w:rPr>
              <w:t>SEPTEMBER 30,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9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9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1,064,954</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369,637</w:t>
            </w:r>
          </w:p>
        </w:tc>
        <w:tc>
          <w:tcPr>
            <w:tcW w:w="100" w:type="dxa"/>
            <w:vAlign w:val="bottom"/>
          </w:tcPr>
          <w:p>
            <w:pPr>
              <w:spacing w:after="0"/>
              <w:rPr>
                <w:sz w:val="19"/>
                <w:szCs w:val="19"/>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1,434,591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149,515,680</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150,950,271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102,573</w:t>
            </w:r>
          </w:p>
        </w:tc>
        <w:tc>
          <w:tcPr>
            <w:tcW w:w="100" w:type="dxa"/>
            <w:vAlign w:val="bottom"/>
          </w:tcPr>
          <w:p>
            <w:pPr>
              <w:spacing w:after="0"/>
              <w:rPr>
                <w:sz w:val="18"/>
                <w:szCs w:val="18"/>
                <w:color w:val="auto"/>
              </w:rPr>
            </w:pPr>
          </w:p>
        </w:tc>
      </w:tr>
      <w:tr>
        <w:trPr>
          <w:trHeight w:val="223"/>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100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128,660</w:t>
            </w:r>
          </w:p>
        </w:tc>
        <w:tc>
          <w:tcPr>
            <w:tcW w:w="100" w:type="dxa"/>
            <w:vAlign w:val="bottom"/>
            <w:tcBorders>
              <w:top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5,361,160</w:t>
            </w: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$0.0001 par value; 14,058,911 shares subject to possible redemption at $10.00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140,589,110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2"/>
        </w:trPr>
        <w:tc>
          <w:tcPr>
            <w:tcW w:w="10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Class A ordinary shares, $0.0001 par value; 479,000,000 shares authorized; 1,390,089 shares issued and outstanding (excluding</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0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14,058,911 shares subject to possible redemption)</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Class B ordinary shares, $0.0001 par value; 20,000,000 shares authorized; 3,737,500 shares issued and outstanding</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5,170,196</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(170,708)</w:t>
            </w: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150,950,271</w:t>
            </w:r>
          </w:p>
        </w:tc>
        <w:tc>
          <w:tcPr>
            <w:tcW w:w="100" w:type="dxa"/>
            <w:vAlign w:val="bottom"/>
          </w:tcPr>
          <w:p>
            <w:pPr>
              <w:spacing w:after="0"/>
              <w:rPr>
                <w:sz w:val="18"/>
                <w:szCs w:val="18"/>
                <w:color w:val="auto"/>
              </w:rPr>
            </w:pPr>
          </w:p>
        </w:tc>
      </w:tr>
      <w:tr>
        <w:trPr>
          <w:trHeight w:val="21"/>
        </w:trPr>
        <w:tc>
          <w:tcPr>
            <w:tcW w:w="68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STATEMENTS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7"/>
              </w:rPr>
              <w:t>From March 27, 2020</w:t>
            </w: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For the three months</w:t>
            </w:r>
          </w:p>
        </w:tc>
        <w:tc>
          <w:tcPr>
            <w:tcW w:w="1760" w:type="dxa"/>
            <w:vAlign w:val="bottom"/>
            <w:gridSpan w:val="3"/>
          </w:tcPr>
          <w:p>
            <w:pPr>
              <w:ind w:left="80"/>
              <w:spacing w:after="0"/>
              <w:rPr>
                <w:sz w:val="20"/>
                <w:szCs w:val="20"/>
                <w:color w:val="auto"/>
              </w:rPr>
            </w:pPr>
            <w:r>
              <w:rPr>
                <w:rFonts w:ascii="Arial" w:cs="Arial" w:eastAsia="Arial" w:hAnsi="Arial"/>
                <w:sz w:val="18"/>
                <w:szCs w:val="18"/>
                <w:b w:val="1"/>
                <w:bCs w:val="1"/>
                <w:color w:val="auto"/>
              </w:rPr>
              <w:t>(inception) through</w:t>
            </w:r>
          </w:p>
        </w:tc>
      </w:tr>
      <w:tr>
        <w:trPr>
          <w:trHeight w:val="241"/>
        </w:trPr>
        <w:tc>
          <w:tcPr>
            <w:tcW w:w="730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w w:val="95"/>
              </w:rPr>
              <w:t>ended September 30, 2020</w:t>
            </w:r>
          </w:p>
        </w:tc>
        <w:tc>
          <w:tcPr>
            <w:tcW w:w="17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September 30, 2020</w:t>
            </w:r>
          </w:p>
        </w:tc>
      </w:tr>
      <w:tr>
        <w:trPr>
          <w:trHeight w:val="223"/>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174,671</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(174,671)</w:t>
            </w:r>
          </w:p>
        </w:tc>
        <w:tc>
          <w:tcPr>
            <w:tcW w:w="4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(186,388)</w:t>
            </w:r>
          </w:p>
        </w:tc>
      </w:tr>
      <w:tr>
        <w:trPr>
          <w:trHeight w:val="216"/>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140" w:type="dxa"/>
            <w:vAlign w:val="bottom"/>
            <w:shd w:val="clear" w:color="auto" w:fill="CCEEFF"/>
          </w:tcPr>
          <w:p>
            <w:pPr>
              <w:spacing w:after="0"/>
              <w:rPr>
                <w:sz w:val="18"/>
                <w:szCs w:val="18"/>
                <w:color w:val="auto"/>
              </w:rPr>
            </w:pPr>
          </w:p>
        </w:tc>
        <w:tc>
          <w:tcPr>
            <w:tcW w:w="1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15,680</w:t>
            </w:r>
          </w:p>
        </w:tc>
      </w:tr>
      <w:tr>
        <w:trPr>
          <w:trHeight w:val="27"/>
        </w:trPr>
        <w:tc>
          <w:tcPr>
            <w:tcW w:w="7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9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(158,991)</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(170,708)</w:t>
            </w:r>
          </w:p>
        </w:tc>
      </w:tr>
      <w:tr>
        <w:trPr>
          <w:trHeight w:val="20"/>
        </w:trPr>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w:t>
            </w: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15,449,000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15,449,000</w:t>
            </w:r>
          </w:p>
        </w:tc>
      </w:tr>
      <w:tr>
        <w:trPr>
          <w:trHeight w:val="20"/>
        </w:trPr>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8"/>
                <w:szCs w:val="18"/>
                <w:b w:val="1"/>
                <w:bCs w:val="1"/>
                <w:color w:val="auto"/>
              </w:rPr>
              <w:t>Basic and diluted weighted average shares outstanding of Class B ordinary shares</w:t>
            </w: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3,737,500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3,737,500</w:t>
            </w:r>
          </w:p>
        </w:tc>
      </w:tr>
      <w:tr>
        <w:trPr>
          <w:trHeight w:val="20"/>
        </w:trPr>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STATEMENTS OF CHANGES IN SHAREHOLDERS’ EQUITY</w:t>
      </w:r>
    </w:p>
    <w:p>
      <w:pPr>
        <w:jc w:val="center"/>
        <w:spacing w:after="0" w:line="230" w:lineRule="auto"/>
        <w:rPr>
          <w:sz w:val="20"/>
          <w:szCs w:val="20"/>
          <w:color w:val="auto"/>
        </w:rPr>
      </w:pPr>
      <w:r>
        <w:rPr>
          <w:rFonts w:ascii="Arial" w:cs="Arial" w:eastAsia="Arial" w:hAnsi="Arial"/>
          <w:sz w:val="22"/>
          <w:szCs w:val="22"/>
          <w:b w:val="1"/>
          <w:bCs w:val="1"/>
          <w:color w:val="auto"/>
        </w:rPr>
        <w:t>FOR THE THREE MONTHS ENDED SEPTEMBER 30, 2020 AND FOR THE PERIOD FROM MARCH 27,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(INCEPTION) THROUGH SEPTEMBER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Ordinary Shares</w:t>
            </w: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Class A</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vMerge w:val="restart"/>
          </w:tcPr>
          <w:p>
            <w:pPr>
              <w:jc w:val="right"/>
              <w:ind w:right="110"/>
              <w:spacing w:after="0"/>
              <w:rPr>
                <w:sz w:val="20"/>
                <w:szCs w:val="20"/>
                <w:color w:val="auto"/>
              </w:rPr>
            </w:pPr>
            <w:r>
              <w:rPr>
                <w:rFonts w:ascii="Arial" w:cs="Arial" w:eastAsia="Arial" w:hAnsi="Arial"/>
                <w:sz w:val="18"/>
                <w:szCs w:val="18"/>
                <w:b w:val="1"/>
                <w:bCs w:val="1"/>
                <w:color w:val="auto"/>
              </w:rPr>
              <w:t>Class B</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1260" w:type="dxa"/>
            <w:vAlign w:val="bottom"/>
            <w:tcBorders>
              <w:bottom w:val="single" w:sz="8" w:color="auto"/>
            </w:tcBorders>
            <w:gridSpan w:val="3"/>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Paid-in</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Shareholders'</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27, 2020 (inception)</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0"/>
              </w:rPr>
              <w:t>Issuance of Class B ordinary shares to Sponsor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3,737,500</w:t>
            </w:r>
          </w:p>
        </w:tc>
        <w:tc>
          <w:tcPr>
            <w:tcW w:w="3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24,626</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 March 31, 2020 (unaudited)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3,737,500</w:t>
            </w:r>
          </w:p>
        </w:tc>
        <w:tc>
          <w:tcPr>
            <w:tcW w:w="3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374</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24,626</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(11,717)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 June 30, 2020 (unaudited)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3,737,500</w:t>
            </w:r>
          </w:p>
        </w:tc>
        <w:tc>
          <w:tcPr>
            <w:tcW w:w="3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374</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24,626</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(11,717)</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13,283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Sale of units in initial public offering, gross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14,950,000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149,498,505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149,500,000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(8,755,181)</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(8,755,181)</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Sale of private placement units to Sponsor in</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placement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4,989,950</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Shares subject to possible redemption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(14,058,911)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(140,587,704)</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(140,589,110)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(158,991)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(158,991)</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w w:val="96"/>
              </w:rPr>
              <w:t>Balance - September 30, 2020 (unaudited)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1,390,089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3,737,500</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5,170,196</w:t>
            </w: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(170,708)</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5,000,001</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ARYA SCIENCES ACQUISITION CORP III</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UNAUDITED CONDENSED STATEMENT OF CASH FLOWS</w:t>
      </w:r>
    </w:p>
    <w:p>
      <w:pPr>
        <w:jc w:val="center"/>
        <w:ind w:right="-39"/>
        <w:spacing w:after="0"/>
        <w:rPr>
          <w:sz w:val="20"/>
          <w:szCs w:val="20"/>
          <w:color w:val="auto"/>
        </w:rPr>
      </w:pPr>
      <w:r>
        <w:rPr>
          <w:rFonts w:ascii="Arial" w:cs="Arial" w:eastAsia="Arial" w:hAnsi="Arial"/>
          <w:sz w:val="21"/>
          <w:szCs w:val="21"/>
          <w:b w:val="1"/>
          <w:bCs w:val="1"/>
          <w:color w:val="auto"/>
        </w:rPr>
        <w:t>FOR THE PERIOD FROM MARCH 27, 2020 (INCEPTION) THROUGH SEPTEMBER 30, 2020</w:t>
      </w:r>
    </w:p>
    <w:p>
      <w:pPr>
        <w:sectPr>
          <w:pgSz w:w="11900" w:h="16838" w:orient="portrait"/>
          <w:cols w:equalWidth="0" w:num="1">
            <w:col w:w="11200"/>
          </w:cols>
          <w:pgMar w:left="320" w:top="121" w:right="37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right="3540" w:hanging="161"/>
        <w:spacing w:after="0" w:line="281" w:lineRule="auto"/>
        <w:rPr>
          <w:sz w:val="20"/>
          <w:szCs w:val="20"/>
          <w:color w:val="auto"/>
        </w:rPr>
      </w:pPr>
      <w:r>
        <w:rPr>
          <w:rFonts w:ascii="Arial" w:cs="Arial" w:eastAsia="Arial" w:hAnsi="Arial"/>
          <w:sz w:val="16"/>
          <w:szCs w:val="16"/>
          <w:color w:val="auto"/>
        </w:rPr>
        <w:t>Adjustments to reconcile net loss to net cash used in operating activities: Net gain, dividends and interest on investments held in Trust Account General and adminsitrative expenses paid by related party under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expenses - related party</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Offering costs paid</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offering costs paid by Sponsor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underwriting commissions</w:t>
      </w:r>
    </w:p>
    <w:p>
      <w:pPr>
        <w:spacing w:after="0" w:line="9" w:lineRule="exact"/>
        <w:rPr>
          <w:sz w:val="20"/>
          <w:szCs w:val="20"/>
          <w:color w:val="auto"/>
        </w:rPr>
      </w:pPr>
    </w:p>
    <w:p>
      <w:pPr>
        <w:ind w:left="180" w:right="3820"/>
        <w:spacing w:after="0" w:line="323" w:lineRule="auto"/>
        <w:rPr>
          <w:sz w:val="20"/>
          <w:szCs w:val="20"/>
          <w:color w:val="auto"/>
        </w:rPr>
      </w:pPr>
      <w:r>
        <w:rPr>
          <w:rFonts w:ascii="Arial" w:cs="Arial" w:eastAsia="Arial" w:hAnsi="Arial"/>
          <w:sz w:val="16"/>
          <w:szCs w:val="16"/>
          <w:color w:val="auto"/>
        </w:rPr>
        <w:t>Initial value of Class A common stock subject to possible redemption Change in value of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460" w:hanging="455"/>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(170,708)</w:t>
      </w:r>
    </w:p>
    <w:p>
      <w:pPr>
        <w:spacing w:after="0" w:line="248" w:lineRule="exact"/>
        <w:rPr>
          <w:sz w:val="20"/>
          <w:szCs w:val="20"/>
          <w:color w:val="auto"/>
        </w:rPr>
      </w:pPr>
    </w:p>
    <w:p>
      <w:pPr>
        <w:jc w:val="center"/>
        <w:ind w:left="-179"/>
        <w:spacing w:after="0"/>
        <w:rPr>
          <w:sz w:val="20"/>
          <w:szCs w:val="20"/>
          <w:color w:val="auto"/>
        </w:rPr>
      </w:pPr>
      <w:r>
        <w:rPr>
          <w:rFonts w:ascii="Arial" w:cs="Arial" w:eastAsia="Arial" w:hAnsi="Arial"/>
          <w:sz w:val="16"/>
          <w:szCs w:val="16"/>
          <w:color w:val="auto"/>
        </w:rPr>
        <w:t>(15,680)</w:t>
      </w:r>
    </w:p>
    <w:p>
      <w:pPr>
        <w:spacing w:after="0" w:line="46" w:lineRule="exact"/>
        <w:rPr>
          <w:sz w:val="20"/>
          <w:szCs w:val="20"/>
          <w:color w:val="auto"/>
        </w:rPr>
      </w:pPr>
    </w:p>
    <w:p>
      <w:pPr>
        <w:jc w:val="center"/>
        <w:ind w:left="-179"/>
        <w:spacing w:after="0"/>
        <w:rPr>
          <w:sz w:val="20"/>
          <w:szCs w:val="20"/>
          <w:color w:val="auto"/>
        </w:rPr>
      </w:pPr>
      <w:r>
        <w:rPr>
          <w:rFonts w:ascii="Arial" w:cs="Arial" w:eastAsia="Arial" w:hAnsi="Arial"/>
          <w:sz w:val="18"/>
          <w:szCs w:val="18"/>
          <w:color w:val="auto"/>
        </w:rPr>
        <w:t>11,717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(369,637)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6,087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32,573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20,000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(485,648)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(149,500,000</w:t>
      </w:r>
      <w:r>
        <w:rPr>
          <w:rFonts w:ascii="Arial" w:cs="Arial" w:eastAsia="Arial" w:hAnsi="Arial"/>
          <w:sz w:val="18"/>
          <w:szCs w:val="18"/>
          <w:color w:val="auto"/>
        </w:rPr>
        <w:t>)</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(149,500,000</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136,590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149,500,000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4,990,000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(3,375,988)</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151,050,602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029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4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1,064,954</w:t>
      </w:r>
    </w:p>
    <w:p>
      <w:pPr>
        <w:spacing w:after="0" w:line="23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2"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1,064,954</w:t>
      </w:r>
    </w:p>
    <w:p>
      <w:pPr>
        <w:spacing w:after="0" w:line="200" w:lineRule="exact"/>
        <w:rPr>
          <w:sz w:val="20"/>
          <w:szCs w:val="20"/>
          <w:color w:val="auto"/>
        </w:rPr>
      </w:pPr>
    </w:p>
    <w:p>
      <w:pPr>
        <w:spacing w:after="0" w:line="311" w:lineRule="exact"/>
        <w:rPr>
          <w:sz w:val="20"/>
          <w:szCs w:val="20"/>
          <w:color w:val="auto"/>
        </w:rPr>
      </w:pPr>
    </w:p>
    <w:p>
      <w:pPr>
        <w:ind w:left="620" w:hanging="61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25,000</w:t>
      </w:r>
    </w:p>
    <w:p>
      <w:pPr>
        <w:spacing w:after="0" w:line="23" w:lineRule="exact"/>
        <w:rPr>
          <w:sz w:val="20"/>
          <w:szCs w:val="20"/>
          <w:color w:val="auto"/>
        </w:rPr>
      </w:pPr>
    </w:p>
    <w:p>
      <w:pPr>
        <w:ind w:left="620" w:hanging="6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70,000</w:t>
      </w:r>
    </w:p>
    <w:p>
      <w:pPr>
        <w:spacing w:after="0" w:line="9" w:lineRule="exact"/>
        <w:rPr>
          <w:sz w:val="20"/>
          <w:szCs w:val="20"/>
          <w:color w:val="auto"/>
        </w:rPr>
      </w:pPr>
    </w:p>
    <w:p>
      <w:pPr>
        <w:ind w:left="620" w:hanging="6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51,693</w:t>
      </w:r>
    </w:p>
    <w:p>
      <w:pPr>
        <w:spacing w:after="0" w:line="9" w:lineRule="exact"/>
        <w:rPr>
          <w:sz w:val="20"/>
          <w:szCs w:val="20"/>
          <w:color w:val="auto"/>
        </w:rPr>
      </w:pPr>
    </w:p>
    <w:p>
      <w:pPr>
        <w:ind w:left="400" w:hanging="395"/>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5,232,500</w:t>
      </w:r>
    </w:p>
    <w:p>
      <w:pPr>
        <w:spacing w:after="0" w:line="20" w:lineRule="exact"/>
        <w:rPr>
          <w:rFonts w:ascii="Arial" w:cs="Arial" w:eastAsia="Arial" w:hAnsi="Arial"/>
          <w:sz w:val="17"/>
          <w:szCs w:val="17"/>
          <w:color w:val="auto"/>
        </w:rPr>
      </w:pPr>
    </w:p>
    <w:p>
      <w:pPr>
        <w:ind w:left="220" w:hanging="215"/>
        <w:spacing w:after="0"/>
        <w:tabs>
          <w:tab w:leader="none" w:pos="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140,714,240</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(125,130)</w:t>
      </w:r>
    </w:p>
    <w:p>
      <w:pPr>
        <w:spacing w:after="0" w:line="253" w:lineRule="exact"/>
        <w:rPr>
          <w:sz w:val="20"/>
          <w:szCs w:val="20"/>
          <w:color w:val="auto"/>
        </w:rPr>
      </w:pPr>
    </w:p>
    <w:p>
      <w:pPr>
        <w:sectPr>
          <w:pgSz w:w="11900" w:h="16838" w:orient="portrait"/>
          <w:cols w:equalWidth="0" w:num="2">
            <w:col w:w="9300" w:space="720"/>
            <w:col w:w="1180"/>
          </w:cols>
          <w:pgMar w:left="320" w:top="121" w:right="379" w:bottom="1440" w:gutter="0" w:footer="0" w:header="0"/>
          <w:type w:val="continuous"/>
        </w:sectPr>
      </w:pPr>
    </w:p>
    <w:p>
      <w:pPr>
        <w:jc w:val="center"/>
        <w:ind w:right="-39"/>
        <w:spacing w:after="0"/>
        <w:rPr>
          <w:sz w:val="20"/>
          <w:szCs w:val="20"/>
          <w:color w:val="auto"/>
        </w:rPr>
      </w:pPr>
      <w:r>
        <w:rPr>
          <w:rFonts w:ascii="Arial" w:cs="Arial" w:eastAsia="Arial" w:hAnsi="Arial"/>
          <w:sz w:val="19"/>
          <w:szCs w:val="19"/>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 w:name="page7"/>
    <w:bookmarkEnd w:id="6"/>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1—Description of Organization, Business Operations and Basis of Presentation</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of September 30, 2020, the Company had not commenced any operations. All activity for the period from March 27, 2020 (inception) through September 30, 2020 relates to the Company’s formation and its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with a maturity of 185 days or less or in money market funds meeting the conditions of paragraphs (d)</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(1), (d)(2), (d)(3) and (d)(4) of Rule 2a-7 of the Investment Company Act, as determined by the Company, until the earlier of: (i) the completion of a Business Combination and (ii) the distribution of the Trust Account as described below.</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has adopted an insider trading policy which requires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200" w:lineRule="exact"/>
        <w:rPr>
          <w:sz w:val="20"/>
          <w:szCs w:val="20"/>
          <w:color w:val="auto"/>
        </w:rPr>
      </w:pPr>
    </w:p>
    <w:p>
      <w:pPr>
        <w:spacing w:after="0" w:line="23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Basis of Presentation</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three months ended September 30, 2020 and the period from March 27, 2020 (inception) through September 30, 2020 are not necessarily indicative of the results that may be expected for the period ending December 31, 2020 or for any future interim periods.</w:t>
      </w:r>
    </w:p>
    <w:p>
      <w:pPr>
        <w:spacing w:after="0" w:line="21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accompanying unaudited condensed financial statements should be read in conjunction with the audited financial statements and notes thereto included in the Form 8-K and the final prospectus filed by the Company with the SEC on August 17, 2020 and August 10,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Emerging Growth Company</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Risk and Uncertainties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Liquidity and Capital Resources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2020, the Company had $1.1 million in its operating bank account and working capital of approximately $1.3 million.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Use of Estimates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preparation of the unaudited condensed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and Cash Equivalents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considers all short-term investments with an original maturity of three months or less when purchased to be cash equivalents. The Company had no cash equivalents as of September 30, 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Securities Held in Trust Account</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unaudited condensed balance sheet at fair value at the end of the reporting period. Gains and losses resulting from the change in fair value of trading securities is included in investment income on Trust Account in the accompanying unaudited condensed statements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Concentration of Credit Risk</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Fair Value of Financial Instruments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8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97"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ectPr>
          <w:pgSz w:w="11900" w:h="16838" w:orient="portrait"/>
          <w:cols w:equalWidth="0" w:num="1">
            <w:col w:w="11240"/>
          </w:cols>
          <w:pgMar w:left="320" w:top="122" w:right="3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2020, the carrying values of cash, accounts payable and accrued expenses approximate their fair values due to the short-term nature of the instruments. The Company’s portfolio of investments held in the Trust Account is comprised of investments in U.S. Treasury securities with an original maturity of 185 days or less or investments in money market funds that invest in U.S. government securities, or a combination thereof. The fair value for trading securities is determined using quoted market prices in active markets.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Offering Costs Associated with the Initial Public Offering</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Offering costs consisted of legal, accounting, and other costs incurred that were directly related to the Initial Public Offering and that were charged to shareholders’ equity upon the completion of the Initial Public Offering.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 A Ordinary Shares Subject to Possible Redemption</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September 30, 2020, 14,058,911 Class A ordinary shares subject to possible redemption are presented as temporary equity, outside of the shareholders’ equity section of the Company’s unaudited condensed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September 30,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There is currently no taxation imposed on income by the Government of the Cayman Islands. In accordance with Cayman income tax regulations, income taxes are not levied on the Company. Consequently, income taxes are not reflected in the Company’s unaudited condensed financial statements. The Company’s management does not expect that the total amount of unrecognized tax benefits will materially change over the next twelve months.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Income (Loss) Per Ordinary Share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income (loss) per share is computed by dividing net income by the weighted-average number of ordinary shares outstanding during the periods. The Company’s unaudited condensed statements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$15,680 for the three month period ended September 30, 2020 and for the period from March 27, 2020 (inception) through September 30, 2020, respectively,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periods.</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Accounting Pronouncements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pronounceme.nt if currently adopted would have a material effect on the Company’s unaudited condensed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3—Initial Public Offering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Founder Shares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 nominees.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Private Placement Share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Related Party Loans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Administrative Support Agreement</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approximately $20,000 and $20,000 in general and administrative expenses in the accompanying unaudited condensed consolidated statements of operations for the three months ended September 30, 2020 and for the period from March 27, 2020 (inception) through September 30, 2020, respectively and is included in accrued expenses- related party on the accompanying unaudited condensed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Forward Purchase Arrangement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Sponsor has indicated an interest to purchase up to an aggregate of $25 million of the Company’s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Registration Rights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holders of Founder Shares, Private Placement Shares and Private Placement Shares that may be issued upon conversion of Working Capital Loans, will be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 s Business Combination. The Company will bear the expenses incurred in connection with the filing of any such registration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Underwriting Agreement</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ectPr>
          <w:pgSz w:w="11900" w:h="16838" w:orient="portrait"/>
          <w:cols w:equalWidth="0" w:num="1">
            <w:col w:w="11240"/>
          </w:cols>
          <w:pgMar w:left="320" w:top="122"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6—Shareholders’ Equity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 xml:space="preserve">Class A Ordinary Shares — </w:t>
      </w:r>
      <w:r>
        <w:rPr>
          <w:rFonts w:ascii="Arial" w:cs="Arial" w:eastAsia="Arial" w:hAnsi="Arial"/>
          <w:sz w:val="22"/>
          <w:szCs w:val="22"/>
          <w:color w:val="auto"/>
        </w:rPr>
        <w:t>The Company is authorized to issue 479,000,000 Class A ordinary shares with a par value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$0.0001 per share. As of September 30, 2020, there were 15,449,000 Class A common shares outstanding, including 14,058,911 Class A common stock subject to possible redemption that were classified as temporary equity in the accompanying unaudited condensed balance sheet.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i w:val="1"/>
          <w:iCs w:val="1"/>
          <w:color w:val="auto"/>
        </w:rPr>
        <w:t xml:space="preserve">Class B Ordinary Shares — </w:t>
      </w:r>
      <w:r>
        <w:rPr>
          <w:rFonts w:ascii="Arial" w:cs="Arial" w:eastAsia="Arial" w:hAnsi="Arial"/>
          <w:sz w:val="19"/>
          <w:szCs w:val="19"/>
          <w:color w:val="auto"/>
        </w:rPr>
        <w:t>The Company is authorized to issue 20,000,000 Class B ordinary shares with a par value of $0.0001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 share. On April 2, 2020, the Company issued 3,593,750 Class B ordinary shares. On August 6, 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 xml:space="preserve">Preference Shares — </w:t>
      </w:r>
      <w:r>
        <w:rPr>
          <w:rFonts w:ascii="Arial" w:cs="Arial" w:eastAsia="Arial" w:hAnsi="Arial"/>
          <w:sz w:val="21"/>
          <w:szCs w:val="21"/>
          <w:color w:val="auto"/>
        </w:rPr>
        <w:t>The Company is authorized to issue 1,000,000 preference shares with a par value of $0.0001 per share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 such designations, voting and other rights and preferences as may be determined from time to time by the Company’s board of directors. As of September 30, 2020, there were no preference shares issued or outstanding.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7—Fair Value Measurements</w:t>
      </w:r>
    </w:p>
    <w:p>
      <w:pPr>
        <w:spacing w:after="0" w:line="239"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The following table presents information about the Company’s assets that are measured at fair value on a recurring basis as of September 30, 2020 and indicates the fair value hierarchy of the valuation techniques that the Company utilized to determine such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060" w:type="dxa"/>
            <w:vAlign w:val="bottom"/>
            <w:gridSpan w:val="4"/>
          </w:tcPr>
          <w:p>
            <w:pPr>
              <w:ind w:left="1680"/>
              <w:spacing w:after="0"/>
              <w:rPr>
                <w:sz w:val="20"/>
                <w:szCs w:val="20"/>
                <w:color w:val="auto"/>
              </w:rPr>
            </w:pPr>
            <w:r>
              <w:rPr>
                <w:rFonts w:ascii="Arial" w:cs="Arial" w:eastAsia="Arial" w:hAnsi="Arial"/>
                <w:sz w:val="18"/>
                <w:szCs w:val="18"/>
                <w:b w:val="1"/>
                <w:bCs w:val="1"/>
                <w:color w:val="auto"/>
                <w:w w:val="95"/>
              </w:rPr>
              <w:t>Quoted Prices in</w:t>
            </w:r>
          </w:p>
        </w:tc>
        <w:tc>
          <w:tcPr>
            <w:tcW w:w="100" w:type="dxa"/>
            <w:vAlign w:val="bottom"/>
          </w:tcPr>
          <w:p>
            <w:pPr>
              <w:spacing w:after="0"/>
              <w:rPr>
                <w:sz w:val="18"/>
                <w:szCs w:val="18"/>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Significant Other</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Significant Other</w:t>
            </w:r>
          </w:p>
        </w:tc>
      </w:tr>
      <w:tr>
        <w:trPr>
          <w:trHeight w:val="216"/>
        </w:trPr>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Active Markets</w:t>
            </w: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rPr>
              <w:t>Observable Inputs</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4"/>
              </w:rPr>
              <w:t>Unobservable Inputs</w:t>
            </w:r>
          </w:p>
        </w:tc>
      </w:tr>
      <w:tr>
        <w:trPr>
          <w:trHeight w:val="241"/>
        </w:trPr>
        <w:tc>
          <w:tcPr>
            <w:tcW w:w="47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 held in Trust Account:</w:t>
            </w:r>
          </w:p>
        </w:tc>
        <w:tc>
          <w:tcPr>
            <w:tcW w:w="1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149,513,552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180"/>
              <w:spacing w:after="0"/>
              <w:rPr>
                <w:sz w:val="20"/>
                <w:szCs w:val="20"/>
                <w:color w:val="auto"/>
              </w:rPr>
            </w:pPr>
            <w:r>
              <w:rPr>
                <w:rFonts w:ascii="Arial" w:cs="Arial" w:eastAsia="Arial" w:hAnsi="Arial"/>
                <w:sz w:val="18"/>
                <w:szCs w:val="18"/>
                <w:color w:val="auto"/>
              </w:rPr>
              <w:t>Cash equivalents – money market funds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7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149,515,680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Transfers to/from Levels 1, 2, and 3 are recognized at the end of the reporting period. There were no transfers between levels for the three months ended September 30, 2020 and for the period from March 27, 2020 (inception) through September 30, 2020.</w:t>
      </w:r>
    </w:p>
    <w:p>
      <w:pPr>
        <w:spacing w:after="0" w:line="13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8—Subsequent Events</w:t>
      </w:r>
    </w:p>
    <w:p>
      <w:pPr>
        <w:spacing w:after="0" w:line="239"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auto"/>
        </w:rPr>
        <w:t>Management has evaluated subsequent events to determine if events or transactions occurring through November 13, 2020, the date the unaudited condensed financial statements were available for issuance, require potential adjustment to or disclosure in the unaudited condensed financial statements and has concluded that all such events that would require recognition or disclosure have been recognized or disclosed.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References to the “Company,” “our,” “us” or “we” refer to ARYA Sciences Acquisition Corp III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 blank check company incorporated on March 27, 2020 as a Cayman Islands exempted company for the purpose of effecting a merger, share exchange, asset acquisition, share purchase, reorganization or similar business combination with one or more businesses (the “Business Combination”) that we have not yet identified. Our sponsor is ARYA Sciences Holdings III, a Cayman Islands exempted limited company (our “Sponsor”).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registration statement for our initial public offering (the “Initial Public Offering”) was declared effective on August 6, 2020. On August 11, 2020, we consummated the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Simultaneously with the closing of the Initial Public Offering, we consummated the private placement (“Private Placement”) of 499,000 Class A ordinary shares (the “Private Placement Shares”), at a price of $10.00 per Private Placement Share to our Sponsor, generating gross proceeds of approximately $5.0 million.</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with a maturity of 185 days or less or in money market fund meeting the conditions of paragraphs (d)</w:t>
      </w:r>
    </w:p>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 (d)(2), (d)(3) and (d)(4) of Rule 2a-7 of the Investment Company Act, as determined by us, until the earlier of: (i) the completion of a Business Combination and (ii) the distribution of the Trust Account as described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we have not completed a Business Combination within 24 months from the closing of the Initial Public Offering, or August 11, 2022 or with respect to any other provision relating to the rights of Public Shareholders, unless we provide the Public Shareholders with the opportunity to redeem their Class A ordinary shares in conjunction with any such amendment,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entire activity since inception through September 30, 2020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September 30, 2020, we had a net loss of approximately $159,000, which consisted of approximately $175,000 in general and administrative expenses partially offset by approximately $16,000 per P&amp;L and above of net gains, dividends and interest on investments held in Trust Account.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For the period from March 27, 2020 (inception) through September 30, 2020, we had a net loss of approximately $171,000, which consisted of approximately $187,000 in general and administrative expenses partially offset by approximately $16,000 per P&amp;L and above of net gains, dividends and interest on investments held in Trust Account.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As of September 30, 2020, we had approximately $1.1 million in our operating bank account, working capital of approximately $1.3 million, and no interest income available in the Trust Account to pay for our tax obligations, if any.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liquidity needs to date have been satisfied through a contribution of $25,000 from our Sponsor to cover certain of our offering costs in exchange for the issuance of the Founder Shares, the loan proceeds of $200,000 from our Sponsor pursuant to a note agreement (the “Note”), and the proceeds from the consummation of the Private Placement not held in the Trust Account. We repaid the Note in full on August 11, 2020. In addition, in order to finance transaction costs in connection with a Business Combination, our Sponsor or an affiliate of our Sponsor, or certain of our officers and directors may, but are not obligated to, provide us working capital loans. As of September 30, 2020, there were no amounts outstanding under any working capital loan.</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Based on the foregoing,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continue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do not have any long-term debt obligations, capital lease obligations, operating lease obligations, purchase obligations or long-term liabilities, other than for an agreement pay our Sponsor fees of $10,000 per month for administrative support services.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 A Ordinary Shares Subject to Possible Redemption</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September 30, 2020, 14,058,911 Class A ordinary shares subject to possible redemption are presented as temporary equity, outside of the shareholders’ equity section of the Company’s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Income (Loss) Per Ordinary Share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income (loss) per share is computed by dividing net income by the weighted-average number of ordinary shares outstanding during the periods. Our unaudited condensed statements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$15,680 for the three month period ended September 30, 2020 and for the period from March 27, 2020 (inception) through September 30, 2020, respectively,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Our management does not believe that any recently issued, but not yet effective, accounting standards if currently adopted would have a material effect on the accompanying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2020, we did not have any off-balance sheet arrangements as defined in Item 303(a)(4)(ii) of Regulation S-K.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are a smaller reporting company as defined by Rule 12b-2 of the Exchange Act and are not required to provide the information otherwise required under this item.</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September 30, 2020, as such term is defined in Rules 13a-15(e) and 15d-15(e) under the Exchange Act. Based on this evaluation, our chief executive officer and chief financial officer have concluded that during the period covered by this report, our disclosure controls and procedures were effective.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Internal Control over Financial Reporting</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There was no change in our internal control over financial reporting that occurred during the three months ended September 30, 2020,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There have been no material changes from the risk factors previously disclosed in the Company’s most recent prospectus for the Initial Public Offering as filed with the SEC on August 10, 2020. except for the below risk factor. We may disclose changes to such factors or disclose additional factors from time to time in our future filings with the SEC.</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from Registered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Unregistered Sales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Simultaneously with the closing of the Initial Public Offering, we consummated the Private Placement of 499,000 Private Placement Shares, at a price of $10.00 per Private Placement Share to our Sponsor, generating gross proceeds of approximately $5.0 million. This issuance was made pursuant to the exemption from registration contained in Section 4(a)(2) of the Securities Act and no underwriting discounts or commissions were paid with respect to such sale.</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April 2, 2020, our Sponsor paid $25,000 to cover certain of our offering costs in consideration of 3,593,750 Founder Shares. In July 2020, our Sponsor transferred an aggregate of 90,000 Founder Shares to our independent director nominees. On August 6, 2020, we effected a share capitalization resulting in the initial shareholders holding 3,737,500 Founder Shares. Our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 Such securities were issued in connection with the Company’s organization pursuant to the exemption from registration contained in Section 4(a)(2) of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Use of Proceeds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August 11, 2020, we consummated the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The securities in the offering were registered under the Securities Act on registration statements on Form S-1 (File No. 333-239986) that became effective on August 6, 2020.</w:t>
      </w:r>
    </w:p>
    <w:p>
      <w:pPr>
        <w:sectPr>
          <w:pgSz w:w="11900" w:h="16838" w:orient="portrait"/>
          <w:cols w:equalWidth="0" w:num="1">
            <w:col w:w="11240"/>
          </w:cols>
          <w:pgMar w:left="320" w:top="121"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connection with the Initial Public Offering, we incurred offering costs of approximately $8.8 million, inclusive of approximately $5.2 million in deferred underwriting commissions.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approximately $149.5 million of the net proceeds from our Initial Public Offering and certain of the proceeds from the Private Placement of the Private Placement Shares (or $10.00 per share sold in the Initial Public Offering) was placed in the Trust Account. The net proceeds of the Initial Public Offering and certain proceeds from the sale of the Private Placement Shares are held in the Trust Account and invested as described elsewhere in this Quarterly Report on Form 10-Q.</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has been no material change in the planned use of the proceeds from the Initial Public Offering and Private Placement as is described in the Company’s final prospectus related to the Initial Public Offering.</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8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Information</w:t>
            </w:r>
          </w:p>
        </w:tc>
      </w:tr>
      <w:tr>
        <w:trPr>
          <w:trHeight w:val="496"/>
        </w:trPr>
        <w:tc>
          <w:tcPr>
            <w:tcW w:w="760" w:type="dxa"/>
            <w:vAlign w:val="bottom"/>
          </w:tcPr>
          <w:p>
            <w:pPr>
              <w:ind w:left="60"/>
              <w:spacing w:after="0"/>
              <w:rPr>
                <w:sz w:val="20"/>
                <w:szCs w:val="20"/>
                <w:color w:val="auto"/>
              </w:rPr>
            </w:pPr>
            <w:r>
              <w:rPr>
                <w:rFonts w:ascii="Arial" w:cs="Arial" w:eastAsia="Arial" w:hAnsi="Arial"/>
                <w:sz w:val="22"/>
                <w:szCs w:val="22"/>
                <w:color w:val="auto"/>
              </w:rPr>
              <w:t>None.</w:t>
            </w:r>
          </w:p>
        </w:tc>
        <w:tc>
          <w:tcPr>
            <w:tcW w:w="160" w:type="dxa"/>
            <w:vAlign w:val="bottom"/>
          </w:tcPr>
          <w:p>
            <w:pPr>
              <w:spacing w:after="0"/>
              <w:rPr>
                <w:sz w:val="24"/>
                <w:szCs w:val="24"/>
                <w:color w:val="auto"/>
              </w:rPr>
            </w:pPr>
          </w:p>
        </w:tc>
        <w:tc>
          <w:tcPr>
            <w:tcW w:w="10320" w:type="dxa"/>
            <w:vAlign w:val="bottom"/>
          </w:tcPr>
          <w:p>
            <w:pPr>
              <w:spacing w:after="0"/>
              <w:rPr>
                <w:sz w:val="24"/>
                <w:szCs w:val="24"/>
                <w:color w:val="auto"/>
              </w:rPr>
            </w:pPr>
          </w:p>
        </w:tc>
      </w:tr>
      <w:tr>
        <w:trPr>
          <w:trHeight w:val="449"/>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7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10320" w:type="dxa"/>
            <w:vAlign w:val="bottom"/>
          </w:tcPr>
          <w:p>
            <w:pPr>
              <w:spacing w:after="0"/>
              <w:rPr>
                <w:sz w:val="24"/>
                <w:szCs w:val="24"/>
                <w:color w:val="auto"/>
              </w:rPr>
            </w:pPr>
          </w:p>
        </w:tc>
      </w:tr>
      <w:tr>
        <w:trPr>
          <w:trHeight w:val="241"/>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60" w:type="dxa"/>
            <w:vAlign w:val="bottom"/>
            <w:tcBorders>
              <w:bottom w:val="single" w:sz="8" w:color="auto"/>
            </w:tcBorders>
          </w:tcPr>
          <w:p>
            <w:pPr>
              <w:spacing w:after="0"/>
              <w:rPr>
                <w:sz w:val="20"/>
                <w:szCs w:val="20"/>
                <w:color w:val="auto"/>
              </w:rPr>
            </w:pPr>
          </w:p>
        </w:tc>
        <w:tc>
          <w:tcPr>
            <w:tcW w:w="10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88"/>
        </w:trPr>
        <w:tc>
          <w:tcPr>
            <w:tcW w:w="76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31.1*</w:t>
              </w:r>
            </w:hyperlink>
          </w:p>
        </w:tc>
        <w:tc>
          <w:tcPr>
            <w:tcW w:w="160" w:type="dxa"/>
            <w:vAlign w:val="bottom"/>
            <w:shd w:val="clear" w:color="auto" w:fill="CCEEFF"/>
          </w:tcPr>
          <w:p>
            <w:pPr>
              <w:spacing w:after="0"/>
              <w:rPr>
                <w:sz w:val="16"/>
                <w:szCs w:val="16"/>
                <w:color w:val="auto"/>
              </w:rPr>
            </w:pPr>
          </w:p>
        </w:tc>
        <w:tc>
          <w:tcPr>
            <w:tcW w:w="103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Certification of Chief Executive Officer (Principal Executive Officer) Pursuant to Rules 13a-14(a) and 15d-14(a) under the Securities</w:t>
            </w:r>
          </w:p>
        </w:tc>
      </w:tr>
      <w:tr>
        <w:trPr>
          <w:trHeight w:val="230"/>
        </w:trPr>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 Act of 1934, as Adopted Pursuant to Section 302 of the Sarbanes-Oxley Act of 2002.</w:t>
            </w:r>
          </w:p>
        </w:tc>
      </w:tr>
      <w:tr>
        <w:trPr>
          <w:trHeight w:val="202"/>
        </w:trPr>
        <w:tc>
          <w:tcPr>
            <w:tcW w:w="760" w:type="dxa"/>
            <w:vAlign w:val="bottom"/>
          </w:tcPr>
          <w:p>
            <w:pPr>
              <w:spacing w:after="0" w:line="201"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31.2*</w:t>
              </w:r>
            </w:hyperlink>
          </w:p>
        </w:tc>
        <w:tc>
          <w:tcPr>
            <w:tcW w:w="160" w:type="dxa"/>
            <w:vAlign w:val="bottom"/>
          </w:tcPr>
          <w:p>
            <w:pPr>
              <w:spacing w:after="0"/>
              <w:rPr>
                <w:sz w:val="17"/>
                <w:szCs w:val="17"/>
                <w:color w:val="auto"/>
              </w:rPr>
            </w:pPr>
          </w:p>
        </w:tc>
        <w:tc>
          <w:tcPr>
            <w:tcW w:w="10320" w:type="dxa"/>
            <w:vAlign w:val="bottom"/>
          </w:tcPr>
          <w:p>
            <w:pPr>
              <w:ind w:left="120"/>
              <w:spacing w:after="0" w:line="201" w:lineRule="exact"/>
              <w:rPr>
                <w:sz w:val="20"/>
                <w:szCs w:val="20"/>
                <w:color w:val="auto"/>
              </w:rPr>
            </w:pPr>
            <w:r>
              <w:rPr>
                <w:rFonts w:ascii="Arial" w:cs="Arial" w:eastAsia="Arial" w:hAnsi="Arial"/>
                <w:sz w:val="18"/>
                <w:szCs w:val="18"/>
                <w:color w:val="auto"/>
                <w:w w:val="94"/>
              </w:rPr>
              <w:t>Certification of Chief Financial Officer (Principal Financial and Accounting Officer) Pursuant to Rules 13a-14(a) and 15d-14(a) under the</w:t>
            </w:r>
          </w:p>
        </w:tc>
      </w:tr>
      <w:tr>
        <w:trPr>
          <w:trHeight w:val="230"/>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Securities Exchange Act of 1934, as Adopted Pursuant to Section 302 of the Sarbanes-Oxley Act of 2002.</w:t>
            </w:r>
          </w:p>
        </w:tc>
      </w:tr>
      <w:tr>
        <w:trPr>
          <w:trHeight w:val="202"/>
        </w:trPr>
        <w:tc>
          <w:tcPr>
            <w:tcW w:w="76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32.1*</w:t>
              </w:r>
            </w:hyperlink>
          </w:p>
        </w:tc>
        <w:tc>
          <w:tcPr>
            <w:tcW w:w="160" w:type="dxa"/>
            <w:vAlign w:val="bottom"/>
            <w:shd w:val="clear" w:color="auto" w:fill="CCEEFF"/>
          </w:tcPr>
          <w:p>
            <w:pPr>
              <w:spacing w:after="0"/>
              <w:rPr>
                <w:sz w:val="17"/>
                <w:szCs w:val="17"/>
                <w:color w:val="auto"/>
              </w:rPr>
            </w:pPr>
          </w:p>
        </w:tc>
        <w:tc>
          <w:tcPr>
            <w:tcW w:w="10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Certification of Chief Executive Officer (Principal Executive Officer) Pursuant to 18 U.S.C. Section 1350, as Adopted Pursuant to Section</w:t>
            </w:r>
          </w:p>
        </w:tc>
      </w:tr>
      <w:tr>
        <w:trPr>
          <w:trHeight w:val="230"/>
        </w:trPr>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906 of the Sarbanes-Oxley Act of 2002.</w:t>
            </w:r>
          </w:p>
        </w:tc>
      </w:tr>
      <w:tr>
        <w:trPr>
          <w:trHeight w:val="202"/>
        </w:trPr>
        <w:tc>
          <w:tcPr>
            <w:tcW w:w="760" w:type="dxa"/>
            <w:vAlign w:val="bottom"/>
          </w:tcPr>
          <w:p>
            <w:pPr>
              <w:spacing w:after="0" w:line="201"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32.2*</w:t>
              </w:r>
            </w:hyperlink>
          </w:p>
        </w:tc>
        <w:tc>
          <w:tcPr>
            <w:tcW w:w="160" w:type="dxa"/>
            <w:vAlign w:val="bottom"/>
          </w:tcPr>
          <w:p>
            <w:pPr>
              <w:spacing w:after="0"/>
              <w:rPr>
                <w:sz w:val="17"/>
                <w:szCs w:val="17"/>
                <w:color w:val="auto"/>
              </w:rPr>
            </w:pPr>
          </w:p>
        </w:tc>
        <w:tc>
          <w:tcPr>
            <w:tcW w:w="10320" w:type="dxa"/>
            <w:vAlign w:val="bottom"/>
          </w:tcPr>
          <w:p>
            <w:pPr>
              <w:ind w:left="120"/>
              <w:spacing w:after="0" w:line="201" w:lineRule="exact"/>
              <w:rPr>
                <w:sz w:val="20"/>
                <w:szCs w:val="20"/>
                <w:color w:val="auto"/>
              </w:rPr>
            </w:pPr>
            <w:r>
              <w:rPr>
                <w:rFonts w:ascii="Arial" w:cs="Arial" w:eastAsia="Arial" w:hAnsi="Arial"/>
                <w:sz w:val="18"/>
                <w:szCs w:val="18"/>
                <w:color w:val="auto"/>
                <w:w w:val="98"/>
              </w:rPr>
              <w:t>Certification of Chief Financial Officer (Principal Financial and Accounting Officer) Pursuant to 18 U.S.C. Section 1350, as Adopted</w:t>
            </w:r>
          </w:p>
        </w:tc>
      </w:tr>
      <w:tr>
        <w:trPr>
          <w:trHeight w:val="230"/>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60" w:type="dxa"/>
            <w:vAlign w:val="bottom"/>
            <w:shd w:val="clear" w:color="auto" w:fill="CCEEFF"/>
          </w:tcPr>
          <w:p>
            <w:pPr>
              <w:spacing w:after="0"/>
              <w:rPr>
                <w:sz w:val="18"/>
                <w:szCs w:val="18"/>
                <w:color w:val="auto"/>
              </w:rPr>
            </w:pP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60" w:type="dxa"/>
            <w:vAlign w:val="bottom"/>
            <w:shd w:val="clear" w:color="auto" w:fill="CCEEFF"/>
          </w:tcPr>
          <w:p>
            <w:pPr>
              <w:spacing w:after="0"/>
              <w:rPr>
                <w:sz w:val="18"/>
                <w:szCs w:val="18"/>
                <w:color w:val="auto"/>
              </w:rPr>
            </w:pP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60" w:type="dxa"/>
            <w:vAlign w:val="bottom"/>
            <w:shd w:val="clear" w:color="auto" w:fill="CCEEFF"/>
          </w:tcPr>
          <w:p>
            <w:pPr>
              <w:spacing w:after="0"/>
              <w:rPr>
                <w:sz w:val="18"/>
                <w:szCs w:val="18"/>
                <w:color w:val="auto"/>
              </w:rPr>
            </w:pP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4" w:lineRule="exact"/>
        <w:rPr>
          <w:sz w:val="20"/>
          <w:szCs w:val="20"/>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13, 2020</w:t>
      </w:r>
      <w:r>
        <w:rPr>
          <w:sz w:val="20"/>
          <w:szCs w:val="20"/>
          <w:color w:val="auto"/>
        </w:rPr>
        <w:tab/>
      </w: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Altman</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RULES 13a-14(a) AND 15d-14(a)</w:t>
      </w:r>
    </w:p>
    <w:p>
      <w:pPr>
        <w:jc w:val="center"/>
        <w:spacing w:after="0" w:line="230" w:lineRule="auto"/>
        <w:rPr>
          <w:sz w:val="20"/>
          <w:szCs w:val="20"/>
          <w:color w:val="auto"/>
        </w:rPr>
      </w:pPr>
      <w:r>
        <w:rPr>
          <w:rFonts w:ascii="Arial" w:cs="Arial" w:eastAsia="Arial" w:hAnsi="Arial"/>
          <w:sz w:val="22"/>
          <w:szCs w:val="22"/>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Stone, certify that:</w:t>
      </w:r>
    </w:p>
    <w:p>
      <w:pPr>
        <w:spacing w:after="0" w:line="1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2020 of ARYA Sciences Acquisition Corp III;</w:t>
      </w:r>
    </w:p>
    <w:p>
      <w:pPr>
        <w:spacing w:after="0" w:line="236"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40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486"/>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0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486"/>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7"/>
          <w:szCs w:val="17"/>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Adam Stone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RULES 13a-14(a) AND 15d-14(a)</w:t>
      </w:r>
    </w:p>
    <w:p>
      <w:pPr>
        <w:jc w:val="center"/>
        <w:spacing w:after="0" w:line="230" w:lineRule="auto"/>
        <w:rPr>
          <w:sz w:val="20"/>
          <w:szCs w:val="20"/>
          <w:color w:val="auto"/>
        </w:rPr>
      </w:pPr>
      <w:r>
        <w:rPr>
          <w:rFonts w:ascii="Arial" w:cs="Arial" w:eastAsia="Arial" w:hAnsi="Arial"/>
          <w:sz w:val="22"/>
          <w:szCs w:val="22"/>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Michael Altman, certify that:</w:t>
      </w:r>
    </w:p>
    <w:p>
      <w:pPr>
        <w:spacing w:after="0" w:line="1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2020 of ARYA Sciences Acquisition Corp III;</w:t>
      </w:r>
    </w:p>
    <w:p>
      <w:pPr>
        <w:spacing w:after="0" w:line="236"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40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60" w:hanging="486"/>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486"/>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jc w:val="both"/>
        <w:ind w:left="980" w:right="540" w:hanging="486"/>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00" w:hanging="492"/>
        <w:spacing w:after="0" w:line="30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486"/>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7"/>
          <w:szCs w:val="17"/>
          <w:color w:val="auto"/>
        </w:rPr>
        <w:t>By:  /s/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Michael Altman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and Director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ARYA Sciences Acquisition Corp III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quarter ended September 30, 2020,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Adam Stone, Chief Executive Officer and Director of the Company, certify, pursuant to 18 U.S.C. Section 1350, as adopted pursuant to Section 906 of the Sarbanes-Oxley Act of 2002, that, to my knowledge:</w:t>
      </w:r>
    </w:p>
    <w:p>
      <w:pPr>
        <w:spacing w:after="0" w:line="21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13, 2020</w:t>
      </w:r>
    </w:p>
    <w:p>
      <w:pPr>
        <w:spacing w:after="0" w:line="2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8330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8330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jc w:val="center"/>
        <w:ind w:left="316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9" w:lineRule="exact"/>
        <w:rPr>
          <w:sz w:val="20"/>
          <w:szCs w:val="20"/>
          <w:color w:val="auto"/>
        </w:rPr>
      </w:pPr>
    </w:p>
    <w:p>
      <w:pPr>
        <w:jc w:val="center"/>
        <w:ind w:left="31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ARYA Sciences Acquisition Corp III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quarter ended September 30, 2020,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Michael Altman, Chief Financial Officer and Director of the Company, certify, pursuant to 18 U.S.C. Section 1350, as adopted pursuant to Section 906 of the Sarbanes-Oxley Act of 2002, that, to my knowledge:</w:t>
      </w:r>
    </w:p>
    <w:p>
      <w:pPr>
        <w:spacing w:after="0" w:line="21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13, 2020</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Altman</w:t>
      </w:r>
    </w:p>
    <w:p>
      <w:pPr>
        <w:spacing w:after="0" w:line="23"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Director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2020-11-13T16:37:17Z</dcterms:created>
  <dcterms:modified xsi:type="dcterms:W3CDTF">2020-11-13T16:37:17Z</dcterms:modified>
</cp:coreProperties>
</file>