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124460</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720" w:hanging="294"/>
        <w:spacing w:after="0"/>
        <w:tabs>
          <w:tab w:leader="none" w:pos="7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3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0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OR</w:t>
      </w:r>
    </w:p>
    <w:p>
      <w:pPr>
        <w:spacing w:after="0" w:line="158" w:lineRule="exact"/>
        <w:rPr>
          <w:sz w:val="24"/>
          <w:szCs w:val="24"/>
          <w:color w:val="auto"/>
        </w:rPr>
      </w:pPr>
    </w:p>
    <w:p>
      <w:pPr>
        <w:ind w:left="720" w:hanging="279"/>
        <w:spacing w:after="0"/>
        <w:tabs>
          <w:tab w:leader="none" w:pos="7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7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For the transition period from _________ to _________</w:t>
      </w:r>
    </w:p>
    <w:p>
      <w:pPr>
        <w:spacing w:after="0" w:line="1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Commission File Number 001-39434</w:t>
      </w:r>
    </w:p>
    <w:p>
      <w:pPr>
        <w:spacing w:after="0" w:line="1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61" w:lineRule="exact"/>
        <w:rPr>
          <w:sz w:val="24"/>
          <w:szCs w:val="24"/>
          <w:color w:val="auto"/>
        </w:rPr>
      </w:pPr>
    </w:p>
    <w:tbl>
      <w:tblPr>
        <w:tblLayout w:type="fixed"/>
        <w:tblInd w:w="700" w:type="dxa"/>
        <w:tblCellMar>
          <w:top w:w="0" w:type="dxa"/>
          <w:left w:w="0" w:type="dxa"/>
          <w:bottom w:w="0" w:type="dxa"/>
          <w:right w:w="0" w:type="dxa"/>
        </w:tblCellMar>
      </w:tblPr>
      <w:tr>
        <w:trPr>
          <w:trHeight w:val="190"/>
        </w:trPr>
        <w:tc>
          <w:tcPr>
            <w:tcW w:w="3700" w:type="dxa"/>
            <w:vAlign w:val="bottom"/>
          </w:tcPr>
          <w:p>
            <w:pPr>
              <w:jc w:val="center"/>
              <w:ind w:right="6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2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98-1541723</w:t>
            </w:r>
          </w:p>
        </w:tc>
      </w:tr>
      <w:tr>
        <w:trPr>
          <w:trHeight w:val="163"/>
        </w:trPr>
        <w:tc>
          <w:tcPr>
            <w:tcW w:w="370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220" w:type="dxa"/>
            <w:vAlign w:val="bottom"/>
          </w:tcPr>
          <w:p>
            <w:pPr>
              <w:jc w:val="center"/>
              <w:ind w:left="406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70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220" w:type="dxa"/>
            <w:vAlign w:val="bottom"/>
          </w:tcPr>
          <w:p>
            <w:pPr>
              <w:jc w:val="center"/>
              <w:ind w:left="406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769"/>
        </w:trPr>
        <w:tc>
          <w:tcPr>
            <w:tcW w:w="370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2701 Eastlake Avenue East Seattle, Washington</w:t>
            </w:r>
          </w:p>
        </w:tc>
        <w:tc>
          <w:tcPr>
            <w:tcW w:w="52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98102</w:t>
            </w:r>
          </w:p>
        </w:tc>
      </w:tr>
      <w:tr>
        <w:trPr>
          <w:trHeight w:val="378"/>
        </w:trPr>
        <w:tc>
          <w:tcPr>
            <w:tcW w:w="370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220" w:type="dxa"/>
            <w:vAlign w:val="bottom"/>
          </w:tcPr>
          <w:p>
            <w:pPr>
              <w:jc w:val="center"/>
              <w:ind w:left="4068"/>
              <w:spacing w:after="0"/>
              <w:rPr>
                <w:sz w:val="20"/>
                <w:szCs w:val="20"/>
                <w:color w:val="auto"/>
              </w:rPr>
            </w:pPr>
            <w:r>
              <w:rPr>
                <w:rFonts w:ascii="Times New Roman" w:cs="Times New Roman" w:eastAsia="Times New Roman" w:hAnsi="Times New Roman"/>
                <w:sz w:val="14"/>
                <w:szCs w:val="14"/>
                <w:color w:val="auto"/>
              </w:rPr>
              <w:t>(Zip Code)</w:t>
            </w:r>
          </w:p>
        </w:tc>
      </w:tr>
      <w:tr>
        <w:trPr>
          <w:trHeight w:val="216"/>
        </w:trPr>
        <w:tc>
          <w:tcPr>
            <w:tcW w:w="3700" w:type="dxa"/>
            <w:vAlign w:val="bottom"/>
          </w:tcPr>
          <w:p>
            <w:pPr>
              <w:spacing w:after="0"/>
              <w:rPr>
                <w:sz w:val="18"/>
                <w:szCs w:val="18"/>
                <w:color w:val="auto"/>
              </w:rPr>
            </w:pPr>
          </w:p>
        </w:tc>
        <w:tc>
          <w:tcPr>
            <w:tcW w:w="5220" w:type="dxa"/>
            <w:vAlign w:val="bottom"/>
          </w:tcPr>
          <w:p>
            <w:pPr>
              <w:jc w:val="right"/>
              <w:ind w:right="3488"/>
              <w:spacing w:after="0"/>
              <w:rPr>
                <w:sz w:val="20"/>
                <w:szCs w:val="20"/>
                <w:color w:val="auto"/>
              </w:rPr>
            </w:pPr>
            <w:r>
              <w:rPr>
                <w:rFonts w:ascii="Times New Roman" w:cs="Times New Roman" w:eastAsia="Times New Roman" w:hAnsi="Times New Roman"/>
                <w:sz w:val="14"/>
                <w:szCs w:val="14"/>
                <w:b w:val="1"/>
                <w:bCs w:val="1"/>
                <w:color w:val="auto"/>
              </w:rPr>
              <w:t>(206) 333-2001</w:t>
            </w:r>
          </w:p>
        </w:tc>
      </w:tr>
    </w:tbl>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85"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75" w:lineRule="exact"/>
        <w:rPr>
          <w:sz w:val="24"/>
          <w:szCs w:val="24"/>
          <w:color w:val="auto"/>
        </w:rPr>
      </w:pPr>
    </w:p>
    <w:tbl>
      <w:tblPr>
        <w:tblLayout w:type="fixed"/>
        <w:tblInd w:w="820" w:type="dxa"/>
        <w:tblCellMar>
          <w:top w:w="0" w:type="dxa"/>
          <w:left w:w="0" w:type="dxa"/>
          <w:bottom w:w="0" w:type="dxa"/>
          <w:right w:w="0" w:type="dxa"/>
        </w:tblCellMar>
      </w:tblPr>
      <w:tr>
        <w:trPr>
          <w:trHeight w:val="252"/>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6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6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86"/>
        </w:trPr>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2260" w:type="dxa"/>
            <w:vAlign w:val="bottom"/>
          </w:tcPr>
          <w:p>
            <w:pPr>
              <w:jc w:val="center"/>
              <w:ind w:left="59"/>
              <w:spacing w:after="0"/>
              <w:rPr>
                <w:sz w:val="20"/>
                <w:szCs w:val="20"/>
                <w:color w:val="auto"/>
              </w:rPr>
            </w:pPr>
            <w:r>
              <w:rPr>
                <w:rFonts w:ascii="Times New Roman" w:cs="Times New Roman" w:eastAsia="Times New Roman" w:hAnsi="Times New Roman"/>
                <w:sz w:val="14"/>
                <w:szCs w:val="14"/>
                <w:color w:val="auto"/>
              </w:rPr>
              <w:t>NAUT</w:t>
            </w:r>
          </w:p>
        </w:tc>
        <w:tc>
          <w:tcPr>
            <w:tcW w:w="3860" w:type="dxa"/>
            <w:vAlign w:val="bottom"/>
          </w:tcPr>
          <w:p>
            <w:pPr>
              <w:jc w:val="center"/>
              <w:ind w:left="99"/>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3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 w:lineRule="exact"/>
        <w:rPr>
          <w:sz w:val="24"/>
          <w:szCs w:val="24"/>
          <w:color w:val="auto"/>
        </w:rPr>
      </w:pPr>
    </w:p>
    <w:p>
      <w:pPr>
        <w:ind w:right="20"/>
        <w:spacing w:after="0" w:line="222"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5"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80" w:type="dxa"/>
            <w:vAlign w:val="bottom"/>
          </w:tcPr>
          <w:p>
            <w:pPr>
              <w:ind w:left="260"/>
              <w:spacing w:after="0"/>
              <w:rPr>
                <w:sz w:val="20"/>
                <w:szCs w:val="20"/>
                <w:color w:val="auto"/>
              </w:rPr>
            </w:pPr>
            <w:r>
              <w:rPr>
                <w:rFonts w:ascii="Wingdings" w:cs="Wingdings" w:eastAsia="Wingdings" w:hAnsi="Wingdings"/>
                <w:sz w:val="14"/>
                <w:szCs w:val="14"/>
                <w:b w:val="1"/>
                <w:bCs w:val="1"/>
                <w:color w:val="auto"/>
              </w:rPr>
              <w:t>o</w:t>
            </w:r>
          </w:p>
        </w:tc>
        <w:tc>
          <w:tcPr>
            <w:tcW w:w="51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Accelerated filer</w:t>
            </w:r>
          </w:p>
        </w:tc>
        <w:tc>
          <w:tcPr>
            <w:tcW w:w="420" w:type="dxa"/>
            <w:vAlign w:val="bottom"/>
          </w:tcPr>
          <w:p>
            <w:pPr>
              <w:ind w:left="300"/>
              <w:spacing w:after="0"/>
              <w:rPr>
                <w:sz w:val="20"/>
                <w:szCs w:val="20"/>
                <w:color w:val="auto"/>
              </w:rPr>
            </w:pPr>
            <w:r>
              <w:rPr>
                <w:rFonts w:ascii="Wingdings" w:cs="Wingdings" w:eastAsia="Wingdings" w:hAnsi="Wingdings"/>
                <w:sz w:val="14"/>
                <w:szCs w:val="14"/>
                <w:b w:val="1"/>
                <w:bCs w:val="1"/>
                <w:color w:val="auto"/>
                <w:w w:val="79"/>
              </w:rPr>
              <w:t>o</w:t>
            </w:r>
          </w:p>
        </w:tc>
      </w:tr>
      <w:tr>
        <w:trPr>
          <w:trHeight w:val="239"/>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5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51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40" w:lineRule="exact"/>
        <w:rPr>
          <w:sz w:val="24"/>
          <w:szCs w:val="24"/>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08" w:lineRule="exact"/>
        <w:rPr>
          <w:sz w:val="24"/>
          <w:szCs w:val="24"/>
          <w:color w:val="auto"/>
        </w:rPr>
      </w:pPr>
    </w:p>
    <w:p>
      <w:pPr>
        <w:ind w:right="1200" w:firstLine="324"/>
        <w:spacing w:after="0" w:line="454"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October 24, 2024, the registrant had 125,563,965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026" w:right="379" w:bottom="1440" w:gutter="0" w:footer="0" w:header="0"/>
        </w:sectPr>
      </w:pPr>
    </w:p>
    <w:bookmarkStart w:id="1" w:name="page2"/>
    <w:bookmarkEnd w:id="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20" w:type="dxa"/>
            <w:vAlign w:val="bottom"/>
            <w:gridSpan w:val="10"/>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9"/>
              </w:rPr>
              <w:t>NAUTILUS BIOTECHNOLOGY, INC.</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20" w:type="dxa"/>
            <w:vAlign w:val="bottom"/>
            <w:gridSpan w:val="10"/>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425"/>
        </w:trPr>
        <w:tc>
          <w:tcPr>
            <w:tcW w:w="10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320" w:type="dxa"/>
            <w:vAlign w:val="bottom"/>
          </w:tcPr>
          <w:p>
            <w:pPr>
              <w:spacing w:after="0"/>
              <w:rPr>
                <w:sz w:val="24"/>
                <w:szCs w:val="24"/>
                <w:color w:val="auto"/>
              </w:rPr>
            </w:pPr>
          </w:p>
        </w:tc>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iii</w:t>
            </w:r>
          </w:p>
        </w:tc>
        <w:tc>
          <w:tcPr>
            <w:tcW w:w="0" w:type="dxa"/>
            <w:vAlign w:val="bottom"/>
          </w:tcPr>
          <w:p>
            <w:pPr>
              <w:spacing w:after="0"/>
              <w:rPr>
                <w:sz w:val="1"/>
                <w:szCs w:val="1"/>
                <w:color w:val="auto"/>
              </w:rPr>
            </w:pPr>
          </w:p>
        </w:tc>
      </w:tr>
      <w:tr>
        <w:trPr>
          <w:trHeight w:val="466"/>
        </w:trPr>
        <w:tc>
          <w:tcPr>
            <w:tcW w:w="10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8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480" w:type="dxa"/>
            <w:vAlign w:val="bottom"/>
            <w:gridSpan w:val="11"/>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42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5080" w:type="dxa"/>
            <w:vAlign w:val="bottom"/>
            <w:gridSpan w:val="9"/>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70"/>
              </w:rPr>
              <w:t>iii</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93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2024 and December 31, 2023 (unaudited)</w:t>
            </w:r>
          </w:p>
        </w:tc>
        <w:tc>
          <w:tcPr>
            <w:tcW w:w="4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0000FF"/>
                <w:w w:val="88"/>
              </w:rPr>
              <w:t>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93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2024 and 2023</w:t>
            </w:r>
          </w:p>
        </w:tc>
        <w:tc>
          <w:tcPr>
            <w:tcW w:w="460" w:type="dxa"/>
            <w:vAlign w:val="bottom"/>
            <w:gridSpan w:val="3"/>
            <w:vMerge w:val="restart"/>
          </w:tcPr>
          <w:p>
            <w:pPr>
              <w:jc w:val="center"/>
              <w:ind w:left="170"/>
              <w:spacing w:after="0"/>
              <w:rPr>
                <w:sz w:val="20"/>
                <w:szCs w:val="20"/>
                <w:color w:val="auto"/>
              </w:rPr>
            </w:pPr>
            <w:r>
              <w:rPr>
                <w:rFonts w:ascii="Times New Roman" w:cs="Times New Roman" w:eastAsia="Times New Roman" w:hAnsi="Times New Roman"/>
                <w:sz w:val="18"/>
                <w:szCs w:val="18"/>
                <w:color w:val="0000FF"/>
                <w:w w:val="88"/>
              </w:rPr>
              <w:t>2</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82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gridSpan w:val="2"/>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gridSpan w:val="2"/>
          </w:tcPr>
          <w:p>
            <w:pPr>
              <w:spacing w:after="0"/>
              <w:rPr>
                <w:sz w:val="13"/>
                <w:szCs w:val="13"/>
                <w:color w:val="auto"/>
              </w:rPr>
            </w:pPr>
          </w:p>
        </w:tc>
        <w:tc>
          <w:tcPr>
            <w:tcW w:w="2020" w:type="dxa"/>
            <w:vAlign w:val="bottom"/>
            <w:tcBorders>
              <w:top w:val="single" w:sz="8" w:color="0000FF"/>
            </w:tcBorders>
            <w:gridSpan w:val="2"/>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gridSpan w:val="2"/>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34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for the Three and Nine Months Ended September 30, 2024 and</w:t>
            </w: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20" w:type="dxa"/>
            <w:vAlign w:val="bottom"/>
          </w:tcPr>
          <w:p>
            <w:pPr>
              <w:spacing w:after="0"/>
              <w:rPr>
                <w:sz w:val="22"/>
                <w:szCs w:val="22"/>
                <w:color w:val="auto"/>
              </w:rPr>
            </w:pPr>
          </w:p>
        </w:tc>
        <w:tc>
          <w:tcPr>
            <w:tcW w:w="9340" w:type="dxa"/>
            <w:vAlign w:val="bottom"/>
            <w:gridSpan w:val="21"/>
            <w:vMerge w:val="continue"/>
          </w:tcPr>
          <w:p>
            <w:pPr>
              <w:spacing w:after="0"/>
              <w:rPr>
                <w:sz w:val="22"/>
                <w:szCs w:val="22"/>
                <w:color w:val="auto"/>
              </w:rPr>
            </w:pPr>
          </w:p>
        </w:tc>
        <w:tc>
          <w:tcPr>
            <w:tcW w:w="460" w:type="dxa"/>
            <w:vAlign w:val="bottom"/>
            <w:gridSpan w:val="3"/>
            <w:vMerge w:val="restart"/>
          </w:tcPr>
          <w:p>
            <w:pPr>
              <w:jc w:val="center"/>
              <w:ind w:left="170"/>
              <w:spacing w:after="0"/>
              <w:rPr>
                <w:sz w:val="20"/>
                <w:szCs w:val="20"/>
                <w:color w:val="auto"/>
              </w:rPr>
            </w:pPr>
            <w:r>
              <w:rPr>
                <w:rFonts w:ascii="Times New Roman" w:cs="Times New Roman" w:eastAsia="Times New Roman" w:hAnsi="Times New Roman"/>
                <w:sz w:val="18"/>
                <w:szCs w:val="18"/>
                <w:color w:val="0000FF"/>
                <w:w w:val="88"/>
              </w:rPr>
              <w:t>3</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2023 (unaudited)</w:t>
            </w: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gridSpan w:val="2"/>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gridSpan w:val="2"/>
          </w:tcPr>
          <w:p>
            <w:pPr>
              <w:spacing w:after="0"/>
              <w:rPr>
                <w:sz w:val="13"/>
                <w:szCs w:val="13"/>
                <w:color w:val="auto"/>
              </w:rPr>
            </w:pPr>
          </w:p>
        </w:tc>
        <w:tc>
          <w:tcPr>
            <w:tcW w:w="2020" w:type="dxa"/>
            <w:vAlign w:val="bottom"/>
            <w:tcBorders>
              <w:top w:val="single" w:sz="8" w:color="0000FF"/>
            </w:tcBorders>
            <w:gridSpan w:val="2"/>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2360" w:type="dxa"/>
            <w:vAlign w:val="bottom"/>
            <w:tcBorders>
              <w:top w:val="single" w:sz="8" w:color="0000FF"/>
            </w:tcBorders>
            <w:gridSpan w:val="3"/>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34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September 30, 2024 and</w:t>
            </w: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20" w:type="dxa"/>
            <w:vAlign w:val="bottom"/>
          </w:tcPr>
          <w:p>
            <w:pPr>
              <w:spacing w:after="0"/>
              <w:rPr>
                <w:sz w:val="22"/>
                <w:szCs w:val="22"/>
                <w:color w:val="auto"/>
              </w:rPr>
            </w:pPr>
          </w:p>
        </w:tc>
        <w:tc>
          <w:tcPr>
            <w:tcW w:w="9340" w:type="dxa"/>
            <w:vAlign w:val="bottom"/>
            <w:gridSpan w:val="21"/>
            <w:vMerge w:val="continue"/>
          </w:tcPr>
          <w:p>
            <w:pPr>
              <w:spacing w:after="0"/>
              <w:rPr>
                <w:sz w:val="22"/>
                <w:szCs w:val="22"/>
                <w:color w:val="auto"/>
              </w:rPr>
            </w:pPr>
          </w:p>
        </w:tc>
        <w:tc>
          <w:tcPr>
            <w:tcW w:w="460" w:type="dxa"/>
            <w:vAlign w:val="bottom"/>
            <w:gridSpan w:val="3"/>
            <w:vMerge w:val="restart"/>
          </w:tcPr>
          <w:p>
            <w:pPr>
              <w:jc w:val="center"/>
              <w:ind w:left="170"/>
              <w:spacing w:after="0"/>
              <w:rPr>
                <w:sz w:val="20"/>
                <w:szCs w:val="20"/>
                <w:color w:val="auto"/>
              </w:rPr>
            </w:pPr>
            <w:r>
              <w:rPr>
                <w:rFonts w:ascii="Times New Roman" w:cs="Times New Roman" w:eastAsia="Times New Roman" w:hAnsi="Times New Roman"/>
                <w:sz w:val="18"/>
                <w:szCs w:val="18"/>
                <w:color w:val="0000FF"/>
                <w:w w:val="88"/>
              </w:rPr>
              <w:t>4</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320" w:type="dxa"/>
            <w:vAlign w:val="bottom"/>
            <w:tcBorders>
              <w:top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2023 (unaudited)</w:t>
            </w:r>
          </w:p>
        </w:tc>
        <w:tc>
          <w:tcPr>
            <w:tcW w:w="7660" w:type="dxa"/>
            <w:vAlign w:val="bottom"/>
            <w:tcBorders>
              <w:top w:val="single" w:sz="8" w:color="0000FF"/>
            </w:tcBorders>
            <w:gridSpan w:val="14"/>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420" w:type="dxa"/>
            <w:vAlign w:val="bottom"/>
            <w:gridSpan w:val="2"/>
            <w:shd w:val="clear" w:color="auto" w:fill="0000FF"/>
          </w:tcPr>
          <w:p>
            <w:pPr>
              <w:spacing w:after="0"/>
              <w:rPr>
                <w:sz w:val="2"/>
                <w:szCs w:val="2"/>
                <w:color w:val="auto"/>
              </w:rPr>
            </w:pPr>
          </w:p>
        </w:tc>
        <w:tc>
          <w:tcPr>
            <w:tcW w:w="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0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54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20" w:type="dxa"/>
            <w:vAlign w:val="bottom"/>
          </w:tcPr>
          <w:p>
            <w:pPr>
              <w:spacing w:after="0"/>
              <w:rPr>
                <w:sz w:val="23"/>
                <w:szCs w:val="23"/>
                <w:color w:val="auto"/>
              </w:rPr>
            </w:pPr>
          </w:p>
        </w:tc>
        <w:tc>
          <w:tcPr>
            <w:tcW w:w="88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2024 and 2023 (unaudited)</w:t>
            </w:r>
          </w:p>
        </w:tc>
        <w:tc>
          <w:tcPr>
            <w:tcW w:w="540" w:type="dxa"/>
            <w:vAlign w:val="bottom"/>
            <w:gridSpan w:val="3"/>
          </w:tcPr>
          <w:p>
            <w:pPr>
              <w:spacing w:after="0"/>
              <w:rPr>
                <w:sz w:val="23"/>
                <w:szCs w:val="23"/>
                <w:color w:val="auto"/>
              </w:rPr>
            </w:pPr>
          </w:p>
        </w:tc>
        <w:tc>
          <w:tcPr>
            <w:tcW w:w="4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0000FF"/>
                <w:w w:val="88"/>
              </w:rPr>
              <w:t>6</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88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540" w:type="dxa"/>
            <w:vAlign w:val="bottom"/>
            <w:gridSpan w:val="3"/>
          </w:tcPr>
          <w:p>
            <w:pPr>
              <w:spacing w:after="0"/>
              <w:rPr>
                <w:sz w:val="22"/>
                <w:szCs w:val="22"/>
                <w:color w:val="auto"/>
              </w:rPr>
            </w:pPr>
          </w:p>
        </w:tc>
        <w:tc>
          <w:tcPr>
            <w:tcW w:w="4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0000FF"/>
                <w:w w:val="88"/>
              </w:rPr>
              <w:t>7</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00" w:type="dxa"/>
            <w:vAlign w:val="bottom"/>
            <w:gridSpan w:val="6"/>
          </w:tcPr>
          <w:p>
            <w:pPr>
              <w:spacing w:after="0"/>
              <w:rPr>
                <w:sz w:val="22"/>
                <w:szCs w:val="22"/>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18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00" w:type="dxa"/>
            <w:vAlign w:val="bottom"/>
            <w:gridSpan w:val="2"/>
          </w:tcPr>
          <w:p>
            <w:pPr>
              <w:spacing w:after="0"/>
              <w:rPr>
                <w:sz w:val="18"/>
                <w:szCs w:val="18"/>
                <w:color w:val="auto"/>
              </w:rPr>
            </w:pPr>
          </w:p>
        </w:tc>
        <w:tc>
          <w:tcPr>
            <w:tcW w:w="2900" w:type="dxa"/>
            <w:vAlign w:val="bottom"/>
            <w:gridSpan w:val="6"/>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000" w:type="dxa"/>
            <w:vAlign w:val="bottom"/>
            <w:gridSpan w:val="8"/>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6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720" w:type="dxa"/>
            <w:vAlign w:val="bottom"/>
            <w:gridSpan w:val="13"/>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8020" w:type="dxa"/>
            <w:vAlign w:val="bottom"/>
            <w:gridSpan w:val="15"/>
          </w:tcPr>
          <w:p>
            <w:pPr>
              <w:spacing w:after="0"/>
              <w:rPr>
                <w:sz w:val="24"/>
                <w:szCs w:val="24"/>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020" w:type="dxa"/>
            <w:vAlign w:val="bottom"/>
            <w:gridSpan w:val="15"/>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000" w:type="dxa"/>
            <w:vAlign w:val="bottom"/>
            <w:gridSpan w:val="8"/>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7020" w:type="dxa"/>
            <w:vAlign w:val="bottom"/>
            <w:gridSpan w:val="10"/>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20" w:type="dxa"/>
            <w:vAlign w:val="bottom"/>
            <w:gridSpan w:val="10"/>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3"/>
          </w:tcPr>
          <w:p>
            <w:pPr>
              <w:spacing w:after="0"/>
              <w:rPr>
                <w:sz w:val="18"/>
                <w:szCs w:val="18"/>
                <w:color w:val="auto"/>
              </w:rPr>
            </w:pPr>
          </w:p>
        </w:tc>
        <w:tc>
          <w:tcPr>
            <w:tcW w:w="7580" w:type="dxa"/>
            <w:vAlign w:val="bottom"/>
            <w:gridSpan w:val="12"/>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8020" w:type="dxa"/>
            <w:vAlign w:val="bottom"/>
            <w:gridSpan w:val="15"/>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gridSpan w:val="4"/>
          </w:tcPr>
          <w:p>
            <w:pPr>
              <w:spacing w:after="0"/>
              <w:rPr>
                <w:sz w:val="18"/>
                <w:szCs w:val="18"/>
                <w:color w:val="auto"/>
              </w:rPr>
            </w:pPr>
          </w:p>
        </w:tc>
        <w:tc>
          <w:tcPr>
            <w:tcW w:w="8020" w:type="dxa"/>
            <w:vAlign w:val="bottom"/>
            <w:gridSpan w:val="15"/>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740" w:type="dxa"/>
            <w:vAlign w:val="bottom"/>
            <w:gridSpan w:val="1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77</w:t>
            </w:r>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440" w:right="479" w:bottom="1440" w:gutter="0" w:footer="0" w:header="0"/>
        </w:sectPr>
      </w:pPr>
    </w:p>
    <w:bookmarkStart w:id="2" w:name="page3"/>
    <w:bookmarkEnd w:id="2"/>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spacing w:after="0" w:line="129" w:lineRule="exact"/>
        <w:rPr>
          <w:sz w:val="20"/>
          <w:szCs w:val="20"/>
          <w:color w:val="auto"/>
        </w:rPr>
      </w:pPr>
    </w:p>
    <w:p>
      <w:pPr>
        <w:ind w:right="480" w:firstLine="332"/>
        <w:spacing w:after="0" w:line="282"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success of our proteomics platform (the “Nautilus platform”), which remains in the development stage and subject to scientific and technical validation;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progress of the development of the Nautilus platform and any commercialization timelines;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functionality of the Nautilus platform;</w:t>
      </w:r>
    </w:p>
    <w:p>
      <w:pPr>
        <w:spacing w:after="0" w:line="171" w:lineRule="exact"/>
        <w:rPr>
          <w:rFonts w:ascii="Times New Roman" w:cs="Times New Roman" w:eastAsia="Times New Roman" w:hAnsi="Times New Roman"/>
          <w:sz w:val="18"/>
          <w:szCs w:val="18"/>
          <w:color w:val="auto"/>
        </w:rPr>
      </w:pPr>
    </w:p>
    <w:p>
      <w:pPr>
        <w:ind w:right="60" w:firstLine="332"/>
        <w:spacing w:after="0" w:line="282"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addressable market, market growth, future revenue, key performance indicators, expenses, capital requirements and needs for additional financing;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rate and degree of market acceptance of the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Nautilus platform on the field of proteomics and the size and growth of the addressable proteomics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and commercialize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three phase commercial launch plan;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the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or defend claims of infringement;</w:t>
      </w:r>
    </w:p>
    <w:p>
      <w:pPr>
        <w:spacing w:after="0" w:line="171" w:lineRule="exact"/>
        <w:rPr>
          <w:rFonts w:ascii="Times New Roman" w:cs="Times New Roman" w:eastAsia="Times New Roman" w:hAnsi="Times New Roman"/>
          <w:sz w:val="18"/>
          <w:szCs w:val="18"/>
          <w:color w:val="auto"/>
        </w:rPr>
      </w:pPr>
    </w:p>
    <w:p>
      <w:pPr>
        <w:ind w:right="140" w:firstLine="332"/>
        <w:spacing w:after="0" w:line="282"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use of proceeds from the Business Combination (as defined in Part I, Item I, Note 1, “Description of Business and Basis of Presentation,” in our notes to condensed consolidated financial statements in this Quarterly Report on Form 10-Q);</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partners, manufacturers and suppliers;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 or other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new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market trends;</w:t>
      </w:r>
    </w:p>
    <w:p>
      <w:pPr>
        <w:spacing w:after="0" w:line="171" w:lineRule="exact"/>
        <w:rPr>
          <w:rFonts w:ascii="Times New Roman" w:cs="Times New Roman" w:eastAsia="Times New Roman" w:hAnsi="Times New Roman"/>
          <w:sz w:val="18"/>
          <w:szCs w:val="18"/>
          <w:color w:val="auto"/>
        </w:rPr>
      </w:pPr>
    </w:p>
    <w:p>
      <w:pPr>
        <w:ind w:right="100" w:firstLine="332"/>
        <w:spacing w:after="0" w:line="266"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local, regional, national and international economic conditions and events including the COVID-19 pandemic, the conflicts in Eastern Europe and the Middle East, changing interest rates, instability in the global financial markets and general economic downturns, on the foregoing; and</w:t>
      </w:r>
    </w:p>
    <w:p>
      <w:pPr>
        <w:spacing w:after="0" w:line="1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including but not limited to those detailed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140"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2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38"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2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33" w:lineRule="exact"/>
        <w:rPr>
          <w:sz w:val="20"/>
          <w:szCs w:val="20"/>
          <w:color w:val="auto"/>
        </w:rPr>
      </w:pPr>
    </w:p>
    <w:p>
      <w:pPr>
        <w:ind w:right="400" w:firstLine="32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references to trademarks and service marks belonging to other entities. Solely for convenience, trademarks and trade names referred to in this Quarterly Report on Form 10-Q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As of September 30, 2024 and December 31, 2023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16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5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19,397</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154,021</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176,837</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32,634</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90,647</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23"/>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259,704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305,565</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0" w:type="dxa"/>
            <w:vAlign w:val="bottom"/>
          </w:tcPr>
          <w:p>
            <w:pPr>
              <w:spacing w:after="0"/>
              <w:rPr>
                <w:sz w:val="1"/>
                <w:szCs w:val="1"/>
                <w:color w:val="auto"/>
              </w:rPr>
            </w:pPr>
          </w:p>
        </w:tc>
      </w:tr>
      <w:tr>
        <w:trPr>
          <w:trHeight w:val="223"/>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31,090</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40,212</w:t>
            </w:r>
          </w:p>
        </w:tc>
        <w:tc>
          <w:tcPr>
            <w:tcW w:w="0" w:type="dxa"/>
            <w:vAlign w:val="bottom"/>
          </w:tcPr>
          <w:p>
            <w:pPr>
              <w:spacing w:after="0"/>
              <w:rPr>
                <w:sz w:val="1"/>
                <w:szCs w:val="1"/>
                <w:color w:val="auto"/>
              </w:rPr>
            </w:pPr>
          </w:p>
        </w:tc>
      </w:tr>
      <w:tr>
        <w:trPr>
          <w:trHeight w:val="236"/>
        </w:trPr>
        <w:tc>
          <w:tcPr>
            <w:tcW w:w="7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80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200,000,000 authorized as of September 30, 2024 and December 31,</w:t>
            </w: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2023; 0 shares issued and outstanding as of September 30, 2024 and December 31, 2023</w:t>
            </w:r>
          </w:p>
        </w:tc>
        <w:tc>
          <w:tcPr>
            <w:tcW w:w="1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8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Common stock, $0.0001 par value, 1,000,000,000 shares authorized as of September 30, 2024 and</w:t>
            </w: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0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December 31, 2023; 125,560,309 and 125,068,601 shares issued and outstanding as of September 30,</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2024 and December 31, 2023, respectively</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467,834</w:t>
            </w:r>
          </w:p>
        </w:tc>
        <w:tc>
          <w:tcPr>
            <w:tcW w:w="0" w:type="dxa"/>
            <w:vAlign w:val="bottom"/>
          </w:tcPr>
          <w:p>
            <w:pPr>
              <w:spacing w:after="0"/>
              <w:rPr>
                <w:sz w:val="1"/>
                <w:szCs w:val="1"/>
                <w:color w:val="auto"/>
              </w:rPr>
            </w:pPr>
          </w:p>
        </w:tc>
      </w:tr>
      <w:tr>
        <w:trPr>
          <w:trHeight w:val="229"/>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(255,425)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(202,239)</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223,434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265,353</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259,704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305,565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ind w:left="20"/>
        <w:spacing w:after="0" w:line="204" w:lineRule="auto"/>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and Nine Months Ended September 30, 2024 and 2023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306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37,654</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34,785</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21,366</w:t>
            </w: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56,151</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(46,651)</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60" w:type="dxa"/>
            <w:vAlign w:val="bottom"/>
            <w:vMerge w:val="continue"/>
          </w:tcPr>
          <w:p>
            <w:pPr>
              <w:spacing w:after="0"/>
              <w:rPr>
                <w:sz w:val="10"/>
                <w:szCs w:val="10"/>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10"/>
                <w:szCs w:val="10"/>
                <w:color w:val="auto"/>
              </w:rPr>
            </w:pP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0"/>
                <w:szCs w:val="10"/>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tcPr>
          <w:p>
            <w:pPr>
              <w:spacing w:after="0"/>
              <w:rPr>
                <w:sz w:val="10"/>
                <w:szCs w:val="10"/>
                <w:color w:val="auto"/>
              </w:rPr>
            </w:pP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21"/>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3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shares used in computing net loss per</w:t>
            </w:r>
          </w:p>
        </w:tc>
        <w:tc>
          <w:tcPr>
            <w:tcW w:w="3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2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share attributable to common stockholders, basic and</w:t>
            </w:r>
          </w:p>
        </w:tc>
        <w:tc>
          <w:tcPr>
            <w:tcW w:w="36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125,452,572</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124,933,837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125,302,440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124,896,975</w:t>
            </w:r>
          </w:p>
        </w:tc>
        <w:tc>
          <w:tcPr>
            <w:tcW w:w="0" w:type="dxa"/>
            <w:vAlign w:val="bottom"/>
          </w:tcPr>
          <w:p>
            <w:pPr>
              <w:spacing w:after="0"/>
              <w:rPr>
                <w:sz w:val="1"/>
                <w:szCs w:val="1"/>
                <w:color w:val="auto"/>
              </w:rPr>
            </w:pPr>
          </w:p>
        </w:tc>
      </w:tr>
      <w:tr>
        <w:trPr>
          <w:trHeight w:val="227"/>
        </w:trPr>
        <w:tc>
          <w:tcPr>
            <w:tcW w:w="4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Comprehensive Loss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and Nine Months Ended September 30, 2024 and 2023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(46,651)</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securities available-for-sale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Stockholders’ Equity</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and Nine Months Ended September 30, 2024 and 2023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September 30, 2024</w:t>
            </w: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6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gridSpan w:val="7"/>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gridSpan w:val="2"/>
            <w:vMerge w:val="restart"/>
          </w:tcPr>
          <w:p>
            <w:pPr>
              <w:jc w:val="center"/>
              <w:ind w:right="200"/>
              <w:spacing w:after="0" w:line="97" w:lineRule="exact"/>
              <w:rPr>
                <w:sz w:val="20"/>
                <w:szCs w:val="20"/>
                <w:color w:val="auto"/>
              </w:rPr>
            </w:pPr>
            <w:r>
              <w:rPr>
                <w:rFonts w:ascii="Times New Roman" w:cs="Times New Roman" w:eastAsia="Times New Roman" w:hAnsi="Times New Roman"/>
                <w:sz w:val="11"/>
                <w:szCs w:val="11"/>
                <w:b w:val="1"/>
                <w:bCs w:val="1"/>
                <w:color w:val="auto"/>
              </w:rPr>
              <w:t>Other</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160" w:type="dxa"/>
            <w:vAlign w:val="bottom"/>
            <w:gridSpan w:val="7"/>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60" w:type="dxa"/>
            <w:vAlign w:val="bottom"/>
            <w:tcBorders>
              <w:bottom w:val="single" w:sz="8" w:color="auto"/>
            </w:tcBorders>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5"/>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8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shd w:val="clear" w:color="auto" w:fill="CCEEFF"/>
          </w:tcPr>
          <w:p>
            <w:pPr>
              <w:spacing w:after="0"/>
              <w:rPr>
                <w:sz w:val="19"/>
                <w:szCs w:val="19"/>
                <w:color w:val="auto"/>
              </w:rPr>
            </w:pPr>
          </w:p>
        </w:tc>
        <w:tc>
          <w:tcPr>
            <w:tcW w:w="46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125,406,748</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474,791</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(546)</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(238,979)</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235,279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upon exercise of vested stock</w:t>
            </w: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153,561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(16,446)</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30, 2024</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125,560,309</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478,115</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(255,425)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September 30, 2023</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tcBorders>
              <w:top w:val="single" w:sz="8" w:color="auto"/>
            </w:tcBorders>
          </w:tcPr>
          <w:p>
            <w:pPr>
              <w:spacing w:after="0"/>
              <w:rPr>
                <w:sz w:val="6"/>
                <w:szCs w:val="6"/>
                <w:color w:val="auto"/>
              </w:rPr>
            </w:pPr>
          </w:p>
        </w:tc>
        <w:tc>
          <w:tcPr>
            <w:tcW w:w="2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6"/>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vMerge w:val="restart"/>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gridSpan w:val="2"/>
            <w:vMerge w:val="restart"/>
          </w:tcPr>
          <w:p>
            <w:pPr>
              <w:jc w:val="center"/>
              <w:ind w:right="260"/>
              <w:spacing w:after="0" w:line="110" w:lineRule="exact"/>
              <w:rPr>
                <w:sz w:val="20"/>
                <w:szCs w:val="20"/>
                <w:color w:val="auto"/>
              </w:rPr>
            </w:pPr>
            <w:r>
              <w:rPr>
                <w:rFonts w:ascii="Times New Roman" w:cs="Times New Roman" w:eastAsia="Times New Roman" w:hAnsi="Times New Roman"/>
                <w:sz w:val="12"/>
                <w:szCs w:val="12"/>
                <w:b w:val="1"/>
                <w:bCs w:val="1"/>
                <w:color w:val="auto"/>
              </w:rPr>
              <w:t>Other</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100" w:type="dxa"/>
            <w:vAlign w:val="bottom"/>
            <w:gridSpan w:val="6"/>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6"/>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3"/>
          </w:tcPr>
          <w:p>
            <w:pPr>
              <w:jc w:val="center"/>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5"/>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shd w:val="clear" w:color="auto" w:fill="CCEEFF"/>
          </w:tcPr>
          <w:p>
            <w:pPr>
              <w:spacing w:after="0"/>
              <w:rPr>
                <w:sz w:val="19"/>
                <w:szCs w:val="19"/>
                <w:color w:val="auto"/>
              </w:rPr>
            </w:pPr>
          </w:p>
        </w:tc>
        <w:tc>
          <w:tcPr>
            <w:tcW w:w="4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2023</w:t>
            </w:r>
          </w:p>
        </w:tc>
        <w:tc>
          <w:tcPr>
            <w:tcW w:w="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124,930,899</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461,387</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(169,337)</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289,673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6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Issuance of common stock upon exercise of vested stock</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30, 2023</w:t>
            </w:r>
          </w:p>
        </w:tc>
        <w:tc>
          <w:tcPr>
            <w:tcW w:w="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124,940,774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464,509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6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(185,215)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Stockholders’ Equity</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and Nine Months Ended September 30, 2024 and 2023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Nine Months Ended September 30, 2024</w:t>
            </w: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2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gridSpan w:val="7"/>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gridSpan w:val="2"/>
            <w:vMerge w:val="restart"/>
          </w:tcPr>
          <w:p>
            <w:pPr>
              <w:jc w:val="center"/>
              <w:ind w:right="200"/>
              <w:spacing w:after="0" w:line="97" w:lineRule="exact"/>
              <w:rPr>
                <w:sz w:val="20"/>
                <w:szCs w:val="20"/>
                <w:color w:val="auto"/>
              </w:rPr>
            </w:pPr>
            <w:r>
              <w:rPr>
                <w:rFonts w:ascii="Times New Roman" w:cs="Times New Roman" w:eastAsia="Times New Roman" w:hAnsi="Times New Roman"/>
                <w:sz w:val="11"/>
                <w:szCs w:val="11"/>
                <w:b w:val="1"/>
                <w:bCs w:val="1"/>
                <w:color w:val="auto"/>
              </w:rPr>
              <w:t>Other</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160" w:type="dxa"/>
            <w:vAlign w:val="bottom"/>
            <w:gridSpan w:val="7"/>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60" w:type="dxa"/>
            <w:vAlign w:val="bottom"/>
            <w:tcBorders>
              <w:bottom w:val="single" w:sz="8" w:color="auto"/>
            </w:tcBorders>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tcPr>
          <w:p>
            <w:pPr>
              <w:ind w:left="4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5"/>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8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shd w:val="clear" w:color="auto" w:fill="CCEEFF"/>
          </w:tcPr>
          <w:p>
            <w:pPr>
              <w:spacing w:after="0"/>
              <w:rPr>
                <w:sz w:val="19"/>
                <w:szCs w:val="19"/>
                <w:color w:val="auto"/>
              </w:rPr>
            </w:pPr>
          </w:p>
        </w:tc>
        <w:tc>
          <w:tcPr>
            <w:tcW w:w="46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125,068,601</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467,834</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(202,239)</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265,353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upon exercise of vested stock</w:t>
            </w: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367,813</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30, 2024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125,560,309</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478,115</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(255,425)</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Nine Months Ended September 30, 2023</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00" w:type="dxa"/>
            <w:vAlign w:val="bottom"/>
            <w:tcBorders>
              <w:top w:val="single" w:sz="8" w:color="auto"/>
            </w:tcBorders>
          </w:tcPr>
          <w:p>
            <w:pPr>
              <w:spacing w:after="0"/>
              <w:rPr>
                <w:sz w:val="6"/>
                <w:szCs w:val="6"/>
                <w:color w:val="auto"/>
              </w:rPr>
            </w:pPr>
          </w:p>
        </w:tc>
        <w:tc>
          <w:tcPr>
            <w:tcW w:w="220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6"/>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vMerge w:val="restart"/>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gridSpan w:val="2"/>
            <w:vMerge w:val="restart"/>
          </w:tcPr>
          <w:p>
            <w:pPr>
              <w:jc w:val="center"/>
              <w:ind w:right="260"/>
              <w:spacing w:after="0" w:line="110" w:lineRule="exact"/>
              <w:rPr>
                <w:sz w:val="20"/>
                <w:szCs w:val="20"/>
                <w:color w:val="auto"/>
              </w:rPr>
            </w:pPr>
            <w:r>
              <w:rPr>
                <w:rFonts w:ascii="Times New Roman" w:cs="Times New Roman" w:eastAsia="Times New Roman" w:hAnsi="Times New Roman"/>
                <w:sz w:val="12"/>
                <w:szCs w:val="12"/>
                <w:b w:val="1"/>
                <w:bCs w:val="1"/>
                <w:color w:val="auto"/>
              </w:rPr>
              <w:t>Other</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100" w:type="dxa"/>
            <w:vAlign w:val="bottom"/>
            <w:gridSpan w:val="6"/>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6"/>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3"/>
          </w:tcPr>
          <w:p>
            <w:pPr>
              <w:jc w:val="center"/>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5"/>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8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shd w:val="clear" w:color="auto" w:fill="CCEEFF"/>
          </w:tcPr>
          <w:p>
            <w:pPr>
              <w:spacing w:after="0"/>
              <w:rPr>
                <w:sz w:val="19"/>
                <w:szCs w:val="19"/>
                <w:color w:val="auto"/>
              </w:rPr>
            </w:pPr>
          </w:p>
        </w:tc>
        <w:tc>
          <w:tcPr>
            <w:tcW w:w="4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124,865,485</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455,330</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(138,564)</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314,924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6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Issuance of common stock upon exercise of vested stock</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464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46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59,507</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(46,651)</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30, 2023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124,940,774</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464,509</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(185,215)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Nine Months Ended September 30, 2024 and 2023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(accretion) of premium (discount) on securities, net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(37,811)</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maturities of securities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51,249</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securities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(40,371)</w:t>
            </w: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115,477</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75,106</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cash flow information on non-cash activities: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of property and equipment included in 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 obtained in exchange for operating lease liability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7,623</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Nautilus Biotechnology, Inc. (the “Company”) is a biotechnology company incorporated in 2016 with corporate headquarters in Seattle, Washington and research and development headquarters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12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3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and accompanying notes are unaudited and have been prepared in accordance with accounting principles generally accepted in the United States of America (“U.S. GAAP”) and regulations of the U.S. Securities and Exchange Commission (the “SEC”) for interim financial reporting. All intercompany transactions and balances have been eliminated upon consolidation. Certain information and footnote disclosures normally included in financial statements prepared in accordance with U.S. GAAP have been condensed or omitted pursuant to such rules and regulations. The condensed consolidated financial statements were prepared on the same basis as the audited financial statements and, in the opinion of management, reflect all adjustments, which include only normal recurring adjustments necessary for a fair statement of the Company’s financial position, results of operations, and cash flows for the interim periods. The interim financial results are not necessarily indicative of the results for a full year. These financial statements and accompanying notes should be read in conjunction with the consolidated financial statements and notes thereto in the Company’s Annual Report on Form 10-K for the fiscal year ended December 31, 2023 on file with the SEC. The Company’s reporting currency is the U.S. dollar.</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September 30, 2024, the Company had an accumulated deficit of $255.4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6" w:right="39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Company has funded its operations primarily with proceeds from the issuance of redeemable convertible preferred stock and common stock. In June 2021, the Company received gross proceeds of approximately $345.5 million from PIPE Investors and the Business Combination offset by approximately $18.2 million of transaction costs and underwriters’ fees relating to the closing of the Business Combination. The Company had cash, cash equivalents, and short-term investments of $140.6 million as of September 30, 2024. As of the date on which these condensed consolidated financial statements were issued, the Company believes that its cash, cash equivalents, and short-term investments will be sufficient to fund its operations for at least the next twelve months following the issuance of the condensed consolidated financial statements.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the Company may not be able to raise it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132"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reported amounts of assets and liabilities and disclosures of contingent assets and liabilities as of the date of the condensed consolidated financial statements, and the reported amounts of expenses during the reporting period. Actual results could differ from those estimates. Significant estimates include determining the estimated lives of property and equipment, stock-based compensation, research and development accruals, loss contingency accruals,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Credit risk represents the accounting loss that would be recognized as of the reporting date if counterparties failed to perform as contracted.</w:t>
      </w:r>
    </w:p>
    <w:p>
      <w:pPr>
        <w:spacing w:after="0" w:line="171"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consist of cash balances maintained in excess of federal depository insurance limits and investments in marketable debt securities that are not federally insured. The Company has not experienced any losses in such accounts and believes it is not exposed to significant credit risk on cash or investments. The Company relies, and expects to continue to rely, on a number of vendors to provide services, supplies and materials related to its research and development programs. The Company relies on single source suppliers for certain components and materials used in the Nautilus platform. The loss of any of these single source suppliers would require the Company to expend significant time and effort to locate and qualify an alternative source of supply for these components. The Company also relies, and expects to continue to rely, on third-party manufacturers and, in many cases, single third-party manufacturers for the production of certain reagents and antibodies. These programs could be adversely affected by a significant interruption in these services or the availability of materials.</w:t>
      </w:r>
    </w:p>
    <w:p>
      <w:pPr>
        <w:spacing w:after="0" w:line="138"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risks similar to those of pre-clinical stage companies in the biopharmaceutical industry, including dependence on key individuals, the need to develop commercially viable products, competition from other companies, many of whom are larger and better capitalized, the impact of negative global and 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events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entity where discrete financial information is evaluated regularly by the chief operating decision maker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highly-liquid investments with an original maturity of three months or less as of the date of acquisition to be cash equivalents.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investments with an original maturity greater than three months and remaining maturities less than 12 months to be short-term investments. The Company classifies those investments that are not required for use in current operations and that mature in more than 12 months as long-term investments.</w:t>
      </w:r>
    </w:p>
    <w:p>
      <w:pPr>
        <w:spacing w:after="0" w:line="12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 classifies its marketable debt securities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condensed consolidated statement of operations.</w:t>
      </w:r>
    </w:p>
    <w:p>
      <w:pPr>
        <w:spacing w:after="0" w:line="12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If the estimated fair value of a marketable debt security is below its amortized cost basis, the Company evaluates whether it is more likely than not that the Company will be required to sell the security before its anticipated recovery in market value and whether credit losses exist for the related securities. Credit-related losses are recognized as an allowance for credit losses on the balance sheet with a corresponding adjustment to earnings. Unrealized gains and losses that are unrelated to credit deterioration are reported in accumulated other comprehensive income (loss).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ind w:right="140" w:firstLine="324"/>
        <w:spacing w:after="0" w:line="312" w:lineRule="auto"/>
        <w:rPr>
          <w:sz w:val="20"/>
          <w:szCs w:val="20"/>
          <w:color w:val="auto"/>
        </w:rPr>
      </w:pPr>
      <w:r>
        <w:rPr>
          <w:rFonts w:ascii="Times New Roman" w:cs="Times New Roman" w:eastAsia="Times New Roman" w:hAnsi="Times New Roman"/>
          <w:sz w:val="17"/>
          <w:szCs w:val="17"/>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8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17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22"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prepaid expenses and other current assets, accounts payable and accrued expenses and other liabilities approximate their respective fair values due to their short-term nature.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condensed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it is considered a finance lease, expense is recognized over the lease term within interest expense and amortization in the Company’s condensed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Comprehensive loss consists of net loss and other gains or losses affecting stockholders’ equity that, under U.S. GAAP are excluded from net loss. For the three and nine months ended September 30, 2024 and 2023, net unrealized gains and losses on marketable debt securities were included as a component of comprehensive income (loss).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w:t>
      </w:r>
    </w:p>
    <w:p>
      <w:pPr>
        <w:spacing w:after="0" w:line="17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73"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amends existing guidance on segment reporting to improve reportable segment disclosure requirements through enhanced disclosures about significant segment expenses. The ASU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effective for the Company for the fiscal year ending December 31, 2024 and for interim periods beginning after December 31, 2024. The Company is in the process of evaluating the impact of the adoption of this Accounting Standards Update on its consolidated financial statements and related disclosures.</w:t>
      </w:r>
    </w:p>
    <w:p>
      <w:pPr>
        <w:spacing w:after="0" w:line="10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enhance the transparency and decision usefulness of income tax disclosures. The ASU is effective for the Company for the fiscal year ending December 31, 2025. The Company is in the process of evaluating the impact of the adoption of this Accounting Standards Update on its consolidated financial statements and related disclosures. The Company does not anticipate adoption to have a material impact on its consolidated financial statements and related disclosures.</w:t>
      </w:r>
    </w:p>
    <w:p>
      <w:pPr>
        <w:spacing w:after="0" w:line="122"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assets carried at fair value and measured on a recurring basis within the three levels of fair value as of September 30, 2024 and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1"/>
                <w:szCs w:val="11"/>
                <w:color w:val="auto"/>
              </w:rPr>
            </w:pPr>
          </w:p>
        </w:tc>
        <w:tc>
          <w:tcPr>
            <w:tcW w:w="8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1"/>
                <w:szCs w:val="11"/>
                <w:color w:val="auto"/>
              </w:rPr>
            </w:pP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1"/>
                <w:szCs w:val="11"/>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160" w:type="dxa"/>
            <w:vAlign w:val="bottom"/>
          </w:tcPr>
          <w:p>
            <w:pPr>
              <w:spacing w:after="0"/>
              <w:rPr>
                <w:sz w:val="11"/>
                <w:szCs w:val="11"/>
                <w:color w:val="auto"/>
              </w:rPr>
            </w:pPr>
          </w:p>
        </w:tc>
        <w:tc>
          <w:tcPr>
            <w:tcW w:w="1160" w:type="dxa"/>
            <w:vAlign w:val="bottom"/>
            <w:gridSpan w:val="4"/>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180" w:type="dxa"/>
            <w:vAlign w:val="bottom"/>
          </w:tcPr>
          <w:p>
            <w:pPr>
              <w:spacing w:after="0"/>
              <w:rPr>
                <w:sz w:val="11"/>
                <w:szCs w:val="11"/>
                <w:color w:val="auto"/>
              </w:rPr>
            </w:pPr>
          </w:p>
        </w:tc>
        <w:tc>
          <w:tcPr>
            <w:tcW w:w="108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95"/>
        </w:trPr>
        <w:tc>
          <w:tcPr>
            <w:tcW w:w="2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8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14"/>
        </w:trPr>
        <w:tc>
          <w:tcPr>
            <w:tcW w:w="2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Level 1</w:t>
            </w: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66,903</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36,711</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29,822</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Level 2</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153,658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154,132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99,489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Level 1 and Level 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80,618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1"/>
                <w:szCs w:val="11"/>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1"/>
                <w:szCs w:val="11"/>
                <w:color w:val="auto"/>
              </w:rPr>
            </w:pP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1"/>
                <w:szCs w:val="11"/>
                <w:color w:val="auto"/>
              </w:rPr>
            </w:pP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1"/>
                <w:szCs w:val="11"/>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160" w:type="dxa"/>
            <w:vAlign w:val="bottom"/>
          </w:tcPr>
          <w:p>
            <w:pPr>
              <w:spacing w:after="0"/>
              <w:rPr>
                <w:sz w:val="11"/>
                <w:szCs w:val="11"/>
                <w:color w:val="auto"/>
              </w:rPr>
            </w:pPr>
          </w:p>
        </w:tc>
        <w:tc>
          <w:tcPr>
            <w:tcW w:w="1160" w:type="dxa"/>
            <w:vAlign w:val="bottom"/>
            <w:gridSpan w:val="4"/>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180" w:type="dxa"/>
            <w:vAlign w:val="bottom"/>
          </w:tcPr>
          <w:p>
            <w:pPr>
              <w:spacing w:after="0"/>
              <w:rPr>
                <w:sz w:val="11"/>
                <w:szCs w:val="11"/>
                <w:color w:val="auto"/>
              </w:rPr>
            </w:pPr>
          </w:p>
        </w:tc>
        <w:tc>
          <w:tcPr>
            <w:tcW w:w="1060" w:type="dxa"/>
            <w:vAlign w:val="bottom"/>
          </w:tcPr>
          <w:p>
            <w:pPr>
              <w:jc w:val="center"/>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8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14"/>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9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Level 1</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74,705</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163,849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Level 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189,452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189,340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103,383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Level 1 and Level 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264,157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9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Short-term investments have a contractual maturity date that is one year or less from the respective balance sheet date. Long-term investments have a contractual maturity date that is more than one year, but less than two years from the respective balance sheet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unrealized losses and fair values of available-for-sale securities that have been in an unrealized loss position for a period of less than and greater than 12 months as of September 30, 2024 and December 31, 2023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3"/>
                <w:szCs w:val="13"/>
                <w:color w:val="auto"/>
              </w:rPr>
            </w:pPr>
          </w:p>
        </w:tc>
        <w:tc>
          <w:tcPr>
            <w:tcW w:w="25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 in Unrealized Loss Position</w:t>
            </w:r>
          </w:p>
        </w:tc>
        <w:tc>
          <w:tcPr>
            <w:tcW w:w="140" w:type="dxa"/>
            <w:vAlign w:val="bottom"/>
          </w:tcPr>
          <w:p>
            <w:pPr>
              <w:spacing w:after="0"/>
              <w:rPr>
                <w:sz w:val="13"/>
                <w:szCs w:val="13"/>
                <w:color w:val="auto"/>
              </w:rPr>
            </w:pPr>
          </w:p>
        </w:tc>
        <w:tc>
          <w:tcPr>
            <w:tcW w:w="2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 in Unrealized Loss Position</w:t>
            </w:r>
          </w:p>
        </w:tc>
        <w:tc>
          <w:tcPr>
            <w:tcW w:w="160" w:type="dxa"/>
            <w:vAlign w:val="bottom"/>
          </w:tcPr>
          <w:p>
            <w:pPr>
              <w:spacing w:after="0"/>
              <w:rPr>
                <w:sz w:val="13"/>
                <w:szCs w:val="13"/>
                <w:color w:val="auto"/>
              </w:rPr>
            </w:pP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3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3"/>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16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340" w:type="dxa"/>
            <w:vAlign w:val="bottom"/>
          </w:tcPr>
          <w:p>
            <w:pPr>
              <w:spacing w:after="0"/>
              <w:rPr>
                <w:sz w:val="11"/>
                <w:szCs w:val="11"/>
                <w:color w:val="auto"/>
              </w:rPr>
            </w:pPr>
          </w:p>
        </w:tc>
        <w:tc>
          <w:tcPr>
            <w:tcW w:w="136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6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60"/>
              <w:spacing w:after="0" w:line="136"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Fair Market</w:t>
            </w:r>
          </w:p>
        </w:tc>
        <w:tc>
          <w:tcPr>
            <w:tcW w:w="0" w:type="dxa"/>
            <w:vAlign w:val="bottom"/>
          </w:tcPr>
          <w:p>
            <w:pPr>
              <w:spacing w:after="0"/>
              <w:rPr>
                <w:sz w:val="1"/>
                <w:szCs w:val="1"/>
                <w:color w:val="auto"/>
              </w:rPr>
            </w:pPr>
          </w:p>
        </w:tc>
      </w:tr>
      <w:tr>
        <w:trPr>
          <w:trHeight w:val="146"/>
        </w:trPr>
        <w:tc>
          <w:tcPr>
            <w:tcW w:w="334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360" w:type="dxa"/>
            <w:vAlign w:val="bottom"/>
            <w:gridSpan w:val="3"/>
            <w:vMerge w:val="continue"/>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Market Value</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Market Value</w:t>
            </w: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3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3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7"/>
                <w:szCs w:val="17"/>
                <w:color w:val="auto"/>
              </w:rPr>
            </w:pPr>
          </w:p>
        </w:tc>
        <w:tc>
          <w:tcPr>
            <w:tcW w:w="9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55"/>
        </w:trPr>
        <w:tc>
          <w:tcPr>
            <w:tcW w:w="33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60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26,893</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64,670</w:t>
            </w:r>
          </w:p>
        </w:tc>
        <w:tc>
          <w:tcPr>
            <w:tcW w:w="0" w:type="dxa"/>
            <w:vAlign w:val="bottom"/>
          </w:tcPr>
          <w:p>
            <w:pPr>
              <w:spacing w:after="0"/>
              <w:rPr>
                <w:sz w:val="1"/>
                <w:szCs w:val="1"/>
                <w:color w:val="auto"/>
              </w:rPr>
            </w:pPr>
          </w:p>
        </w:tc>
      </w:tr>
      <w:tr>
        <w:trPr>
          <w:trHeight w:val="223"/>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100,396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24"/>
                <w:szCs w:val="24"/>
                <w:color w:val="auto"/>
              </w:rPr>
            </w:pPr>
          </w:p>
        </w:tc>
        <w:tc>
          <w:tcPr>
            <w:tcW w:w="25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 in Unrealized Loss Position</w:t>
            </w:r>
          </w:p>
        </w:tc>
        <w:tc>
          <w:tcPr>
            <w:tcW w:w="140" w:type="dxa"/>
            <w:vAlign w:val="bottom"/>
          </w:tcPr>
          <w:p>
            <w:pPr>
              <w:spacing w:after="0"/>
              <w:rPr>
                <w:sz w:val="24"/>
                <w:szCs w:val="24"/>
                <w:color w:val="auto"/>
              </w:rPr>
            </w:pPr>
          </w:p>
        </w:tc>
        <w:tc>
          <w:tcPr>
            <w:tcW w:w="2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 in Unrealized Loss Position</w:t>
            </w:r>
          </w:p>
        </w:tc>
        <w:tc>
          <w:tcPr>
            <w:tcW w:w="160" w:type="dxa"/>
            <w:vAlign w:val="bottom"/>
          </w:tcPr>
          <w:p>
            <w:pPr>
              <w:spacing w:after="0"/>
              <w:rPr>
                <w:sz w:val="24"/>
                <w:szCs w:val="24"/>
                <w:color w:val="auto"/>
              </w:rPr>
            </w:pP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3"/>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16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136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6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Fair Market</w:t>
            </w:r>
          </w:p>
        </w:tc>
        <w:tc>
          <w:tcPr>
            <w:tcW w:w="0" w:type="dxa"/>
            <w:vAlign w:val="bottom"/>
          </w:tcPr>
          <w:p>
            <w:pPr>
              <w:spacing w:after="0"/>
              <w:rPr>
                <w:sz w:val="1"/>
                <w:szCs w:val="1"/>
                <w:color w:val="auto"/>
              </w:rPr>
            </w:pPr>
          </w:p>
        </w:tc>
      </w:tr>
      <w:tr>
        <w:trPr>
          <w:trHeight w:val="148"/>
        </w:trPr>
        <w:tc>
          <w:tcPr>
            <w:tcW w:w="334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60" w:type="dxa"/>
            <w:vAlign w:val="bottom"/>
            <w:gridSpan w:val="3"/>
            <w:vMerge w:val="continue"/>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Market Value</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Market Value</w:t>
            </w: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3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7"/>
                <w:szCs w:val="17"/>
                <w:color w:val="auto"/>
              </w:rPr>
            </w:pPr>
          </w:p>
        </w:tc>
        <w:tc>
          <w:tcPr>
            <w:tcW w:w="9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50,638</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18,644</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85,039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110,743</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131,004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186,938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reviewed its investment portfolio based on the underlying risk profile of the securities and have a no loss expectation for these investments. The Company reviewed the securities in an unrealized loss position and evaluated the current expected credit loss by considering factors such as historical experience, market data, issuer-specific factors, and current economic conditions. The Company recognized no credit losses during the three and nine months ended September 30, 2024 and 2023, and had no allowance for credit losses as of September 30, 2024 and December 31, 2023.</w:t>
      </w:r>
    </w:p>
    <w:p>
      <w:pPr>
        <w:spacing w:after="0" w:line="122" w:lineRule="exact"/>
        <w:rPr>
          <w:sz w:val="20"/>
          <w:szCs w:val="20"/>
          <w:color w:val="auto"/>
        </w:rPr>
      </w:pPr>
    </w:p>
    <w:p>
      <w:pPr>
        <w:ind w:right="4660" w:firstLine="8"/>
        <w:spacing w:after="0" w:line="440" w:lineRule="auto"/>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of Certain Condensed Consolidated Financial Statement Line Items Property and Equipment, Net</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Prototype equipment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depreciation expense of $0.5 million and $1.5 million for the three and nine months ended September 30, 2024, respectively, and $0.5 million and $1.3 million for the three and nine months ended September 30, 2023, respectively, which was primarily allocated to research and development expense.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Liabilities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3"/>
                <w:szCs w:val="13"/>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and consulting fees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3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long-term assets (Note 8)</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long-term assets consisted of $1.0 million of restricted cash and $0.2 million of deposits as of September 30, 2024 and December 31, 2023.</w:t>
      </w:r>
    </w:p>
    <w:p>
      <w:pPr>
        <w:spacing w:after="0" w:line="167"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125,560,309 shares issued and outstanding as of September 30, 2024.</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Shares of common stock reserved for future issuance on an as-if converted basis,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6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2760" w:type="dxa"/>
            <w:vAlign w:val="bottom"/>
            <w:tcBorders>
              <w:bottom w:val="single" w:sz="8" w:color="CCEEFF"/>
            </w:tcBorders>
          </w:tcPr>
          <w:p>
            <w:pPr>
              <w:spacing w:after="0"/>
              <w:rPr>
                <w:sz w:val="16"/>
                <w:szCs w:val="16"/>
                <w:color w:val="auto"/>
              </w:rPr>
            </w:pPr>
          </w:p>
        </w:tc>
        <w:tc>
          <w:tcPr>
            <w:tcW w:w="52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2021</w:t>
            </w: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23,475,907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20,279,560</w:t>
            </w:r>
          </w:p>
        </w:tc>
      </w:tr>
      <w:tr>
        <w:trPr>
          <w:trHeight w:val="23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5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17,365,605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14,676,335</w:t>
            </w:r>
          </w:p>
        </w:tc>
      </w:tr>
      <w:tr>
        <w:trPr>
          <w:trHeight w:val="22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2021</w:t>
            </w: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4,631,929</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3,505,138</w:t>
            </w:r>
          </w:p>
        </w:tc>
      </w:tr>
      <w:tr>
        <w:trPr>
          <w:trHeight w:val="22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45,473,441</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38,461,033</w:t>
            </w:r>
          </w:p>
        </w:tc>
      </w:tr>
      <w:tr>
        <w:trPr>
          <w:trHeight w:val="20"/>
        </w:trPr>
        <w:tc>
          <w:tcPr>
            <w:tcW w:w="2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 For the three and nine months ended September 30, 2024 and 2023, no income tax expense or benefit was recognized, due to a full valuation allowance recorded against its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 and Stock-based Compensation</w:t>
      </w:r>
    </w:p>
    <w:p>
      <w:pPr>
        <w:spacing w:after="0" w:line="175"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On June 8, 2021, the stockholders of the Company approved the 2021 Equity Incentive Plan (“2021 Plan”) and the 2021 Employee Stock Purchase Plan (“2021 ESPP”). As of September 30, 2024, 23,475,907 and 4,631,929 shares were available for grant under the 2021 Plan and 2021 ESPP, respectively.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Under the 2021 ESPP, participants are permitted to purchase shares of Common Stock, up to the IRS allowable limit, through contributions (in the form of payroll deductions or otherwise to the extent permitted by the administrator of the 2021 ESPP) of up to 15% of their eligible compensation. Participants are permitted to purchase shares of the Company’s Common Stock at 85% of the lower of the fair market value of the Company’s Common Stock on the first trading day of an offering period or on the last trading date in each purchase period. The Company offers a six month purchase period. Participants may end their participation at any time during an offering and will be paid their accrued contributions that have not yet been used to purchase shares. Participation ends automatically upon termination of employment with the Company. The number of shares of common stock available for issuance under the 2021 ESPP will be increased on the first day of each fiscal year in an amount equal to the least of (i) 3,734,500 shares of common stock, (ii) a number of shares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 On January 1, 2024, the number of shares available under the 2021 ESPP increased by 1,250,686 shares pursuant to this feature.</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75" w:lineRule="exact"/>
        <w:rPr>
          <w:sz w:val="20"/>
          <w:szCs w:val="20"/>
          <w:color w:val="auto"/>
        </w:rPr>
      </w:pPr>
    </w:p>
    <w:p>
      <w:pPr>
        <w:jc w:val="both"/>
        <w:ind w:right="160" w:firstLine="324"/>
        <w:spacing w:after="0" w:line="257" w:lineRule="auto"/>
        <w:rPr>
          <w:sz w:val="20"/>
          <w:szCs w:val="20"/>
          <w:color w:val="auto"/>
        </w:rPr>
      </w:pPr>
      <w:r>
        <w:rPr>
          <w:rFonts w:ascii="Times New Roman" w:cs="Times New Roman" w:eastAsia="Times New Roman" w:hAnsi="Times New Roman"/>
          <w:sz w:val="18"/>
          <w:szCs w:val="18"/>
          <w:color w:val="auto"/>
        </w:rPr>
        <w:t>Under the 2021 Plan, the Company can grant incentive stock options, nonstatutory stock options, stock appreciation rights, restricted stock, restricted stock units and performance awards to employees, non-employee directors and consultants. Options generally expire ten years after the date of grant. The number of shares available for issuance under the 2021 Plan will be increased on the first day of each fiscal year in an amount equal to the least of (i)</w:t>
      </w:r>
    </w:p>
    <w:p>
      <w:pPr>
        <w:spacing w:after="0" w:line="1"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18,672,200 shares, (ii) a number of shares equal to five percent (5%) of the total number of shares of all classes of common stock of the Company outstanding on the last day of the immediately preceding fiscal year, or (iii) such number of shares determined by the Administrator no later than the last day of the immediately preceding fiscal year. On January 1, 2024, the number of shares available under the 2021 Plan increased by 6,253,430 shares pursuant to this feature.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2017 Equity Incentive Plan</w:t>
      </w:r>
    </w:p>
    <w:p>
      <w:pPr>
        <w:spacing w:after="0" w:line="175"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At the time of adoption of the 2021 Plan and the 2021 ESPP, no further awards will be granted under the 2017 Equity Incentive Plan (“2017 Plan”). Stock-based awards forfeited or cancelled from the 2017 Plan are returned to the pool of shares of Common Stock available for issuance under the 2021 Plan.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Grant Date Fair Value of Stock Options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determining the compensation cost of the option awards, the fair value for each option award has been estimated using the Black Scholes model.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assumptions used in these calculations are summarized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412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40" w:type="dxa"/>
            <w:vAlign w:val="bottom"/>
            <w:gridSpan w:val="3"/>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30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190"/>
        </w:trPr>
        <w:tc>
          <w:tcPr>
            <w:tcW w:w="308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6.0 - 6.1</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6.0 - 6.1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5.3 - 6.1</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5.3 - 6.4</w:t>
            </w: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- 100.7%</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 - 103.7%</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 - 101.1%</w:t>
            </w:r>
          </w:p>
        </w:tc>
        <w:tc>
          <w:tcPr>
            <w:tcW w:w="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 - 107.5%</w:t>
            </w: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 - 4.14%</w:t>
            </w:r>
          </w:p>
        </w:tc>
        <w:tc>
          <w:tcPr>
            <w:tcW w:w="1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 - 4.44%</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 - 4.60%</w:t>
            </w:r>
          </w:p>
        </w:tc>
        <w:tc>
          <w:tcPr>
            <w:tcW w:w="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- 4.44%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85" w:lineRule="exact"/>
        <w:rPr>
          <w:sz w:val="20"/>
          <w:szCs w:val="20"/>
          <w:color w:val="auto"/>
        </w:rPr>
      </w:pPr>
    </w:p>
    <w:p>
      <w:pPr>
        <w:ind w:right="60" w:firstLine="324"/>
        <w:spacing w:after="0" w:line="231" w:lineRule="exact"/>
        <w:rPr>
          <w:sz w:val="20"/>
          <w:szCs w:val="20"/>
          <w:color w:val="auto"/>
        </w:rPr>
      </w:pPr>
      <w:r>
        <w:rPr>
          <w:rFonts w:ascii="Times New Roman" w:cs="Times New Roman" w:eastAsia="Times New Roman" w:hAnsi="Times New Roman"/>
          <w:sz w:val="18"/>
          <w:szCs w:val="18"/>
          <w:color w:val="auto"/>
        </w:rPr>
        <w:t>Expected volatility: Historically, the Company has been a private company and lacked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historical and implied volatility information for its common stock. Therefore, the expected volatility of the Company’s common stock was determined by using an average of historical volatilities of selected industry peers deemed to be comparable to the Company’s business corresponding to the expected term of the awards and the Company expects to continue to do so until such time as the Company has adequate historical data regarding the volatility of its traded common stock price.</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Expected dividend yield: The expected dividend rate is zero as the Company has no history or expectation of declaring dividends on its common stock.</w:t>
      </w:r>
    </w:p>
    <w:p>
      <w:pPr>
        <w:spacing w:after="0" w:line="17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option award activity during the nine months ended September 30,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Stock Option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44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5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20" w:type="dxa"/>
            <w:vAlign w:val="bottom"/>
          </w:tcPr>
          <w:p>
            <w:pPr>
              <w:spacing w:after="0"/>
              <w:rPr>
                <w:sz w:val="17"/>
                <w:szCs w:val="17"/>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Value (in thousands)</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14,676,335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3,964,900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(367,813)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(907,817)</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17,365,605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vested and expected to vest as of September 30, 2024</w:t>
            </w: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17,365,605</w:t>
            </w:r>
          </w:p>
        </w:tc>
        <w:tc>
          <w:tcPr>
            <w:tcW w:w="2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at September 30,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10,118,628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2024, there was $16.3 million of total unrecognized compensation expense expected to be recognized over a weighted average-period of 2.3 years. Aggregate intrinsic value represents the difference between the fair market value of the common stock and the exercise price of outstanding, in-the-money options.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sets forth the total stock-based compensation expense included in the Company’s condensed consolidated statement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2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75"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Open purchase commitments are for the purchase of goods and services related to, but not limited to, research and development, facilities, and professional services under non-cancellable contracts. They were not recorded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liabilities on the condensed consolidated balance sheet as of September 30, 2024 as the Company had not yet received the related goods or services. As of September 30, 2024, the Company had open purchase commitments for goods and services of $2.5 million, of which $2.0 million are expected to be received through the next 12 months.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become involved in litigation relating to claims arising from the ordinary course of business. The Company may record accruals for loss contingencies associated with legal matters when it is probable that a liability will be incurred, and the amount of the loss can be reasonably estimated. Amounts accrued for legal contingencies often result from a complex series of judgments about future events and uncertainties that rely heavily on estimates and assumptions. The ability to make such estimates and judgments can be affected by various factors including, among other things, whether damages sought in the proceedings are unsubstantiated or indeterminate; scientific and legal discovery has not commenced or is not complete; proceedings are in early stages; matters present legal uncertainties; there are significant facts in dispute; procedural or jurisdictional issues. Loss contingency accruals would be included in accrued and other liabilities and general and administrative expenses.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 District Court Proceedings</w:t>
      </w:r>
    </w:p>
    <w:p>
      <w:pPr>
        <w:spacing w:after="0" w:line="17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December 14, 2023, the Company filed suit in the United States District Court for the Northern District of California against Somalogic (now known as Standard Biotools, Inc.), and the California Institute of Technology seeking declaratory judgment that the Company does not infringe any claims of US Patent No. 7,842,793 related to DNA origami structures, allegedly licensed from the California Institute of Technology through Somalogic’s purchase of Palamedrix, Inc.</w:t>
      </w:r>
    </w:p>
    <w:p>
      <w:pPr>
        <w:spacing w:after="0" w:line="12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On March 29, 2024, Somalogic filed a motion to dismiss the suit. On April 19, 2024, the Company filed a First Amended Complaint addressing issues raised in Somalogic’s motion to dismiss. On April 22, 2024, the Court issued an order dismissing Somalogic’s motion to dismiss as moot. The suit is temporarily stayed based upon a request of the parties. While the Company believes that it will be able to prevail as to its claims in this litigation, the Company may incur significant expense and management distraction in prosecuting this litigation. Moreover, notwithstanding management’s belief as to the strength of the Company’s claims in this matter, litigation generally, and patent litigation in particular, can be unpredictable. As such, management cannot be certain that the Company will prevail in this litigation.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Company is obligated under certain non-cancellable operating leases for office space and laboratory space. This space includes operating leases in Seattle, Washington, San Carlos, California, and San Diego, California.</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future principal contractual obligations for operating lease commitments as of September 30,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6"/>
                <w:szCs w:val="16"/>
                <w:color w:val="auto"/>
              </w:rPr>
            </w:pPr>
          </w:p>
        </w:tc>
        <w:tc>
          <w:tcPr>
            <w:tcW w:w="14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Lease Obligations</w:t>
            </w:r>
          </w:p>
        </w:tc>
      </w:tr>
      <w:tr>
        <w:trPr>
          <w:trHeight w:val="23"/>
        </w:trPr>
        <w:tc>
          <w:tcPr>
            <w:tcW w:w="9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ending December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13,207</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41,152</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(9,585)</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and 2023, cash paid for amounts included in the measurement of operating lease liabilities included in cash flows used in operating activities was $5.2 million and $4.5 million, respectively.</w:t>
      </w:r>
    </w:p>
    <w:p>
      <w:pPr>
        <w:spacing w:after="0" w:line="108"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Company has $1.0 million in cash-collateralized letters of credit with one financial institution in lieu of security deposits in connection with the San Carlos and San Diego lease agreements.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25"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Net Loss per Share</w:t>
      </w:r>
    </w:p>
    <w:p>
      <w:pPr>
        <w:spacing w:after="0" w:line="17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computation of the Company’s basic and diluted net loss per share attributable to common stockholders for the three and nine months ended September 30,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4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(46,651)</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shares used in computing net loss per share</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125,452,572</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124,933,837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125,302,440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124,896,975</w:t>
            </w:r>
          </w:p>
        </w:tc>
        <w:tc>
          <w:tcPr>
            <w:tcW w:w="0" w:type="dxa"/>
            <w:vAlign w:val="bottom"/>
          </w:tcPr>
          <w:p>
            <w:pPr>
              <w:spacing w:after="0"/>
              <w:rPr>
                <w:sz w:val="1"/>
                <w:szCs w:val="1"/>
                <w:color w:val="auto"/>
              </w:rPr>
            </w:pPr>
          </w:p>
        </w:tc>
      </w:tr>
      <w:tr>
        <w:trPr>
          <w:trHeight w:val="155"/>
        </w:trPr>
        <w:tc>
          <w:tcPr>
            <w:tcW w:w="48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36"/>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42"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4"/>
          <w:szCs w:val="14"/>
          <w:b w:val="1"/>
          <w:bCs w:val="1"/>
          <w:color w:val="auto"/>
        </w:rPr>
        <w:t>Three and Nine Months</w:t>
      </w:r>
    </w:p>
    <w:p>
      <w:pPr>
        <w:spacing w:after="0" w:line="6"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4"/>
          <w:szCs w:val="14"/>
          <w:b w:val="1"/>
          <w:bCs w:val="1"/>
          <w:color w:val="auto"/>
        </w:rPr>
        <w:t>Ended 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2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17,365,605</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14,636,195</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119,275</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74,407</w:t>
            </w: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potentially dilutive common share equivalents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17,484,880</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14,710,602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21" w:name="page22"/>
    <w:bookmarkEnd w:id="2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our management believes is relevant to an assessment and understanding of Nautilus Biotechnology, Inc.’s (“Nautilus” or the “Company”) condensed consolidated results of operations and financial condition. The discussion should be read together with the condensed consolidated financial statements and the accompanying notes to those statements that are included elsewhere in this Quarterly Report on Form 10-Q and the audited financial statements for the year ended December 31, 2023 and the related notes included in the Company’s Annual Report on Form 10-K filed with the SEC on February 28, 2024. This discussion may contain forward-looking statements based upon current expectations that involve risks and uncertainties. Nautilus’ actual results may differ materially from those anticipated in these forward-looking statements as a result of various factors, including those set forth in the section titled “Risk Factors” in Part II, Item 1A as set forth in this Quarterly Report on Form 10-Q.</w:t>
      </w:r>
    </w:p>
    <w:p>
      <w:pPr>
        <w:spacing w:after="0" w:line="13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“Management’s Discussion and Analysis of Financial Condition and Results of Operations” section to “Nautilus,” “we,” “us,” “our” and other similar terms refer to the business and operations of Legacy Nautilus prior to the Business Combination and to New Nautilus and its consolidated subsidiary following the Business Combination.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3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3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our Nautilus platform, instruments,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is no assurance that we will be able to build manufacturing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consumable production capacity internally or find one or more suitable manufacturing or production partners, or both, to meet the volume and quality requirements necessary to be successful in the proteomics market.</w:t>
      </w:r>
    </w:p>
    <w:p>
      <w:pPr>
        <w:spacing w:after="0" w:line="10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have entered into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During the second phase, we expect to work closely with early access customers to demonstrate a unique value proposition for our Nautilus platform. During this phase, we plan to provide early access to our partners with broad-scale and targeted analyses and profiling of samples analyzed in our facility and shared via a cloud platform. We believe there is significant interest in our platform for targeted proteoform analyses. As such, we expect to be working with our initial early access collaborators in this area, and to leverage our learnings from those collaborations for the benefit of both our broad-scale and targeted products and services. We do not anticipate that these activities will result in any material revenue. We expect this second phase to lead into the third phase of launch of our proteome analysis platform in late 2025 and subsequent broad commercialization thereafter. Voice of customer studies have suggested that there is market demand for a proteomics platform with specifications that are initially lower than what we have previously disclosed, for example, around characteristics such as sample input and proteome coverage. Consequently, as we balance our time to market goals with our evolving view of customer requirements, we are refining our initial launch specifications. We believe that subsequent consumable releases will enable our platform to meet or exceed our previously announced product specifications.</w:t>
      </w:r>
    </w:p>
    <w:p>
      <w:pPr>
        <w:spacing w:after="0" w:line="13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intend to commercialize our Nautilus platform through a direct sales channel in the United States, and through both direct and distributor sales channels in regions outside the United States. Given our stage of development, we currently have limited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1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35"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4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 gross proceeds of approximately $345.5 million from PIPE Investors and the Business Combination, offset by approximately $18.2 million of transaction costs and underwriters’ fees relating to the closing of the Business Combination. As of September 30, 2024, we had cash, cash equivalents and short-term investments of $140.6 million. Based on this, we believe that our existing cash, cash equivalents, and short-term investments will enable us to fund our planned operating expenses and capital expenditures through at least the next 12 months.</w:t>
      </w:r>
    </w:p>
    <w:p>
      <w:pPr>
        <w:spacing w:after="0" w:line="13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have incurred significant losses since the commencement of our operations. Our net loss was $53.2 million during the nine months ended September 30, 2024, and we expect to continue to incur significant losses for the foreseeable future as we continue our research and development activities and planned commercialization of our Nautilus platform. As of September 30, 2024, we had an accumulated deficit of $255.4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expect our expenses and capital requirements will increase substantially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activities, including with respect to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activities to establish sales, marketing and distribution capabilities for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setup costs related to production tooling and required testing;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 including patents, trade secrets and know how;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management, scientific and administrative personnel;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71" w:lineRule="exact"/>
        <w:rPr>
          <w:sz w:val="20"/>
          <w:szCs w:val="20"/>
          <w:color w:val="auto"/>
        </w:rPr>
      </w:pPr>
    </w:p>
    <w:p>
      <w:pPr>
        <w:ind w:firstLine="324"/>
        <w:spacing w:after="0" w:line="218" w:lineRule="exact"/>
        <w:rPr>
          <w:sz w:val="20"/>
          <w:szCs w:val="20"/>
          <w:color w:val="auto"/>
        </w:rPr>
      </w:pPr>
      <w:r>
        <w:rPr>
          <w:rFonts w:ascii="Times New Roman" w:cs="Times New Roman" w:eastAsia="Times New Roman" w:hAnsi="Times New Roman"/>
          <w:sz w:val="18"/>
          <w:szCs w:val="18"/>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recent and any potential future financial institution failures, the conflicts in Eastern Europe, the Middle East and in other countries, and otherwise.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Negative Global or National Events</w:t>
      </w:r>
    </w:p>
    <w:p>
      <w:pPr>
        <w:spacing w:after="0" w:line="175"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Businesses have been and will continue to be impacted by a number of challenging global and national events and circumstances that continue to evolve, including extreme weather conditions, economic uncertainty,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changing interest rates, recent and any potential future financial institution failures, and conflicts in Eastern Europe, the Middle East and in other countries. The extent of the impact of these events and circumstances on our business, operations and development timelines and plans remains uncertain, and will depend 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w:t>
      </w:r>
    </w:p>
    <w:p>
      <w:pPr>
        <w:spacing w:after="0" w:line="13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have been and continue to actively monitor our supply chain in light of these challenging global and national events and circumstances, including our third-party materials suppliers. We have, in the past, experienced some supply disruptions due to the COVID-19 pandemic, including closures at certain chip manufacturers, which led to extended lead times for certain chips; diversion of certain lab materials needed to support COVID-19 relief efforts; and lower availability of certain reagents. While certain of these disruptions have been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spacing w:after="0" w:line="133"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The ultimate impact of these global and national events and circumstances, either individually or in aggregate, is highly uncertain and subject to change. We will continue to actively monitor any developments related to these global and national events, and may take actions to mitigate potential negative impacts to our business, and that may alter our operations, including those that may be required by federal, state or local authorities, or that we determine are in the best interests of our employees and other third parties with whom we do business. At this point, the extent to which these global or national events and circumstances may affect our future business, operations and development timelines and plans, including the resulting impact on our expenditures and capital needs, remains uncertain.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date, we have not generated any revenue and we may not generate any revenue from the sale of products or from other sources in the near future.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7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and consist primarily of salaries, related benefits and stock-based compensation expense of product development personnel,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spacing w:after="0" w:line="12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plan to continue to invest in our research and development efforts and to increase our investment in research and development efforts related to our product development. As a result, we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of salaries, related benefits, and stock-based compensation expense for personnel in executive, operations, legal, human resources, finance, marketing, commercial, IT personnel and administrative functions, professional fees for legal, patent, consulting, accounting and audit services, directors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0"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officers insurance, allocated expenses for technology and facilities, loss contingency accruals, and marketing expenses. We expense general and administrative expenses in the periods in which they are incurred.</w:t>
      </w:r>
    </w:p>
    <w:p>
      <w:pPr>
        <w:spacing w:after="0" w:line="108"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substantially over the next several years as we hire additional personnel to support the growth in research and development activities for our products and commercial activities supporting the growth of our business, including sales, marketing, service, support, and distribution infrastructure. We also anticipate that we will incur higher expenses related to accounting, audit, legal, regulatory, insurance, compliance with the rules and regulations of the SEC, Sarbanes-Oxley Act and those of any national securities exchange on which our securities are traded, investor and public relations, and other administrative and professional services.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7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Other income (expense) consists primarily of interest income on our cash, cash equivalents and investments, including accretion and amortization of discounts and premiums on marketable debt securities. Other miscellaneous non-recurring expenses such as gains or losses on disposal of property and equipment are also included.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to the Three Months Ended September 30, 2023</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our condensed consolidated statements of operations for the periods indicated:</w:t>
      </w:r>
    </w:p>
    <w:p>
      <w:pPr>
        <w:spacing w:after="0" w:line="2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33655</wp:posOffset>
            </wp:positionV>
            <wp:extent cx="20142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5" w:lineRule="exact"/>
        <w:rPr>
          <w:sz w:val="20"/>
          <w:szCs w:val="20"/>
          <w:color w:val="auto"/>
        </w:rPr>
      </w:pPr>
    </w:p>
    <w:p>
      <w:pPr>
        <w:ind w:left="5340"/>
        <w:spacing w:after="0"/>
        <w:tabs>
          <w:tab w:leader="none" w:pos="69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33655</wp:posOffset>
            </wp:positionV>
            <wp:extent cx="19545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Change</w:t>
      </w:r>
      <w:r>
        <w:rPr>
          <w:sz w:val="20"/>
          <w:szCs w:val="20"/>
          <w:color w:val="auto"/>
        </w:rPr>
        <w:tab/>
      </w:r>
      <w:r>
        <w:rPr>
          <w:rFonts w:ascii="Times New Roman" w:cs="Times New Roman" w:eastAsia="Times New Roman" w:hAnsi="Times New Roman"/>
          <w:sz w:val="14"/>
          <w:szCs w:val="14"/>
          <w:b w:val="1"/>
          <w:bCs w:val="1"/>
          <w:color w:val="auto"/>
        </w:rPr>
        <w:t>Change</w:t>
      </w:r>
    </w:p>
    <w:p>
      <w:pPr>
        <w:spacing w:after="0" w:line="6" w:lineRule="exact"/>
        <w:rPr>
          <w:sz w:val="20"/>
          <w:szCs w:val="20"/>
          <w:color w:val="auto"/>
        </w:rPr>
      </w:pPr>
    </w:p>
    <w:p>
      <w:pPr>
        <w:ind w:left="14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11" w:lineRule="exact"/>
        <w:rPr>
          <w:sz w:val="20"/>
          <w:szCs w:val="20"/>
          <w:color w:val="auto"/>
        </w:rPr>
      </w:pPr>
    </w:p>
    <w:p>
      <w:pPr>
        <w:sectPr>
          <w:pgSz w:w="11900" w:h="16838" w:orient="portrait"/>
          <w:cols w:equalWidth="0" w:num="2">
            <w:col w:w="7700" w:space="720"/>
            <w:col w:w="28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8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4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19,075</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4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4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8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tcBorders>
              <w:bottom w:val="single" w:sz="8" w:color="CCEEFF"/>
            </w:tcBorders>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(15,878)</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$12.3 million for the three months ended September 30, 2024, compared to $12.0 million for the three months ended September 30, 2023, an increase of $0.3 million, or 2%. The increase was due to a $0.3 million increase in salaries, related benefits, and stock-based compensation and a $0.2 million increase in cost for external development services. These increases are attributable to increased headcount and continued development during the period. These increases were partially offset by a $0.1 million decrease in laboratory supplies and equipment expense and a $0.1 million decrease in professional services costs.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$6.8 million for the three months ended September 30, 2024, compared to $7.1 million for the three months ended September 30, 2023, a decrease of $0.3 million, or 4%. The decrease was due to a $0.4 million decrease in salaries, related benefits, and stock-based compensation, attributable to reduced incentive compensation costs during the period and a $0.1 million decrease in marketing costs. These decreases were partially offset by a $0.2 million increase in professional services attributable to legal and general consulting fees, and a $0.1 million increase in facilities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6" w:name="page27"/>
    <w:bookmarkEnd w:id="26"/>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73"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Other income (expense) for the three months ended September 30, 2024 decreased compared to the three months ended September 30, 2023. The decrease is attributable to the decrease in interest income as our cash, cash equivalents, and investments balance decreased during the period.</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to the Nine Months Ended September 30, 2023</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our condensed consolidated statements of operations for the periods indicated:</w:t>
      </w:r>
    </w:p>
    <w:p>
      <w:pPr>
        <w:spacing w:after="0" w:line="2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33655</wp:posOffset>
            </wp:positionV>
            <wp:extent cx="20142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5" w:lineRule="exact"/>
        <w:rPr>
          <w:sz w:val="20"/>
          <w:szCs w:val="20"/>
          <w:color w:val="auto"/>
        </w:rPr>
      </w:pPr>
    </w:p>
    <w:p>
      <w:pPr>
        <w:ind w:left="5340"/>
        <w:spacing w:after="0"/>
        <w:tabs>
          <w:tab w:leader="none" w:pos="69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33655</wp:posOffset>
            </wp:positionV>
            <wp:extent cx="19545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Change</w:t>
      </w:r>
      <w:r>
        <w:rPr>
          <w:sz w:val="20"/>
          <w:szCs w:val="20"/>
          <w:color w:val="auto"/>
        </w:rPr>
        <w:tab/>
      </w:r>
      <w:r>
        <w:rPr>
          <w:rFonts w:ascii="Times New Roman" w:cs="Times New Roman" w:eastAsia="Times New Roman" w:hAnsi="Times New Roman"/>
          <w:sz w:val="14"/>
          <w:szCs w:val="14"/>
          <w:b w:val="1"/>
          <w:bCs w:val="1"/>
          <w:color w:val="auto"/>
        </w:rPr>
        <w:t>Change</w:t>
      </w:r>
    </w:p>
    <w:p>
      <w:pPr>
        <w:spacing w:after="0" w:line="6" w:lineRule="exact"/>
        <w:rPr>
          <w:sz w:val="20"/>
          <w:szCs w:val="20"/>
          <w:color w:val="auto"/>
        </w:rPr>
      </w:pPr>
    </w:p>
    <w:p>
      <w:pPr>
        <w:ind w:left="14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11" w:lineRule="exact"/>
        <w:rPr>
          <w:sz w:val="20"/>
          <w:szCs w:val="20"/>
          <w:color w:val="auto"/>
        </w:rPr>
      </w:pPr>
    </w:p>
    <w:p>
      <w:pPr>
        <w:sectPr>
          <w:pgSz w:w="11900" w:h="16838" w:orient="portrait"/>
          <w:cols w:equalWidth="0" w:num="2">
            <w:col w:w="7700" w:space="720"/>
            <w:col w:w="28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37,654</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34,785</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21,366</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3"/>
        </w:trPr>
        <w:tc>
          <w:tcPr>
            <w:tcW w:w="4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61,496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56,151</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0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223"/>
        </w:trPr>
        <w:tc>
          <w:tcPr>
            <w:tcW w:w="4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(46,651)</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$37.7 million for the nine months ended September 30, 2024, compared to $34.8 million for the nine months ended September 30, 2023, an increase of $2.9 million, or 8%. The increase was due to a $2.0 million increase in salaries, related benefits, and stock-based compensation, and a $0.9 million increase in laboratory supplies and equipment expense attributable to increased headcount during the period. Also contributing to the increase was a $0.2 million increase in facilities costs attributable to a new lease that commenced in March 2023, and a $0.2 million increase in depreciation attributable to the growth in laboratory and prototype equipment balances. These increases were partially offset by a $0.6 million decrease in professional services as more development efforts were performed by the Company.</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$23.8 million for the nine months ended September 30, 2024, compared to $21.4 million for the nine months ended September 30, 2023, an increase of $2.5 million, or 12%. The increase was due to a a $1.0 million increase in professional services attributable to legal and general consulting fees, a $0.7 million increase in salaries, related benefits, and stock-based compensation attributable to increased headcount during the period, a $0.5 million increase in professional services from fees related to the shelf registration statement filed during the period, and a $0.3 million increase in facilities cost. These increases were partially offset by a $0.3 million decrease in insurance costs.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73"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Other income (expense) for the nine months ended September 30, 2024 decreased compared to the nine months ended September 30, 2023. The decrease is attributable to the decrease in interest income as our cash, cash equivalents, and investments balance decreased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7" w:name="page28"/>
    <w:bookmarkEnd w:id="2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our operations. Our net loss was $53.2 million for the nine months ended September 30, 2024. As of September 30, 2024, we had an accumulated deficit of $255.4 million. Prior to the 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 As of September 30, 2024, we had cash, cash equivalents and investments of $221.2 million.</w:t>
      </w:r>
    </w:p>
    <w:p>
      <w:pPr>
        <w:spacing w:after="0" w:line="135"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10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February 2024, we entered into a sales agreement (the “Sales Agreement”) with Cowen and Company, LLC (“TD Cowen”) under which we may offer and sell up to $125.0 million of shares of our common stock from time to time through an “at the market” offering program under which TD Cowen will act as sales agent. Under the Sales Agreement, we set the parameters for the sale of shares, including the number or dollar amount of shares to be issued, the time period during which sales are requested to be made, limitations on the number or dollar amount of shares that may be sold in any one trading day and any minimum price below which sales may not be made. The Sales Agreement provides that TD Cowen will be entitled to compensation for its services in an amount equal to up to 3.0% of the gross proceeds of all shares of common stock sold through TD Cowen under the Sales Agreement. We have no obligation to sell any shares under the Sales Agreement and may at any time suspend solicitation and offers under the Sales Agreement. During the nine months ended September 30, 2024, we did not sell any shares of common stock pursuant to the sales agreement.</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date, we have not generated any revenue and we may not generate any revenue from the sale of products or from other sources in the near future.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expenses and capital requirements will increase substantially in connection with our ongoing activities as we:</w:t>
      </w:r>
    </w:p>
    <w:p>
      <w:pPr>
        <w:spacing w:after="0" w:line="15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activities, including with respect to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activities to establish sales, marketing and distribution capabilities for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setup costs related to production tooling and required testing;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 including patents, trade secrets and know how;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management, scientific and administrative personnel;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71"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Based on our planned operations, we expect our current cash, cash equivalents, and short-term investments will be sufficient to fund our operating expenses and capital expenditures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global and national conflicts or other disruptions; and other items affecting our forecasted level of expenditures and use of cash resources including potential acquisitions.</w:t>
      </w:r>
    </w:p>
    <w:p>
      <w:pPr>
        <w:spacing w:after="0" w:line="126" w:lineRule="exact"/>
        <w:rPr>
          <w:sz w:val="20"/>
          <w:szCs w:val="20"/>
          <w:color w:val="auto"/>
        </w:rPr>
      </w:pPr>
    </w:p>
    <w:p>
      <w:pPr>
        <w:ind w:right="20" w:firstLine="324"/>
        <w:spacing w:after="0" w:line="219" w:lineRule="exact"/>
        <w:rPr>
          <w:sz w:val="20"/>
          <w:szCs w:val="20"/>
          <w:color w:val="auto"/>
        </w:rPr>
      </w:pPr>
      <w:r>
        <w:rPr>
          <w:rFonts w:ascii="Times New Roman" w:cs="Times New Roman" w:eastAsia="Times New Roman" w:hAnsi="Times New Roman"/>
          <w:sz w:val="18"/>
          <w:szCs w:val="18"/>
          <w:color w:val="auto"/>
        </w:rPr>
        <w:t>Until such time as we can generate significant revenue from commercialization of our products, if ever, we will continue to require substantial additional capital to develop our Nautilus platform and fund operations for the foreseeable future. We intend to obtain such capital through public or private equity offerings or debt financings (including potential sales under the Sales Agreement), credit or loan facilities or a combination of one or more of these funding sources. We may also seek additional financing opportunistically. We may be unable to raise additional funds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recent and any potential future financial institution failures, the conflicts in Eastern Europe, the Middle East and in other countries, and otherwise. Our failure to raise additional capital, if needed, would have a negative impact on our financial condition and our ability to execute our business plan.</w:t>
      </w:r>
    </w:p>
    <w:p>
      <w:pPr>
        <w:spacing w:after="0" w:line="14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including any issuances pursuant to our “at the market” equity offering program under our Sales Agreement with TD Cowen,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 September 30, 2024 and 2023</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2024 and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7"/>
                <w:szCs w:val="17"/>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(37,811)</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(40,371)</w:t>
            </w:r>
          </w:p>
        </w:tc>
      </w:tr>
      <w:tr>
        <w:trPr>
          <w:trHeight w:val="20"/>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net cash used in operating activities was $44.8 million, resulting from our net loss of $53.2 million and decrease in net changes in assets and liabilities aggregating $3.9 million. Net cash used in operating activities was partially offset by non-cash charges aggregating $12.2 million, which included $9.6 million of stock-based compensation, $3.3 million of amortization of operating lease right-of-use assets, and $1.5 million of depreciation. These non-cash charges were partially offset by $2.2 million of net accretion of discounts on securities.</w:t>
      </w:r>
    </w:p>
    <w:p>
      <w:pPr>
        <w:spacing w:after="0" w:line="126"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2023, net cash used in operating activities was $37.8 million, resulting from our net loss of $46.7 million and decrease in net changes in assets and liabilities aggregating $2.3 million. Net cash used in operating activities was partially offset by non-cash charges aggregating $11.1 million, which included $9.1 million of stock-based compensation, $2.8 million amortization of operating lease right-of-use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$1.3 million of depreciation. These non-cash charges were partially offset by $2.0 million of net accretion of discounts on securities.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net cash provided by investing activities was $29.1 million, resulting from $90.4 million in proceeds from the maturity of securities, partially offset by $59.4 million in purchases of securities and $1.9 million in purchases of property and equipment.</w:t>
      </w:r>
    </w:p>
    <w:p>
      <w:pPr>
        <w:spacing w:after="0" w:line="12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2023, net cash used in investing activities was $2.7 million, resulting from $51.9 million in purchases of securities and $2.0 million in purchases of property and equipment, partially offset by $51.2 million in proceeds from maturities of securities.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cash provided by financing activities was comprised of $0.7 million of proceeds from the exercise of stock options and the issuance of common stock under the employee stock purchase plan.</w:t>
      </w:r>
    </w:p>
    <w:p>
      <w:pPr>
        <w:spacing w:after="0" w:line="10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2023, cash provided by financing activities was comprised of $0.1 million of proceeds from the exercise of stock options and the issuance of common stock under the employee stock purchase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For a discussion of our contractual obligations and commitments, refer to Part I, Item 1, Note 8, “Commitments and Contingencies,” in our notes to condensed consolidated financial statements in this Quarterly Report on Form 10-Q.</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liabilities, and expenses. We evaluate our estimates and assumptions on an ongoing basis, and base our estimates on historical experience and on various other assumptions that we believe to be reasonable under the circumstances, the results of which form the basis for the judgments we make about the carrying value of assets and liabilities that are not readily apparent from other sources. Because these estimates can vary depending on the situation, actual results may differ from these estimates. Making estimates and judgments about future events is inherently unpredictable and is subject to significant uncertainties, some of which are beyond our control. Should any of these estimates and assumptions change or prove to have been incorrect, it could have a material impact on our results of operations, financial position and statement of cash flows.</w:t>
      </w:r>
    </w:p>
    <w:p>
      <w:pPr>
        <w:spacing w:after="0" w:line="134"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Other than the policies noted in Part I, Item 1, Note 2, “Significant Accounting Policies,” in our notes to condensed consolidated financial statements in this Quarterly Report on Form 10-Q, there have been no material changes to our critical accounting policies and estimates as compared to those disclosed in our audited financial statements as of and for the years ended December 31, 2023 and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For a description of recent accounting pronouncements, including the expected dates of adoption and estimated effects, if any, on our condensed consolidated financial statements, see Part I, Item 1, Note 2 “Significant Accounting Policies” in our notes to condensed consolidated financial statements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0" w:name="page31"/>
    <w:bookmarkEnd w:id="3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Accounting Election</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3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will cease to be an emerging growth company on the date that is the earliest of (i) the last day of the fiscal year in which we have total annual gross revenue of $1.235 billion or more, (ii) the last day of our fiscal year following the fifth anniversary of the date of the closing of ARYA’s initial public offering,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12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Qualitative and Quantitative Disclosures About Market Risk</w:t>
      </w:r>
    </w:p>
    <w:p>
      <w:pPr>
        <w:spacing w:after="0" w:line="17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market risk exposure is primarily a result of fluctuations in interest rates and inflation. We do not hold or issue financial instruments for trading purposes.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had cash, cash equivalents and investments of $221.2 million as of September 30, 2024. The primary goals of our investment policy are liquidity and capital preservation.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the fair market value of our investments in marketable debt securities. As of September 30, 2024, the effect of a hypothetical 1.00% (100 basis point) change in interest rates would have changed the fair value of our marketable debt securities by $1.6 million. Such change would only be realized if we sold the marketable debt securities prior to maturity.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75"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goods and services. We believe that inflation has had some effect on our financial results during the periods presented. If we experience continued or future inflationary pressure, it may impact the costs of our operations as well as the costs to manufacture, sell and distribute our products and provide our services in the future. We may not be able to fully offset those increased costs through reduced spending or price increases to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2" w:name="page33"/>
    <w:bookmarkEnd w:id="3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firstLine="324"/>
        <w:spacing w:after="0" w:line="219" w:lineRule="exact"/>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 benefit relationship of possible controls and procedures. Based on this evaluation, our Chief Executive Officer and Chief Financial Officer concluded that our disclosure controls and procedures were effective at the reasonable assurance level as of September 30, 2024.</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September 30, 2024 that has materially affected, or is reasonably likely to materially affect, our internal control over financial reporting.</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the Effectiveness of Controls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3" w:name="page34"/>
    <w:bookmarkEnd w:id="33"/>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District Court Proceedings</w:t>
      </w:r>
    </w:p>
    <w:p>
      <w:pPr>
        <w:spacing w:after="0" w:line="17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December 14, 2023, we filed suit in the United States District Court for the Northern District of California (the “Court”) against Somalogic, Inc. (Somalogic) which recently merged with and is now part of “Standard Biotools, Inc.,” and the California Institute of Technology. This suit sought declaratory judgment that Nautilus does not infringe any claims of US Patent No. 7,842,793 related to DNA origami structures (the ‘793 Patent), which Somalogic had allegedly licensed from the California Institute of Technology through its purchase of Palamedrix, Inc. On March 29, 2024, Somalogic filed a motion to dismiss the suit. On April 19, 2024, Nautilus filed a First Amended Complaint addressing issues raised in Somalogic’s motion to dismiss. On April 22, 2024, the Court issued an order dismissing Somalogic’s motion to dismiss as moot.The suit is temporarily stayed based upon a request of the parties.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Proceedings</w:t>
      </w:r>
    </w:p>
    <w:p>
      <w:pPr>
        <w:spacing w:after="0" w:line="173"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information about the risks described below, together with the other information contained in this Quarterly Report on Form 10-Q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consider before investing in our company, as more fully described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factors and uncertainties that make investing in our company risky include, among others: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5" w:lineRule="exact"/>
        <w:rPr>
          <w:sz w:val="20"/>
          <w:szCs w:val="20"/>
          <w:color w:val="auto"/>
        </w:rPr>
      </w:pPr>
    </w:p>
    <w:p>
      <w:pPr>
        <w:ind w:right="40" w:firstLine="332"/>
        <w:spacing w:after="0" w:line="282" w:lineRule="auto"/>
        <w:tabs>
          <w:tab w:leader="none" w:pos="6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development stage company that has incurred net losses in every period to date, has not yet commercialized any products, and expects to continue to incur significant losses as we develop our business.</w:t>
      </w:r>
    </w:p>
    <w:p>
      <w:pPr>
        <w:spacing w:after="0" w:line="107" w:lineRule="exact"/>
        <w:rPr>
          <w:rFonts w:ascii="Times New Roman" w:cs="Times New Roman" w:eastAsia="Times New Roman" w:hAnsi="Times New Roman"/>
          <w:sz w:val="18"/>
          <w:szCs w:val="18"/>
          <w:color w:val="auto"/>
        </w:rPr>
      </w:pPr>
    </w:p>
    <w:p>
      <w:pPr>
        <w:ind w:right="240" w:firstLine="332"/>
        <w:spacing w:after="0" w:line="282" w:lineRule="auto"/>
        <w:tabs>
          <w:tab w:leader="none" w:pos="6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entirely dependent on the successful development and commercialization of our proteomics platform (the “Nautilus platform”), which remains in the development stage and could be subject to delays, technical challenges and market acceptance challenges.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compete successfully with our initial or future products in the highly competitive life sciences technology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third parties for certain aspects of the development and commercialization of the Nautilus platform.</w:t>
      </w:r>
    </w:p>
    <w:p>
      <w:pPr>
        <w:spacing w:after="0" w:line="171" w:lineRule="exact"/>
        <w:rPr>
          <w:rFonts w:ascii="Times New Roman" w:cs="Times New Roman" w:eastAsia="Times New Roman" w:hAnsi="Times New Roman"/>
          <w:sz w:val="18"/>
          <w:szCs w:val="18"/>
          <w:color w:val="auto"/>
        </w:rPr>
      </w:pPr>
    </w:p>
    <w:p>
      <w:pPr>
        <w:ind w:right="160" w:firstLine="332"/>
        <w:spacing w:after="0" w:line="282" w:lineRule="auto"/>
        <w:tabs>
          <w:tab w:leader="none" w:pos="6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 w:name="page35"/>
    <w:bookmarkEnd w:id="34"/>
    <w:p>
      <w:pPr>
        <w:spacing w:after="0" w:line="140" w:lineRule="exact"/>
        <w:rPr>
          <w:sz w:val="20"/>
          <w:szCs w:val="20"/>
          <w:color w:val="auto"/>
        </w:rPr>
      </w:pPr>
    </w:p>
    <w:p>
      <w:pPr>
        <w:ind w:left="-40" w:right="880" w:firstLine="332"/>
        <w:spacing w:after="0" w:line="282" w:lineRule="auto"/>
        <w:tabs>
          <w:tab w:leader="none" w:pos="6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launch our Nautilus platform successfully and even if it is successful, we may experience material delays in our commercialization program relative to current expectations.</w:t>
      </w:r>
    </w:p>
    <w:p>
      <w:pPr>
        <w:spacing w:after="0" w:line="107" w:lineRule="exact"/>
        <w:rPr>
          <w:rFonts w:ascii="Times New Roman" w:cs="Times New Roman" w:eastAsia="Times New Roman" w:hAnsi="Times New Roman"/>
          <w:sz w:val="18"/>
          <w:szCs w:val="18"/>
          <w:color w:val="auto"/>
        </w:rPr>
      </w:pPr>
    </w:p>
    <w:p>
      <w:pPr>
        <w:ind w:left="-40" w:right="280" w:firstLine="332"/>
        <w:spacing w:after="0" w:line="282" w:lineRule="auto"/>
        <w:tabs>
          <w:tab w:leader="none" w:pos="6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in the future, which makes our future operating results difficult to predict and could cause our operating results to fall below expectations or our guidance.</w:t>
      </w:r>
    </w:p>
    <w:p>
      <w:pPr>
        <w:spacing w:after="0" w:line="107"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fund our development and commercialization plans.</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5" w:lineRule="exact"/>
        <w:rPr>
          <w:sz w:val="20"/>
          <w:szCs w:val="20"/>
          <w:color w:val="auto"/>
        </w:rPr>
      </w:pPr>
    </w:p>
    <w:p>
      <w:pPr>
        <w:ind w:left="-40" w:right="500" w:firstLine="332"/>
        <w:spacing w:after="0" w:line="282" w:lineRule="auto"/>
        <w:tabs>
          <w:tab w:leader="none" w:pos="6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107"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and proprietary rights throughout the world.</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Litigation</w:t>
      </w:r>
    </w:p>
    <w:p>
      <w:pPr>
        <w:spacing w:after="0" w:line="175" w:lineRule="exact"/>
        <w:rPr>
          <w:sz w:val="20"/>
          <w:szCs w:val="20"/>
          <w:color w:val="auto"/>
        </w:rPr>
      </w:pPr>
    </w:p>
    <w:p>
      <w:pPr>
        <w:ind w:left="-40" w:right="40" w:firstLine="332"/>
        <w:spacing w:after="0" w:line="282" w:lineRule="auto"/>
        <w:tabs>
          <w:tab w:leader="none" w:pos="6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litigation to enforce or defend our intellectual property rights, or to defend ourselves from claims that we infringe the intellectual property rights of others.</w:t>
      </w:r>
    </w:p>
    <w:p>
      <w:pPr>
        <w:spacing w:after="0" w:line="107"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liability and/or negative publicity for any unknown defects or errors in our products.</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Compliance Matters</w:t>
      </w:r>
    </w:p>
    <w:p>
      <w:pPr>
        <w:spacing w:after="0" w:line="175" w:lineRule="exact"/>
        <w:rPr>
          <w:sz w:val="20"/>
          <w:szCs w:val="20"/>
          <w:color w:val="auto"/>
        </w:rPr>
      </w:pPr>
    </w:p>
    <w:p>
      <w:pPr>
        <w:ind w:left="620" w:hanging="328"/>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in the future, be subject to regulation by the FDA or other regulatory authorities.</w:t>
      </w:r>
    </w:p>
    <w:p>
      <w:pPr>
        <w:spacing w:after="0" w:line="171" w:lineRule="exact"/>
        <w:rPr>
          <w:rFonts w:ascii="Times New Roman" w:cs="Times New Roman" w:eastAsia="Times New Roman" w:hAnsi="Times New Roman"/>
          <w:sz w:val="18"/>
          <w:szCs w:val="18"/>
          <w:color w:val="auto"/>
        </w:rPr>
      </w:pPr>
    </w:p>
    <w:p>
      <w:pPr>
        <w:ind w:left="-40" w:firstLine="332"/>
        <w:spacing w:after="0" w:line="282" w:lineRule="auto"/>
        <w:tabs>
          <w:tab w:leader="none" w:pos="6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subject to, and may in the future become subject to additional, U.S. federal and state laws and regulations, as well as the laws and regulations of other countries, relating to how we collect, store and process personal information.</w:t>
      </w:r>
    </w:p>
    <w:p>
      <w:pPr>
        <w:spacing w:after="0" w:line="107" w:lineRule="exact"/>
        <w:rPr>
          <w:rFonts w:ascii="Times New Roman" w:cs="Times New Roman" w:eastAsia="Times New Roman" w:hAnsi="Times New Roman"/>
          <w:sz w:val="18"/>
          <w:szCs w:val="18"/>
          <w:color w:val="auto"/>
        </w:rPr>
      </w:pPr>
    </w:p>
    <w:p>
      <w:pPr>
        <w:ind w:left="-40" w:right="660" w:firstLine="332"/>
        <w:spacing w:after="0" w:line="282" w:lineRule="auto"/>
        <w:tabs>
          <w:tab w:leader="none" w:pos="6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expansion of our development and commercialization activities outside of the United States, may subject us to an increased risk of inadvertently conducting activities in a manner that violates the U.S. Foreign Corrupt Practices Act and similar laws.</w:t>
      </w:r>
    </w:p>
    <w:p>
      <w:pPr>
        <w:spacing w:after="0" w:line="107" w:lineRule="exact"/>
        <w:rPr>
          <w:rFonts w:ascii="Times New Roman" w:cs="Times New Roman" w:eastAsia="Times New Roman" w:hAnsi="Times New Roman"/>
          <w:sz w:val="18"/>
          <w:szCs w:val="18"/>
          <w:color w:val="auto"/>
        </w:rPr>
      </w:pPr>
    </w:p>
    <w:p>
      <w:pPr>
        <w:ind w:left="-40" w:right="240" w:firstLine="332"/>
        <w:spacing w:after="0" w:line="282" w:lineRule="auto"/>
        <w:tabs>
          <w:tab w:leader="none" w:pos="6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health safety laws, including any failure to comply with such laws, may result in liabilities, expenses and restrictions on our operations.</w:t>
      </w:r>
    </w:p>
    <w:p>
      <w:pPr>
        <w:spacing w:after="0" w:line="107" w:lineRule="exact"/>
        <w:rPr>
          <w:rFonts w:ascii="Times New Roman" w:cs="Times New Roman" w:eastAsia="Times New Roman" w:hAnsi="Times New Roman"/>
          <w:sz w:val="18"/>
          <w:szCs w:val="18"/>
          <w:color w:val="auto"/>
        </w:rPr>
      </w:pPr>
    </w:p>
    <w:p>
      <w:pPr>
        <w:ind w:left="-40" w:right="80" w:firstLine="332"/>
        <w:spacing w:after="0" w:line="282" w:lineRule="auto"/>
        <w:tabs>
          <w:tab w:leader="none" w:pos="6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independent contractors, consultants, commercial partners, distributors and vendors may engage in misconduct or other improper activities, including noncompliance with regulatory standards and requirements.</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75" w:lineRule="exact"/>
        <w:rPr>
          <w:sz w:val="20"/>
          <w:szCs w:val="20"/>
          <w:color w:val="auto"/>
        </w:rPr>
      </w:pPr>
    </w:p>
    <w:p>
      <w:pPr>
        <w:ind w:left="620" w:hanging="328"/>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 significant disruption in our information technology systems or breaches of data security.</w:t>
      </w:r>
    </w:p>
    <w:p>
      <w:pPr>
        <w:spacing w:after="0" w:line="171" w:lineRule="exact"/>
        <w:rPr>
          <w:rFonts w:ascii="Times New Roman" w:cs="Times New Roman" w:eastAsia="Times New Roman" w:hAnsi="Times New Roman"/>
          <w:sz w:val="18"/>
          <w:szCs w:val="18"/>
          <w:color w:val="auto"/>
        </w:rPr>
      </w:pPr>
    </w:p>
    <w:p>
      <w:pPr>
        <w:ind w:left="-40" w:right="420" w:firstLine="332"/>
        <w:spacing w:after="0" w:line="282" w:lineRule="auto"/>
        <w:tabs>
          <w:tab w:leader="none" w:pos="6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unable to recruit and retain key executives and scientists, we may not be able to achieve our goals.</w:t>
      </w:r>
    </w:p>
    <w:p>
      <w:pPr>
        <w:spacing w:after="0" w:line="107" w:lineRule="exact"/>
        <w:rPr>
          <w:rFonts w:ascii="Times New Roman" w:cs="Times New Roman" w:eastAsia="Times New Roman" w:hAnsi="Times New Roman"/>
          <w:sz w:val="18"/>
          <w:szCs w:val="18"/>
          <w:color w:val="auto"/>
        </w:rPr>
      </w:pPr>
    </w:p>
    <w:p>
      <w:pPr>
        <w:ind w:left="-40" w:right="380" w:firstLine="332"/>
        <w:spacing w:after="0" w:line="282" w:lineRule="auto"/>
        <w:tabs>
          <w:tab w:leader="none" w:pos="6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and financial results could be adversely impacted by global and national events, such as the COVID-19 pandemic, conflicts in Eastern Europe and the Middle East, and general economic downturns.</w:t>
      </w:r>
    </w:p>
    <w:p>
      <w:pPr>
        <w:spacing w:after="0" w:line="107"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chain interruptions may negatively impact the development and commercialization of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35" w:name="page36"/>
    <w:bookmarkEnd w:id="35"/>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5" w:lineRule="exact"/>
        <w:rPr>
          <w:sz w:val="20"/>
          <w:szCs w:val="20"/>
          <w:color w:val="auto"/>
        </w:rPr>
      </w:pPr>
    </w:p>
    <w:p>
      <w:pPr>
        <w:ind w:right="40" w:firstLine="332"/>
        <w:spacing w:after="0" w:line="282" w:lineRule="auto"/>
        <w:tabs>
          <w:tab w:leader="none" w:pos="64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and market for our Common Stock may be volatile, which could result in substantial losses for investors and/or an inability to readily trade in our Common Stock.</w:t>
      </w:r>
    </w:p>
    <w:p>
      <w:pPr>
        <w:spacing w:after="0" w:line="107" w:lineRule="exact"/>
        <w:rPr>
          <w:rFonts w:ascii="Times New Roman" w:cs="Times New Roman" w:eastAsia="Times New Roman" w:hAnsi="Times New Roman"/>
          <w:sz w:val="18"/>
          <w:szCs w:val="18"/>
          <w:color w:val="auto"/>
        </w:rPr>
      </w:pPr>
    </w:p>
    <w:p>
      <w:pPr>
        <w:ind w:right="140" w:firstLine="332"/>
        <w:spacing w:after="0" w:line="282" w:lineRule="auto"/>
        <w:tabs>
          <w:tab w:leader="none" w:pos="64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broad discretion over the use of the proceeds to us from our “at the market” equity offering program and may apply the proceeds to uses that do not improve our operating results or the value of your securities.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incur significant increased costs and management resources as a result of operating as a public company.</w:t>
      </w:r>
    </w:p>
    <w:p>
      <w:pPr>
        <w:spacing w:after="0" w:line="171" w:lineRule="exact"/>
        <w:rPr>
          <w:rFonts w:ascii="Times New Roman" w:cs="Times New Roman" w:eastAsia="Times New Roman" w:hAnsi="Times New Roman"/>
          <w:sz w:val="18"/>
          <w:szCs w:val="18"/>
          <w:color w:val="auto"/>
        </w:rPr>
      </w:pPr>
    </w:p>
    <w:p>
      <w:pPr>
        <w:ind w:right="20" w:firstLine="332"/>
        <w:spacing w:after="0" w:line="282" w:lineRule="auto"/>
        <w:tabs>
          <w:tab w:leader="none" w:pos="6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published by analysts, including projections in those reports that differ from our actual results, could adversely affect the price and trading volume of our common shares.</w:t>
      </w:r>
    </w:p>
    <w:p>
      <w:pPr>
        <w:spacing w:after="0" w:line="107" w:lineRule="exact"/>
        <w:rPr>
          <w:rFonts w:ascii="Times New Roman" w:cs="Times New Roman" w:eastAsia="Times New Roman" w:hAnsi="Times New Roman"/>
          <w:sz w:val="18"/>
          <w:szCs w:val="18"/>
          <w:color w:val="auto"/>
        </w:rPr>
      </w:pPr>
    </w:p>
    <w:p>
      <w:pPr>
        <w:ind w:right="160" w:firstLine="332"/>
        <w:spacing w:after="0" w:line="282" w:lineRule="auto"/>
        <w:tabs>
          <w:tab w:leader="none" w:pos="6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and accurately report our financial results and projections as a public company may be impacted by the effectiveness of our internal controls, and our estimates and judgments relating to critical accounting policies.</w:t>
      </w:r>
    </w:p>
    <w:p>
      <w:pPr>
        <w:spacing w:after="0" w:line="10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risk factors are not guarantees that no such conditions exist as of the date of this report and should not be interpreted as an affirmative statement that such risks or conditions have not materialized, in whole or in part.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development stage company that has incurred net losses in every period to date, has not yet commercialized any products, and expects to continue to incur significant losses as we develop our business. We may never achieve profitability.</w:t>
      </w:r>
    </w:p>
    <w:p>
      <w:pPr>
        <w:spacing w:after="0" w:line="10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Nautilus 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$16.4 million and $53.2 million during the three and nine months ended September 30, 2024, respectively and $15.9 million and $46.7 million during the three and nine months ended September 30, 2023, respectively. As of September 30, 2024, we had an accumulated deficit of $255.4 million. These losses and accumulated deficit were primarily due to the substantial investments we made in the scientific and technological development of our Nautilus platform. We expect to incur substantial losses and negative cash flows for the foreseeable future. In addition, as a public company, we will continue to incur significant legal, accounting, and other expenses. These increased expenses will make it harder for us to achieve and sustain future profitability. We may incur significant losses in the future for a number of reasons, many of which are beyond our control, including the other risks described in this Quarterly Report on Form 10-Q.</w:t>
      </w:r>
    </w:p>
    <w:p>
      <w:pPr>
        <w:spacing w:after="0" w:line="134"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spacing w:after="0" w:line="12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future success is entirely dependent on our ability to successfully develop and commercialize our Nautilus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 Nautilus platform, which remains in the development stage and subject to scientific and technical validation. Additionally, in developing our platform technology, we currently rely on co-development partners to assist us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development of certain component technologies in our platform. We have experienced difficulties with some of these partners successfully delivering these component technologies on time and to our specifications, and these partners may not be successful in delivering these component technologies on time, to our specifications, or at all, in the future, which could have an adverse impact on our ability to meet our development timelines, and/or our products’ level of currently anticipated functionality and performance. While our goal is to leverage our Nautilus platform to comprehensively measure the human proteome,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spacing w:after="0" w:line="130"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commercially launched our Nautilus platform. We may not be able to launch our Nautilus platform successfully and even if it is successful, we may experience material delays in our commercialization program relative to current expectations.</w:t>
      </w:r>
    </w:p>
    <w:p>
      <w:pPr>
        <w:spacing w:after="0" w:line="10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anticipate commercializing our Nautilus platform in three phases involving first collaboration with biopharmaceutical companies and key opinion leaders to validate the performance and utility of our product, during which we do not expect to recognize significant revenue, if any; secondly an early access limited release phase in which we expect to recognize limited revenue; and finally a broader commercial launch phase. We are currently in the collaboration phase during which we have entered into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second, early access phase, we expect to work closely with early access customers to demonstrate a unique value proposition for our Nautilus platform. During this phase, we plan to provide early access to our partners with broad-scale and targeted analyses and profiling of samples analyzed in our facility and shared via a cloud platform. We believe there is significant interest in our platform for targeted proteoform analyses. As such, we expect to be working with our initial early access collaborators in this area, and to leverage our learnings from those collaborations for the benefit of both our broad-scale and targeted products and services. We do not anticipate that these activities will result in any material revenue. We expect this second phase to lead into the third phase of launch of our proteome analysis platform in late 2025 and subsequent broad commercialization thereafter. Voice of customer studies have suggested that there is market demand for a proteomics platform with specifications that are initially lower than what we have previously disclosed, for example, around characteristics such as sample input and proteome coverage. Consequently, as we balance our time to market goals with our evolving view of customer requirements, we are refining our initial launch specifications. We believe that subsequent consumable releases will enable our platform to meet or exceed our previously announced product specifications.</w:t>
      </w:r>
    </w:p>
    <w:p>
      <w:pPr>
        <w:spacing w:after="0" w:line="14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spacing w:after="0" w:line="129" w:lineRule="exact"/>
        <w:rPr>
          <w:sz w:val="20"/>
          <w:szCs w:val="20"/>
          <w:color w:val="auto"/>
        </w:rPr>
      </w:pPr>
    </w:p>
    <w:p>
      <w:pPr>
        <w:ind w:right="1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spacing w:after="0" w:line="126"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As noted above, establishing collaborations and partnerships with large pharmaceutical and biotechnology companies and with major research institutions is a material element of our commercialization strategy. While early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7" w:name="page38"/>
    <w:bookmarkEnd w:id="37"/>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collaborations are expected to focus on the assessment and validation of our Nautilus 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Nautilus platform.</w:t>
      </w:r>
    </w:p>
    <w:p>
      <w:pPr>
        <w:spacing w:after="0" w:line="12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spacing w:after="0" w:line="13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Even if we are successful in entering into collaborations, the success of such collaborations will depend heavily on the efforts and activities of our collaborators.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Scientific collaborations of the nature we propose to pursue are subject to numerous risks, including that:</w:t>
      </w:r>
    </w:p>
    <w:p>
      <w:pPr>
        <w:spacing w:after="0" w:line="17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discretion in determining the efforts and resources that they will apply to a specific project;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products or may elect not to continue or renew development or</w:t>
      </w:r>
    </w:p>
    <w:p>
      <w:pPr>
        <w:spacing w:after="0" w:line="27" w:lineRule="exact"/>
        <w:rPr>
          <w:rFonts w:ascii="Times New Roman" w:cs="Times New Roman" w:eastAsia="Times New Roman" w:hAnsi="Times New Roman"/>
          <w:sz w:val="18"/>
          <w:szCs w:val="18"/>
          <w:color w:val="auto"/>
        </w:rPr>
      </w:pPr>
    </w:p>
    <w:p>
      <w:pPr>
        <w:ind w:right="3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27" w:lineRule="exact"/>
        <w:rPr>
          <w:rFonts w:ascii="Times New Roman" w:cs="Times New Roman" w:eastAsia="Times New Roman" w:hAnsi="Times New Roman"/>
          <w:sz w:val="18"/>
          <w:szCs w:val="18"/>
          <w:color w:val="auto"/>
        </w:rPr>
      </w:pPr>
    </w:p>
    <w:p>
      <w:pPr>
        <w:ind w:right="40" w:firstLine="332"/>
        <w:spacing w:after="0" w:line="282" w:lineRule="auto"/>
        <w:tabs>
          <w:tab w:leader="none" w:pos="6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intellectual property covering products that result from our collaboration with them, and in such cases, we would not have the right to develop or commercialize such intellectual property;</w:t>
      </w:r>
    </w:p>
    <w:p>
      <w:pPr>
        <w:spacing w:after="0" w:line="107" w:lineRule="exact"/>
        <w:rPr>
          <w:rFonts w:ascii="Times New Roman" w:cs="Times New Roman" w:eastAsia="Times New Roman" w:hAnsi="Times New Roman"/>
          <w:sz w:val="18"/>
          <w:szCs w:val="18"/>
          <w:color w:val="auto"/>
        </w:rPr>
      </w:pPr>
    </w:p>
    <w:p>
      <w:pPr>
        <w:ind w:right="180" w:firstLine="332"/>
        <w:spacing w:after="0" w:line="282" w:lineRule="auto"/>
        <w:tabs>
          <w:tab w:leader="none" w:pos="6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co-own intellectual property covering products that result from our collaboration with them, and in such cases, we would not have the right to exclude others from developing or commercializing such intellectual property;</w:t>
      </w:r>
    </w:p>
    <w:p>
      <w:pPr>
        <w:spacing w:after="0" w:line="107" w:lineRule="exact"/>
        <w:rPr>
          <w:rFonts w:ascii="Times New Roman" w:cs="Times New Roman" w:eastAsia="Times New Roman" w:hAnsi="Times New Roman"/>
          <w:sz w:val="18"/>
          <w:szCs w:val="18"/>
          <w:color w:val="auto"/>
        </w:rPr>
      </w:pPr>
    </w:p>
    <w:p>
      <w:pPr>
        <w:ind w:right="40" w:firstLine="332"/>
        <w:spacing w:after="0" w:line="282" w:lineRule="auto"/>
        <w:tabs>
          <w:tab w:leader="none" w:pos="6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product candidates that are being developed under the collaboration with us;</w:t>
      </w:r>
    </w:p>
    <w:p>
      <w:pPr>
        <w:spacing w:after="0" w:line="107" w:lineRule="exact"/>
        <w:rPr>
          <w:rFonts w:ascii="Times New Roman" w:cs="Times New Roman" w:eastAsia="Times New Roman" w:hAnsi="Times New Roman"/>
          <w:sz w:val="18"/>
          <w:szCs w:val="18"/>
          <w:color w:val="auto"/>
        </w:rPr>
      </w:pPr>
    </w:p>
    <w:p>
      <w:pPr>
        <w:ind w:firstLine="332"/>
        <w:spacing w:after="0" w:line="282" w:lineRule="auto"/>
        <w:tabs>
          <w:tab w:leader="none" w:pos="6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71" w:lineRule="exact"/>
        <w:rPr>
          <w:rFonts w:ascii="Times New Roman" w:cs="Times New Roman" w:eastAsia="Times New Roman" w:hAnsi="Times New Roman"/>
          <w:sz w:val="18"/>
          <w:szCs w:val="18"/>
          <w:color w:val="auto"/>
        </w:rPr>
      </w:pPr>
    </w:p>
    <w:p>
      <w:pPr>
        <w:ind w:firstLine="332"/>
        <w:spacing w:after="0" w:line="266" w:lineRule="auto"/>
        <w:tabs>
          <w:tab w:leader="none" w:pos="6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21" w:lineRule="exact"/>
        <w:rPr>
          <w:rFonts w:ascii="Times New Roman" w:cs="Times New Roman" w:eastAsia="Times New Roman" w:hAnsi="Times New Roman"/>
          <w:sz w:val="18"/>
          <w:szCs w:val="18"/>
          <w:color w:val="auto"/>
        </w:rPr>
      </w:pPr>
    </w:p>
    <w:p>
      <w:pPr>
        <w:ind w:right="520" w:firstLine="332"/>
        <w:spacing w:after="0" w:line="282" w:lineRule="auto"/>
        <w:tabs>
          <w:tab w:leader="none" w:pos="6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products or that result in costly litigation or arbitration that diverts management attention and resources;</w:t>
      </w:r>
    </w:p>
    <w:p>
      <w:pPr>
        <w:spacing w:after="0" w:line="107" w:lineRule="exact"/>
        <w:rPr>
          <w:rFonts w:ascii="Times New Roman" w:cs="Times New Roman" w:eastAsia="Times New Roman" w:hAnsi="Times New Roman"/>
          <w:sz w:val="18"/>
          <w:szCs w:val="18"/>
          <w:color w:val="auto"/>
        </w:rPr>
      </w:pPr>
    </w:p>
    <w:p>
      <w:pPr>
        <w:ind w:right="80" w:firstLine="332"/>
        <w:spacing w:after="0" w:line="282" w:lineRule="auto"/>
        <w:tabs>
          <w:tab w:leader="none" w:pos="6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in addition to reducing our revenue, may reduce exposure to research and clinical trials that facilitate the collection and incorporation of new information into our platform;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8" w:name="page39"/>
    <w:bookmarkEnd w:id="38"/>
    <w:p>
      <w:pPr>
        <w:spacing w:after="0" w:line="140" w:lineRule="exact"/>
        <w:rPr>
          <w:sz w:val="20"/>
          <w:szCs w:val="20"/>
          <w:color w:val="auto"/>
        </w:rPr>
      </w:pPr>
    </w:p>
    <w:p>
      <w:pPr>
        <w:ind w:right="380" w:firstLine="332"/>
        <w:spacing w:after="0" w:line="282" w:lineRule="auto"/>
        <w:tabs>
          <w:tab w:leader="none" w:pos="6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10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Even if we are able to complete development of our Nautilus platform, we may not achieve or maintain significant commercial market acceptance.</w:t>
      </w:r>
    </w:p>
    <w:p>
      <w:pPr>
        <w:spacing w:after="0" w:line="175"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Even if we are able to complete development of our Nautilus 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platform relative to existing technologies and to validate our Nautilus 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Nautilus platform takes longer than anticipated or does not occur, our business will be materially and adversely affected.</w:t>
      </w:r>
    </w:p>
    <w:p>
      <w:pPr>
        <w:spacing w:after="0" w:line="13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Nautilus platform in peer-reviewed journal publications will 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Specific, material factors that will influence our ability to achieve market acceptance include the following:</w:t>
      </w:r>
    </w:p>
    <w:p>
      <w:pPr>
        <w:spacing w:after="0" w:line="17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marketing and engagement initiatives to increase awareness of the capabilities of our Nautilus platform;</w:t>
      </w:r>
    </w:p>
    <w:p>
      <w:pPr>
        <w:spacing w:after="0" w:line="171" w:lineRule="exact"/>
        <w:rPr>
          <w:rFonts w:ascii="Times New Roman" w:cs="Times New Roman" w:eastAsia="Times New Roman" w:hAnsi="Times New Roman"/>
          <w:sz w:val="18"/>
          <w:szCs w:val="18"/>
          <w:color w:val="auto"/>
        </w:rPr>
      </w:pPr>
    </w:p>
    <w:p>
      <w:pPr>
        <w:ind w:right="220" w:firstLine="332"/>
        <w:spacing w:after="0" w:line="282" w:lineRule="auto"/>
        <w:tabs>
          <w:tab w:leader="none" w:pos="6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Nautilus platform to demonstrate reliable performance in intended use applications, in particular, when the platform is used by customers in their own research;</w:t>
      </w:r>
    </w:p>
    <w:p>
      <w:pPr>
        <w:spacing w:after="0" w:line="107" w:lineRule="exact"/>
        <w:rPr>
          <w:rFonts w:ascii="Times New Roman" w:cs="Times New Roman" w:eastAsia="Times New Roman" w:hAnsi="Times New Roman"/>
          <w:sz w:val="18"/>
          <w:szCs w:val="18"/>
          <w:color w:val="auto"/>
        </w:rPr>
      </w:pPr>
    </w:p>
    <w:p>
      <w:pPr>
        <w:ind w:firstLine="332"/>
        <w:spacing w:after="0" w:line="282" w:lineRule="auto"/>
        <w:tabs>
          <w:tab w:leader="none" w:pos="6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that the functionality and performance of our Nautilus platform relative to alternative products and technologies justifies the substantial anticipated cost of the platform;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prospective customers to adopt new products and workflows;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use of our Nautilus platform and whether it reliably provides significant advantages over alternative products and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40"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our Nautilus platform by biopharmaceutical companies, laboratories, academic institutions and others;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be able to sell our Nautilus platform instruments and consumables;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workflows, and solutions that meet customer requirements;</w:t>
      </w:r>
    </w:p>
    <w:p>
      <w:pPr>
        <w:spacing w:after="0" w:line="171" w:lineRule="exact"/>
        <w:rPr>
          <w:rFonts w:ascii="Times New Roman" w:cs="Times New Roman" w:eastAsia="Times New Roman" w:hAnsi="Times New Roman"/>
          <w:sz w:val="18"/>
          <w:szCs w:val="18"/>
          <w:color w:val="auto"/>
        </w:rPr>
      </w:pPr>
    </w:p>
    <w:p>
      <w:pPr>
        <w:ind w:right="200" w:firstLine="332"/>
        <w:spacing w:after="0" w:line="282" w:lineRule="auto"/>
        <w:tabs>
          <w:tab w:leader="none" w:pos="6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or development and commercialization by competitors of new products or enhancements to existing products with functionality and/or performance similar to our Nautilus platform;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product innovation and commercial growth.</w:t>
      </w:r>
    </w:p>
    <w:p>
      <w:pPr>
        <w:spacing w:after="0" w:line="171"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successful in addressing any of these criteria or any additional criteria that might affect the market acceptance of our products. If we are unsuccessful in achieving and maintaining market acceptance of our Nautilus platform, our business, financial condition and results of operations would be adversely affected.</w:t>
      </w:r>
    </w:p>
    <w:p>
      <w:pPr>
        <w:spacing w:after="0" w:line="118" w:lineRule="exact"/>
        <w:rPr>
          <w:sz w:val="20"/>
          <w:szCs w:val="20"/>
          <w:color w:val="auto"/>
        </w:rPr>
      </w:pPr>
    </w:p>
    <w:p>
      <w:pPr>
        <w:jc w:val="both"/>
        <w:ind w:right="1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spacing w:after="0" w:line="121" w:lineRule="exact"/>
        <w:rPr>
          <w:sz w:val="20"/>
          <w:szCs w:val="20"/>
          <w:color w:val="auto"/>
        </w:rPr>
      </w:pPr>
    </w:p>
    <w:p>
      <w:pPr>
        <w:ind w:right="120" w:firstLine="324"/>
        <w:spacing w:after="0" w:line="252" w:lineRule="auto"/>
        <w:rPr>
          <w:sz w:val="20"/>
          <w:szCs w:val="20"/>
          <w:color w:val="auto"/>
        </w:rPr>
      </w:pPr>
      <w:r>
        <w:rPr>
          <w:rFonts w:ascii="Times New Roman" w:cs="Times New Roman" w:eastAsia="Times New Roman" w:hAnsi="Times New Roman"/>
          <w:sz w:val="18"/>
          <w:szCs w:val="18"/>
          <w:color w:val="auto"/>
        </w:rPr>
        <w:t>In order for us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including our proteome analysis system and related consumables. Among other factors, we will need to develop reliable supply chains for the various components in our platform instruments and consumables to support large-scale commercial production. In connection with our Nautilus platform, we may utilize long lead time instrument system components, such as cameras and lasers, and as a result, it may impact our ability to consistently source such components. Additionally,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instrument components, reagents and antibodies, we may incur costs that are higher than currently expected and that may adversely affect our gross margins and operating results following commercialization. Assuming we complete development of our Nautilus platform,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spacing w:after="0" w:line="137"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 effective commercial organization, including effective distribution channels and sales and marketing functions, we may not be successful in commercializing our Nautilus platform.</w:t>
      </w:r>
    </w:p>
    <w:p>
      <w:pPr>
        <w:spacing w:after="0" w:line="10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only beginning to establish an internal organization focused specifically on the commercialization of our Nautilus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platform. Accordingly, these initiatives will adversely affect our operating expenses prior to us having material off-setting revenue,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develop these functions successfully, we will face a number of additional risks, including:</w:t>
      </w:r>
    </w:p>
    <w:p>
      <w:pPr>
        <w:spacing w:after="0" w:line="171" w:lineRule="exact"/>
        <w:rPr>
          <w:sz w:val="20"/>
          <w:szCs w:val="20"/>
          <w:color w:val="auto"/>
        </w:rPr>
      </w:pPr>
    </w:p>
    <w:p>
      <w:pPr>
        <w:ind w:right="40" w:firstLine="332"/>
        <w:spacing w:after="0" w:line="266"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of establishing a specialized sales, marketing and customer service and support force.</w:t>
      </w:r>
    </w:p>
    <w:p>
      <w:pPr>
        <w:spacing w:after="0" w:line="17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our internal organization, we may seek to enlist one or more third parties to assist with sales, distribution, and customer service and support globally or in certain regions of the world. In certain markets, we could seek to establish 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Nautilus platform may not gain market acceptance, which could materially impact our business and results of operations.</w:t>
      </w:r>
    </w:p>
    <w:p>
      <w:pPr>
        <w:spacing w:after="0" w:line="129"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 of the markets for our Nautilus platform may be smaller than estimated, and new market opportunities may not develop as quickly as we expect, or at all, limiting our ability to successfully sell our products.</w:t>
      </w:r>
    </w:p>
    <w:p>
      <w:pPr>
        <w:spacing w:after="0" w:line="10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market for proteomics technologies and products is evolving, making it difficult to predict with any accuracy the size of the markets for our current and future products, including our Nautilus platform.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Nautilus platform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3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36"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single source suppliers for some of the components and materials used in our Nautilus platform, and the loss of any of these suppliers could harm our business.</w:t>
      </w:r>
    </w:p>
    <w:p>
      <w:pPr>
        <w:spacing w:after="0" w:line="105"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We rely on single source suppliers for certain components and materials used in our Nautilus platform, including our click-reagent modified oligos, glass or silicon that is nano-fabricated into our biochips and high-speed stage used in the instrument. The loss of any of these single source suppliers would require us to expend significant time and effort to locate and qualify an alternative source of supply for these components. Though we do not currently have contracts for third parties to provide manufacturing capabilities for each component of our Nautilus platform for which we expect to employ such third party manufacturers,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spacing w:after="0" w:line="11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also rely, and expect to continue to rely, on third-party manufacturers and, in many cases, single third-party manufacturers for the production of certain reagents and antibodies needed to generate the deep proteomic information at the speed and scale which we expect our Nautilus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life sciences technology market is highly competitive. If we fail to compete effectively, our business and results of operation will suffer.</w:t>
      </w:r>
    </w:p>
    <w:p>
      <w:pPr>
        <w:spacing w:after="0" w:line="17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face significant competition in the life sciences technology market. We currently compete with technology and diagnostic companies that supply components, products, and services to customers engaged in proteomics analysis. These companies include Agilent Technologies; Becton, Dickinson and Company; Bruker Corporation; Danaher; Luminex; Olink Proteomics; Quanterix; Standard Biotools (formerly known as Somalogic); Quantum-Si; and Thermo Fisher Scientific. We also compete with a number of emerging companies that are developing proteomic products and solutions.</w:t>
      </w:r>
    </w:p>
    <w:p>
      <w:pPr>
        <w:spacing w:after="0" w:line="126"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Some of our current competitors are large publicly-traded companies, or are divisions of large publicly-traded companies, and enjoy a number of competitive advantages over us, including:</w:t>
      </w:r>
    </w:p>
    <w:p>
      <w:pPr>
        <w:spacing w:after="0" w:line="108"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and brand recognition;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product lines;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forces and more established distributor networks;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intellectual property portfolios;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established customer bases and relationships;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17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cannot assure investors that our products will compete favorably or that we will be successful in the face of increasing competition from products and technologies introduced by our existing or future competitors or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4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Any failure to compete effectively could materially and adversely affect our business, financial condition and operating results.</w:t>
      </w:r>
    </w:p>
    <w:p>
      <w:pPr>
        <w:spacing w:after="0" w:line="122" w:lineRule="exact"/>
        <w:rPr>
          <w:sz w:val="20"/>
          <w:szCs w:val="20"/>
          <w:color w:val="auto"/>
        </w:rPr>
      </w:pPr>
    </w:p>
    <w:p>
      <w:pPr>
        <w:ind w:right="7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Nautilus platform is commercialized and achieves broad scientific and market acceptance, if we fail to improve it or introduce compelling new products, our revenue and our prospects could be harmed.</w:t>
      </w:r>
    </w:p>
    <w:p>
      <w:pPr>
        <w:spacing w:after="0" w:line="10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life sciences industry is characterized by rapid and significant technological changes, frequent new product introductions and enhancements and evolving industry standards. Even if we are able to commercialize our Nautilus platform and achieve broad scientific and market acceptance, our ability to attract new customers and increase revenue from existing customers will depend in large part on our ability to enhance and improve our Nautilus platform and to introduce compelling new products. The success of any enhancement to our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Nautilus platform that we develop may not be introduced in a timely or cost-effective manner, may contain defects, errors, vulnerabilities or bugs, or may not achieve the market acceptance necessary to generate significant revenue.</w:t>
      </w:r>
    </w:p>
    <w:p>
      <w:pPr>
        <w:spacing w:after="0" w:line="13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spacing w:after="0" w:line="134" w:lineRule="exact"/>
        <w:rPr>
          <w:sz w:val="20"/>
          <w:szCs w:val="20"/>
          <w:color w:val="auto"/>
        </w:rPr>
      </w:pPr>
    </w:p>
    <w:p>
      <w:pPr>
        <w:ind w:right="7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development of certain aspects of the Nautilus platform, and any failure of these third parties to perform their respective obligations in a timely manner or to our specifications could negatively impact our timelines, costs or product performance.</w:t>
      </w:r>
    </w:p>
    <w:p>
      <w:pPr>
        <w:spacing w:after="0" w:line="10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engaged with a number of third party collaborators who assist us in co-development of certain aspects of the Nautilus platform, including, for example, certain affinity reagents and array chip substrates. Our agreements with these third party collaborators include obligations for these third parties to deliver certain aspects of technology to be used in the Nautilus platform in accordance with certain defined timelines, in accordance with defined specifications, and in accordance with certain cost limitations. We have also sought to include redundancy and contingency planning with respect to the efforts of our third party collaborators where practicable. Despite our contractual assurances and contingency planning, it is possible that one or more of our third party collaborators may fail to deliver their respective technologies to us on time or in accordance with our specifications, and such failure could negatively impact the timing of the commercialization of the Nautilus platform, its performance, or its cost.</w:t>
      </w:r>
    </w:p>
    <w:p>
      <w:pPr>
        <w:spacing w:after="0" w:line="131"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will depend significantly on research and development spending by pharmaceutical companies as well as by academic and other research institutions. Any reduction in spending could limit demand for our products and adversely affect our business, results of operations, financial condition and prospects.</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expect that our revenue in the foreseeable future will be derived primarily from sales of our Nautilus 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4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Nautilus platform. These reductions and delays may result from factors that are not within our control, such as:</w:t>
      </w:r>
    </w:p>
    <w:p>
      <w:pPr>
        <w:spacing w:after="0" w:line="13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w:t>
      </w:r>
    </w:p>
    <w:p>
      <w:pPr>
        <w:spacing w:after="0" w:line="171" w:lineRule="exact"/>
        <w:rPr>
          <w:rFonts w:ascii="Times New Roman" w:cs="Times New Roman" w:eastAsia="Times New Roman" w:hAnsi="Times New Roman"/>
          <w:sz w:val="18"/>
          <w:szCs w:val="18"/>
          <w:color w:val="auto"/>
        </w:rPr>
      </w:pPr>
    </w:p>
    <w:p>
      <w:pPr>
        <w:ind w:right="320" w:firstLine="332"/>
        <w:spacing w:after="0" w:line="282" w:lineRule="auto"/>
        <w:tabs>
          <w:tab w:leader="none" w:pos="64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including recessionary effects, inflationary pressures and instability in the global financial markets, including with respect to any future financial institution failures;</w:t>
      </w:r>
    </w:p>
    <w:p>
      <w:pPr>
        <w:spacing w:after="0" w:line="107" w:lineRule="exact"/>
        <w:rPr>
          <w:rFonts w:ascii="Times New Roman" w:cs="Times New Roman" w:eastAsia="Times New Roman" w:hAnsi="Times New Roman"/>
          <w:sz w:val="18"/>
          <w:szCs w:val="18"/>
          <w:color w:val="auto"/>
        </w:rPr>
      </w:pPr>
    </w:p>
    <w:p>
      <w:pPr>
        <w:ind w:right="100" w:firstLine="332"/>
        <w:spacing w:after="0" w:line="282" w:lineRule="auto"/>
        <w:tabs>
          <w:tab w:leader="none" w:pos="64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that provide funding to research institutions and companies, including changes in the amount of funds allocated to different areas of research or changes that have the effect of increasing the length of time of the funding process;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 affecting life science and Ag-Bio companies engaged in research and commercial activities;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 cycles across various geographies and industries;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on companies to consolidate operations and reduce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acquisitions in the life science and Ag-Bio industries;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affecting research and development spending.</w:t>
      </w:r>
    </w:p>
    <w:p>
      <w:pPr>
        <w:spacing w:after="0" w:line="171"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spacing w:after="0" w:line="104"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0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Nautilus platform, specific factors that may result in fluctuations include, without limitation:</w:t>
      </w:r>
    </w:p>
    <w:p>
      <w:pPr>
        <w:spacing w:after="0" w:line="12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and commercialization activities relating to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establish and successfully maintain appropriate collaborations and derive revenue from those collaborations;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economic inflation may have on our costs for manufacturing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or governmental investigations involving us, our industry or both;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commercialize our Nautilus platform on our anticipated timeline.</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40" w:lineRule="exact"/>
        <w:rPr>
          <w:sz w:val="20"/>
          <w:szCs w:val="20"/>
          <w:color w:val="auto"/>
        </w:rPr>
      </w:pPr>
    </w:p>
    <w:p>
      <w:pPr>
        <w:ind w:right="140" w:firstLine="332"/>
        <w:spacing w:after="0" w:line="282" w:lineRule="auto"/>
        <w:tabs>
          <w:tab w:leader="none" w:pos="6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products we are able to commercialize, particularly our Nautilus platform, which may vary significantly from period to period;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adoption of our Nautilus platform in our target markets and our ability to expand into any future target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economic inflation may have on our costs for manufacturing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be able to sell our Nautilus platform;</w:t>
      </w:r>
    </w:p>
    <w:p>
      <w:pPr>
        <w:spacing w:after="0" w:line="171" w:lineRule="exact"/>
        <w:rPr>
          <w:rFonts w:ascii="Times New Roman" w:cs="Times New Roman" w:eastAsia="Times New Roman" w:hAnsi="Times New Roman"/>
          <w:sz w:val="18"/>
          <w:szCs w:val="18"/>
          <w:color w:val="auto"/>
        </w:rPr>
      </w:pPr>
    </w:p>
    <w:p>
      <w:pPr>
        <w:ind w:right="320" w:firstLine="332"/>
        <w:spacing w:after="0" w:line="282" w:lineRule="auto"/>
        <w:tabs>
          <w:tab w:leader="none" w:pos="6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mix of our sales between consumables, instruments and software, or changes in the manufacturing or sales costs related to our products;</w:t>
      </w:r>
    </w:p>
    <w:p>
      <w:pPr>
        <w:spacing w:after="0" w:line="107" w:lineRule="exact"/>
        <w:rPr>
          <w:rFonts w:ascii="Times New Roman" w:cs="Times New Roman" w:eastAsia="Times New Roman" w:hAnsi="Times New Roman"/>
          <w:sz w:val="18"/>
          <w:szCs w:val="18"/>
          <w:color w:val="auto"/>
        </w:rPr>
      </w:pPr>
    </w:p>
    <w:p>
      <w:pPr>
        <w:ind w:right="160" w:firstLine="332"/>
        <w:spacing w:after="0" w:line="282" w:lineRule="auto"/>
        <w:tabs>
          <w:tab w:leader="none" w:pos="6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expenditures that we may incur to develop, commercialize or acquire additional products and technologies or for other purposes, such as the expansion of our facilities;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funding of life sciences research and development or changes that impact budgets and budget cycles;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spending patterns of our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when we recognize any revenue;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service, replacement and warranty costs;</w:t>
      </w:r>
    </w:p>
    <w:p>
      <w:pPr>
        <w:spacing w:after="0" w:line="171" w:lineRule="exact"/>
        <w:rPr>
          <w:rFonts w:ascii="Times New Roman" w:cs="Times New Roman" w:eastAsia="Times New Roman" w:hAnsi="Times New Roman"/>
          <w:sz w:val="18"/>
          <w:szCs w:val="18"/>
          <w:color w:val="auto"/>
        </w:rPr>
      </w:pPr>
    </w:p>
    <w:p>
      <w:pPr>
        <w:jc w:val="both"/>
        <w:ind w:right="200" w:firstLine="332"/>
        <w:spacing w:after="0" w:line="266" w:lineRule="auto"/>
        <w:tabs>
          <w:tab w:leader="none" w:pos="6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the conflicts in Eastern Europe and the Middle East, recent and any potential future financial institution failures, and other national and global events on the economy, investment in life sciences and research industries, our business operations, and resources and operations of our customers, suppliers, and distributors; and</w:t>
      </w:r>
    </w:p>
    <w:p>
      <w:pPr>
        <w:spacing w:after="0" w:line="121" w:lineRule="exact"/>
        <w:rPr>
          <w:rFonts w:ascii="Times New Roman" w:cs="Times New Roman" w:eastAsia="Times New Roman" w:hAnsi="Times New Roman"/>
          <w:sz w:val="18"/>
          <w:szCs w:val="18"/>
          <w:color w:val="auto"/>
        </w:rPr>
      </w:pPr>
    </w:p>
    <w:p>
      <w:pPr>
        <w:ind w:right="360" w:firstLine="332"/>
        <w:spacing w:after="0" w:line="282" w:lineRule="auto"/>
        <w:tabs>
          <w:tab w:leader="none" w:pos="6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industry, economic and market conditions and other factors, including factors unrelated to our operating performance or the operating performance of our competitors.</w:t>
      </w:r>
    </w:p>
    <w:p>
      <w:pPr>
        <w:spacing w:after="0" w:line="108"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2"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spacing w:after="0" w:line="122"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0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We are a life sciences technology company with a limited operating history. We have not completed development of our Nautilus platform or any other products and have not generated any revenue to date. Our operations to date have been limited to developing our Nautilus platform. Our prospects must be considered in light of the uncertainties, risks, expenses, and difficulties frequently encountered by companies in their early stages of operations.</w:t>
      </w:r>
    </w:p>
    <w:p>
      <w:pPr>
        <w:spacing w:after="0" w:line="1"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2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 addition, as a business with a limited operating history, we may encounter unforeseen expenses, difficulties, complications, delays and other known and unknown obstacles. We will eventually need to transition from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development and commercialization plans.</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Based on our current plans, we believe that our available resources and existing cash, cash equivalents and short-term investments, will be sufficient to meet our anticipated cash requirements for at least 12 months from the date of this Quarterly Report on Form 10-Q. If our available resources and existing cash and cash equivalents and short-term investments are insufficient to satisfy our liquidity requirements, including because of the realization of other risks described in this Quarterly Report on Form 10-Q, we may be required to raise additional capital prior to such time through issuances of equity or convertible debt securities, enter into a credit facility or another form of third-party funding or seek other debt financing.</w:t>
      </w:r>
    </w:p>
    <w:p>
      <w:pPr>
        <w:spacing w:after="0" w:line="1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We expect that we will need to raise additional capital in the future to expand our business, to pursue strategic investments, to take advantage of financing or acquisition opportunities or for other reasons, including:</w:t>
      </w:r>
    </w:p>
    <w:p>
      <w:pPr>
        <w:spacing w:after="0" w:line="108"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development and marketing efforts of our Nautilus platform or any other future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sales and marketing and other commercialization efforts to drive market adoption of our Nautilus platform, once commercialized;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technologies into additional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filing, prosecuting, defending and enforcing any patent claims and other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licensing or defending against third party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investing in complementary technologies, businesses or assets;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capital expenditures and general and administrative expenses.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execution of our development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timing of our investment in our sales, marketing, and distribution capabilities;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to our business that affect ongoing operating expenses;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in our business or commercialization strategy;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in our research and development spending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the conflicts in Eastern Europe and the Middle East;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40"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affecting our forecasted level of expenditures and use of cash resources including potential acquisitions.</w:t>
      </w:r>
    </w:p>
    <w:p>
      <w:pPr>
        <w:spacing w:after="0" w:line="17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29" w:lineRule="exact"/>
        <w:rPr>
          <w:sz w:val="20"/>
          <w:szCs w:val="20"/>
          <w:color w:val="auto"/>
        </w:rPr>
      </w:pPr>
    </w:p>
    <w:p>
      <w:pPr>
        <w:ind w:firstLine="324"/>
        <w:spacing w:after="0" w:line="219" w:lineRule="exact"/>
        <w:rPr>
          <w:sz w:val="20"/>
          <w:szCs w:val="20"/>
          <w:color w:val="auto"/>
        </w:rPr>
      </w:pPr>
      <w:r>
        <w:rPr>
          <w:rFonts w:ascii="Times New Roman" w:cs="Times New Roman" w:eastAsia="Times New Roman" w:hAnsi="Times New Roman"/>
          <w:sz w:val="18"/>
          <w:szCs w:val="18"/>
          <w:color w:val="auto"/>
        </w:rPr>
        <w:t>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the conflicts in Eastern Europe and the Middle East, and otherwise. 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49" w:lineRule="exact"/>
        <w:rPr>
          <w:sz w:val="20"/>
          <w:szCs w:val="20"/>
          <w:color w:val="auto"/>
        </w:rPr>
      </w:pPr>
    </w:p>
    <w:p>
      <w:pPr>
        <w:jc w:val="both"/>
        <w:ind w:right="360" w:firstLine="324"/>
        <w:spacing w:after="0" w:line="261" w:lineRule="auto"/>
        <w:rPr>
          <w:sz w:val="20"/>
          <w:szCs w:val="20"/>
          <w:color w:val="auto"/>
        </w:rPr>
      </w:pPr>
      <w:r>
        <w:rPr>
          <w:rFonts w:ascii="Times New Roman" w:cs="Times New Roman" w:eastAsia="Times New Roman" w:hAnsi="Times New Roman"/>
          <w:sz w:val="18"/>
          <w:szCs w:val="18"/>
          <w:color w:val="auto"/>
        </w:rPr>
        <w:t>In addition, actual events involving limited liquidity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the collapse of Silicon Valley Bank and other financial institutions in March 2023 has caused and could continue to cause instability in the global financial markets.</w:t>
      </w:r>
    </w:p>
    <w:p>
      <w:pPr>
        <w:spacing w:after="0" w:line="12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 Credit and banking costs, generally, may also be adversely impacted by these factors, resulting in higher costs for the Company. For example, as part of our efforts to diversify our banking and credit arrangements following the collapse of Silicon Valley Bank, we have incurred higher banking related costs.</w:t>
      </w:r>
    </w:p>
    <w:p>
      <w:pPr>
        <w:spacing w:after="0" w:line="13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1" w:lineRule="exact"/>
        <w:rPr>
          <w:sz w:val="20"/>
          <w:szCs w:val="20"/>
          <w:color w:val="auto"/>
        </w:rPr>
      </w:pPr>
    </w:p>
    <w:p>
      <w:pPr>
        <w:ind w:right="2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 costs related to litigation or other patent proceedings in our attempts to recover or restrict use of our intellectual property.</w:t>
      </w:r>
    </w:p>
    <w:p>
      <w:pPr>
        <w:spacing w:after="0" w:line="17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spacing w:after="0" w:line="12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our business.</w:t>
      </w:r>
    </w:p>
    <w:p>
      <w:pPr>
        <w:spacing w:after="0" w:line="13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39"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05"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08"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Various courts, including the U.S. Supreme Court, have recently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133"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7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spacing w:after="0" w:line="10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4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4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2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30" w:lineRule="exact"/>
        <w:rPr>
          <w:sz w:val="20"/>
          <w:szCs w:val="20"/>
          <w:color w:val="auto"/>
        </w:rPr>
      </w:pPr>
    </w:p>
    <w:p>
      <w:pPr>
        <w:jc w:val="both"/>
        <w:ind w:right="4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21"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140"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10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spacing w:after="0" w:line="133"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In addition, our competitors and others may have patents or may in the future obtain patents and may claim that use of our products infringes these patents. For example, we have received and may from time to time in the future receive letters, notices or “invitations to license” related to the use of intellectual property in our products or services, or may become the subject of claims that our products and business operations infringe or violate the intellectual property rights of others. For example, on December 14, 2023, we filed suit in the United States District Court for the Northern District of California against Somalogic, Inc. (“Somalogic”) which merged with and is now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part of “Standard Biotools, Inc.”, and the California Institute of Technology. This suit sought declaratory judgment that we do not infringe any claims of US Patent No. 7,842,793 related to DNA origami structures (the “‘793 Patent”), which Somalogic had allegedly licensed from the California Institute of Technology through its purchase of Palamedrix, Inc. We took this action in response to Somalogic’s allegations that our proteome analysis platform infringes the claims of the ‘793 Patent. Notwithstanding our belief as to the strength of our claims, litigation generally, and patent litigation in particular, can be unpredictable. If we do not succeed in establishing that our products or services do not infringe the claims of the ‘793 Patent, it could negatively impact our business by imposing royalties on our products or services, requiring significant redevelopment of certain aspects of our products and/or preventing us from making, using or selling our products or services. Even if we were to prevail in this or any future litigation, litigation could also result in substantial costs and diversion of resources and could have a material adverse effect on our business, operating results or financial condition.</w:t>
      </w:r>
    </w:p>
    <w:p>
      <w:pPr>
        <w:spacing w:after="0" w:line="138" w:lineRule="exact"/>
        <w:rPr>
          <w:sz w:val="20"/>
          <w:szCs w:val="20"/>
          <w:color w:val="auto"/>
        </w:rPr>
      </w:pPr>
    </w:p>
    <w:p>
      <w:pPr>
        <w:jc w:val="both"/>
        <w:ind w:right="100" w:firstLine="324"/>
        <w:spacing w:after="0" w:line="272" w:lineRule="auto"/>
        <w:rPr>
          <w:sz w:val="20"/>
          <w:szCs w:val="20"/>
          <w:color w:val="auto"/>
        </w:rPr>
      </w:pPr>
      <w:r>
        <w:rPr>
          <w:rFonts w:ascii="Times New Roman" w:cs="Times New Roman" w:eastAsia="Times New Roman" w:hAnsi="Times New Roman"/>
          <w:sz w:val="17"/>
          <w:szCs w:val="17"/>
          <w:color w:val="auto"/>
        </w:rPr>
        <w:t>As we move into new markets and applications for our products, incumbent participants in such markets may assert their patents and other proprietary rights against us, alleging that our products or services infringe, misappropriate or otherwise violate their intellectual property rights, including patents and trade secrets, as a means of slowing or preventing our entry into such markets, or as a means to extract substantial license and royalty payments from us.</w:t>
      </w:r>
    </w:p>
    <w:p>
      <w:pPr>
        <w:spacing w:after="0" w:line="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defense of these matters can be time consuming, costly to defend in litigation, divert management’s attention and resources, damage our reputation and brand and cause us to incur significant expenses or make substantial payments.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products could be found invalid or unenforceable if challenged.</w:t>
      </w:r>
    </w:p>
    <w:p>
      <w:pPr>
        <w:spacing w:after="0" w:line="175"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 xml:space="preserve">Our owned and any future licensed patents and 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34"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34" w:lineRule="exact"/>
        <w:rPr>
          <w:sz w:val="20"/>
          <w:szCs w:val="20"/>
          <w:color w:val="auto"/>
        </w:rPr>
      </w:pPr>
    </w:p>
    <w:p>
      <w:pPr>
        <w:ind w:right="4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0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rely heavily on trade secrets and confidentiality agreements to protect our unpatented know-how, technology and other proprietary information, including parts of our Nautilus 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40"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2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4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Nautilus 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29"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05"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Nautilus platform for an adequate amount of time.</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200" w:lineRule="exact"/>
        <w:rPr>
          <w:sz w:val="20"/>
          <w:szCs w:val="20"/>
          <w:color w:val="auto"/>
        </w:rPr>
      </w:pPr>
    </w:p>
    <w:p>
      <w:pPr>
        <w:spacing w:after="0" w:line="341" w:lineRule="exact"/>
        <w:rPr>
          <w:sz w:val="20"/>
          <w:szCs w:val="20"/>
          <w:color w:val="auto"/>
        </w:rPr>
      </w:pPr>
    </w:p>
    <w:p>
      <w:pPr>
        <w:jc w:val="both"/>
        <w:ind w:right="1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30" w:lineRule="exact"/>
        <w:rPr>
          <w:sz w:val="20"/>
          <w:szCs w:val="20"/>
          <w:color w:val="auto"/>
        </w:rPr>
      </w:pPr>
    </w:p>
    <w:p>
      <w:pPr>
        <w:ind w:right="9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spacing w:after="0" w:line="10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3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38"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Furthermore, we or any future licensor may in the future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other consultants that are or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in the future.</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may identify third-party technology that we may need to license or acquire in order to develop or commercialize our products or technologies, including our Nautilus 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pacing w:after="0" w:line="13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31"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and failure to comply with the terms of the underlying open source software licenses could impose limitations on our ability to commercialize our products and provide third parties to our proprietary software.</w:t>
      </w:r>
    </w:p>
    <w:p>
      <w:pPr>
        <w:spacing w:after="0" w:line="105"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7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8" w:lineRule="exact"/>
        <w:rPr>
          <w:sz w:val="20"/>
          <w:szCs w:val="20"/>
          <w:color w:val="auto"/>
        </w:rPr>
      </w:pPr>
    </w:p>
    <w:p>
      <w:pPr>
        <w:ind w:right="200" w:firstLine="332"/>
        <w:spacing w:after="0" w:line="282" w:lineRule="auto"/>
        <w:tabs>
          <w:tab w:leader="none" w:pos="6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products and technologies we may develop or may be able to utilize similar technologies that are not covered by the claims of the patents that we own or licenses now or in the future;</w:t>
      </w:r>
    </w:p>
    <w:p>
      <w:pPr>
        <w:spacing w:after="0" w:line="107" w:lineRule="exact"/>
        <w:rPr>
          <w:rFonts w:ascii="Times New Roman" w:cs="Times New Roman" w:eastAsia="Times New Roman" w:hAnsi="Times New Roman"/>
          <w:sz w:val="18"/>
          <w:szCs w:val="18"/>
          <w:color w:val="auto"/>
        </w:rPr>
      </w:pPr>
    </w:p>
    <w:p>
      <w:pPr>
        <w:ind w:right="180" w:firstLine="332"/>
        <w:spacing w:after="0" w:line="282" w:lineRule="auto"/>
        <w:tabs>
          <w:tab w:leader="none" w:pos="6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licensor(s), might not have been the first to make the inventions covered by the issued patent or pending patent application that we license or may own in the future;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licensor(s), might not have been the first to file patent applications covering certain of our or their inventions;</w:t>
      </w:r>
    </w:p>
    <w:p>
      <w:pPr>
        <w:spacing w:after="0" w:line="171" w:lineRule="exact"/>
        <w:rPr>
          <w:rFonts w:ascii="Times New Roman" w:cs="Times New Roman" w:eastAsia="Times New Roman" w:hAnsi="Times New Roman"/>
          <w:sz w:val="18"/>
          <w:szCs w:val="18"/>
          <w:color w:val="auto"/>
        </w:rPr>
      </w:pPr>
    </w:p>
    <w:p>
      <w:pPr>
        <w:ind w:right="100" w:firstLine="332"/>
        <w:spacing w:after="0" w:line="282" w:lineRule="auto"/>
        <w:tabs>
          <w:tab w:leader="none" w:pos="6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license or own in the future will not lead to issued patents;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71" w:lineRule="exact"/>
        <w:rPr>
          <w:rFonts w:ascii="Times New Roman" w:cs="Times New Roman" w:eastAsia="Times New Roman" w:hAnsi="Times New Roman"/>
          <w:sz w:val="18"/>
          <w:szCs w:val="18"/>
          <w:color w:val="auto"/>
        </w:rPr>
      </w:pPr>
    </w:p>
    <w:p>
      <w:pPr>
        <w:ind w:right="200" w:firstLine="332"/>
        <w:spacing w:after="0" w:line="282" w:lineRule="auto"/>
        <w:tabs>
          <w:tab w:leader="none" w:pos="6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71" w:lineRule="exact"/>
        <w:rPr>
          <w:rFonts w:ascii="Times New Roman" w:cs="Times New Roman" w:eastAsia="Times New Roman" w:hAnsi="Times New Roman"/>
          <w:sz w:val="18"/>
          <w:szCs w:val="18"/>
          <w:color w:val="auto"/>
        </w:rPr>
      </w:pPr>
    </w:p>
    <w:p>
      <w:pPr>
        <w:ind w:right="120" w:firstLine="332"/>
        <w:spacing w:after="0" w:line="282" w:lineRule="auto"/>
        <w:tabs>
          <w:tab w:leader="none" w:pos="6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independently derive, use, commercialize, publish or patent such intellectual property.</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Should any of these events occur, they could materially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Litigation</w:t>
      </w:r>
    </w:p>
    <w:p>
      <w:pPr>
        <w:spacing w:after="0" w:line="171"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to enforce or defend our intellectual property rights, or defend ourselves from claims that we infringe the intellectual property rights of others, which litigation could consume significant resources and management time, and in which an adverse result could result in loss of our intellectual property rights, a requirement that we pay significant damages, and could prevent us from selling our products.</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life sciences industry is highly competitive, and companies in this industry routinely engage in litigation and governmental proceedings to enforce and defend the intellectual property rights that they believe they possess. We may become involved in litigation or governmental and/or administrative proceedings to enforce or defend our intellectual property rights. Additionally, we have and may continue to become involved in litigation and/or governmental or administrative proceedings to defend ourselves from claims that our products or services infringe the intellectual property rights of others, or to challenge the claimed intellectual property rights of others where we believe they may not be entitled to such rights. Such litigation and governmental proceedings are inherently unpredictable and costly, and can require significant time and attention of management. In addition to the costs and distraction of litigation, if we are unsuccessful in enforcing our intellectual property rights, or in defending our intellectual property rights from challenges of others, wit could result in our loss of our ability to exclude others from practicing aspects of our technology which could lead to greater competition for our products and services. Additionally, if we are unable to successfully defend ourselves from claims that we infringe the intellectual property rights of others and are unable to develop non-infringing alternative approaches for our products and services, we may be required to pay significant damages and ongoing royalties, or we may be prohibited from selling our products and services. Our success depends upon our ability to successfully enforce and defend our own intellectual property rights, and to defend ourselves from claims that we infringe the intellectual property rights of others.</w:t>
      </w:r>
    </w:p>
    <w:p>
      <w:pPr>
        <w:spacing w:after="0" w:line="132"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have unknown defects or errors, which may give rise to claims against us and adversely affect market adoption of our Nautilus platform.</w:t>
      </w:r>
    </w:p>
    <w:p>
      <w:pPr>
        <w:spacing w:after="0" w:line="10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platform, these risks may increase. We expect to provide warranties that our Nautilus platform will meet performance expectations or be free from defects. The costs incurred in correcting any defects or errors may be substantial and could adversely affect our operating margins.</w:t>
      </w:r>
    </w:p>
    <w:p>
      <w:pPr>
        <w:spacing w:after="0" w:line="12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In manufacturing our Nautilus platform,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our products contain defects, we may experience:</w:t>
      </w:r>
    </w:p>
    <w:p>
      <w:pPr>
        <w:spacing w:after="0" w:line="171"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achieve market acceptance or expansion of our product sales;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 orders and delay in order fulfillment;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our warranty program due to product repair or replacement;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replacements;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new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resources from our manufacturing and research and development departments into our service department;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0" w:lineRule="exact"/>
        <w:rPr>
          <w:sz w:val="20"/>
          <w:szCs w:val="20"/>
          <w:color w:val="auto"/>
        </w:rPr>
      </w:pPr>
    </w:p>
    <w:p>
      <w:pPr>
        <w:ind w:left="340" w:right="80" w:hanging="8"/>
        <w:spacing w:after="0" w:line="435" w:lineRule="auto"/>
        <w:tabs>
          <w:tab w:leader="none" w:pos="6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are sued for product liability, we could face substantial liabilities that exceed our resources.</w:t>
      </w:r>
    </w:p>
    <w:p>
      <w:pPr>
        <w:spacing w:after="0" w:line="175"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Compliance Matters</w:t>
      </w:r>
    </w:p>
    <w:p>
      <w:pPr>
        <w:spacing w:after="0" w:line="171"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12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Regulations (the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The FDA’s new Quality Management System Regulation (“QMSR”), which incorporates by reference certain requirements under ISO 13485, will go into effect on February 2, 2026.</w:t>
      </w:r>
    </w:p>
    <w:p>
      <w:pPr>
        <w:spacing w:after="0" w:line="13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8" w:name="page59"/>
    <w:bookmarkEnd w:id="58"/>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clearance, it may not be for the intended uses we request or that we believe are important or 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3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Following Brexit, medical device products entering the U.K. market will have to comply with the regulatory requirements of the Medicines and Healthcare products Regulatory Agency (the “MHRA”), including the new UK Medical Device Regulations. In July 2023, MHRA updated its guidance to reflect that the government now aims to delay implementation of the core aspects of the regulations to July 2025.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our ability to commercialize our products for diagnostic use outside of the United States.</w:t>
      </w:r>
    </w:p>
    <w:p>
      <w:pPr>
        <w:spacing w:after="0" w:line="136"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12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do not currently expect our Nautilus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While the FDA has traditionally exercised enforcement discretion with LDTs, the FDA could take the view that our sale of our RUO labeled products were made with the knowledge that the products will be used as medical devices, and could therefore subject our products to government regulation, and the regulatory clearance or approval and maintenance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1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26"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FDA has historically exercised enforcement discretion in not enforcing the medical device regulations against laboratories offering LDTs. In May 2024, FDA issued a final rule that amends FDA’s regulations to make explicit that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(“IVDs”) are devices under the Federal Food, Drug, and Cosmetic Act, including when the manufacturer of the IVD is a laboratory, and phases out its enforcement discretion for LDTs. Multiple lawsuits have been filed against FDA, challenging this FDA final rule, including lawsuits filed by the American Clinical Laboratory Association and the Association for Molecular Pathology. Further, in June 2024, the U.S. Supreme Court overruled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FDA’s statutory interpretations, including its decision to regulate LDTs as medical devices. These judicial challenges can lead to uncertainties in the industry. We cannot predict the full impact of the LDT final rule and ongoing litigation against the FDA on us or the industry in general. Any restrictions on LDTs by the FDA, Congress, or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36"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 or approvals from the FDA, fees from regulators, fines, significant settlements or judgments, or exclusion from participation in government contracting, healthcare reimbursement or other government programs, including Medicare and Medicaid, or other restrictions on our operations, any of which could adversely impact our financial results. Any action against us for an alleged or suspected violation by a private party or governmental agency could 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3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5" w:lineRule="exact"/>
        <w:rPr>
          <w:sz w:val="20"/>
          <w:szCs w:val="20"/>
          <w:color w:val="auto"/>
        </w:rPr>
      </w:pPr>
    </w:p>
    <w:p>
      <w:pPr>
        <w:ind w:right="500" w:firstLine="324"/>
        <w:spacing w:after="0" w:line="258" w:lineRule="auto"/>
        <w:rPr>
          <w:sz w:val="20"/>
          <w:szCs w:val="20"/>
          <w:color w:val="auto"/>
        </w:rPr>
      </w:pPr>
      <w:r>
        <w:rPr>
          <w:rFonts w:ascii="Times New Roman" w:cs="Times New Roman" w:eastAsia="Times New Roman" w:hAnsi="Times New Roman"/>
          <w:sz w:val="18"/>
          <w:szCs w:val="18"/>
          <w:color w:val="auto"/>
        </w:rPr>
        <w:t>Even if the FDA does not modify its policy of enforcement discretion, whether due to changes in FDA policy or legislative action, the FDA may disagree with the marketing of our current products in the United States. We may also be required to conduct clinical studies to support our currently marketed products or planned product launches. If we are required to conduct such clinical trials or to obtain regulatory authorization, delays in the commencement of our product launches or our changes to our current marketing strategy could significantly increase our costs and delay our commercialization plans, which could harm our financial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36" w:lineRule="exact"/>
        <w:rPr>
          <w:sz w:val="20"/>
          <w:szCs w:val="20"/>
          <w:color w:val="auto"/>
        </w:rPr>
      </w:pPr>
    </w:p>
    <w:p>
      <w:pPr>
        <w:ind w:right="2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2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38" w:lineRule="exact"/>
        <w:rPr>
          <w:sz w:val="20"/>
          <w:szCs w:val="20"/>
          <w:color w:val="auto"/>
        </w:rPr>
      </w:pPr>
    </w:p>
    <w:p>
      <w:pPr>
        <w:ind w:right="20" w:firstLine="324"/>
        <w:spacing w:after="0" w:line="251" w:lineRule="auto"/>
        <w:rPr>
          <w:sz w:val="20"/>
          <w:szCs w:val="20"/>
          <w:color w:val="auto"/>
        </w:rPr>
      </w:pPr>
      <w:r>
        <w:rPr>
          <w:rFonts w:ascii="Times New Roman" w:cs="Times New Roman" w:eastAsia="Times New Roman" w:hAnsi="Times New Roman"/>
          <w:sz w:val="18"/>
          <w:szCs w:val="18"/>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amended and expanded the CCPA as of January 1, 2023. Although the CCPA includes exemptions for certain clinical trial data, the law may increase our compliance costs and potential liability with respect to other personal information we collect about California customers. It is possible that these consumer, health-related and data protection laws may be interpreted and applied in a manner that is inconsistent with our practices. If so, this could result in government-imposed fines or orders requiring that we change our practices, which could adversely affect our business. In addition to the CCPA, numerous other states’ legislatures are considering or have enacted similar data privacy laws. For example, Virginia, Colorado, Utah and Connecticut have each passed laws similar to but different from the CCPA and CPRA that have taken effect in 2023; Florida, Montana, Oregon and Texas have enacted similar laws that have gone into effect in 2024; Tennessee, Delaware, Iowa, Maryland, Minnesota, New Hampshire, Nebraska, and New Jersey have enacted similar laws that go into effect in 2025; and Indiana and Kentucky have enacted a similar law that will go into effect in 2026. Additionally, certain other state laws govern the privacy and security of health information in certain circumstances, such as Washington’s My Health, My Data Act, which contains a private right of action. These new state laws will require ongoing compliance efforts and investment.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5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Furthermore, regulations promulgated pursuant to the Health Insurance Portability and Accountability Act of 1996 (the “HIPAA”), establish privacy and security standards that limit the use and disclosure of certain individually identifiable health information defined in HIPAA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14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subject to a security incident, or otherwise compromised or disrupted due to various causes, including employee error, malfeasance or other malicious or inadvertent actions. Any such breach, incident, compromise or disruption could compromise our networks and the information stored there could be accessed by unauthorized parties, manipulated, publicly disclosed, lost, stolen, corrupted, made unavailable, or misused or otherwise processed without authorization. Any such access, breach or other loss of information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4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in the process of evaluating compliance needs but do not currently have in place formal policies and procedures related to the storage, collection and processing of information, and have not conducted any internal or external data privacy audits to fully assess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contractual obligations or any other actual or asserted obligations relating to data privacy and security could result in damage to our reputation, as well as claims, demands, proceedings or litigation by governmental agencies or other third parties, including class action privacy litigation in certain jurisdictions, which would subject us to significant fines, sanctions, awards, penalties, judgments and other liabilities, all of which could have a material adverse effect on our business, financial condition, results of operations and prospects.</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and machine learning technologies may result in reputational harm or liability.</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have incorporated and may continue to incorporate additional artificial intelligence and machine learning, or AIML, technologies into our platform, including within our decoding pipelines and otherwise within our business, and these solutions and features are key elements of our technological approach and to our future growth over time. We rely and expect to rely on AIML technologies in our platform, but there can be no assurance that we will realize the desired or anticipated benefits from AIML or any at all. We may also fail to properly implement or utilize AIML technologies. Our competitors, customers, or other third parties may incorporate AIML into their products and services or otherwise within their business more quickly or more successfully than us, which could impair our ability to compete with or serve them effectively, which could adversely affect our results of operations. Additionally, our use of AIML technologies may expose us to additional claims, demands and proceedings by private parties and regulatory authorities and subject us to legal liability as well as brand and reputational harm. For example, if output from AIML technologies or that they assist in producing are or are alleged to be deficient, inaccurate, or biased, or for such output, or such technologies or their development or deployment, including the collection, use, or other processing of data used to train or create such AIML technologies, to alleged to infringe upon or to have misappropriated third-party intellectual property rights or to violate applicable laws, regulations, or other actual or asserted legal obligations to which we are or may become subject, then our business, financial condition, and results of operations may be adversely affected. The legal, regulatory, and policy environments around AIML are evolving rapidly, and we may become subject to new and evolving legal and other obligations. These and other developments may require us to make significant changes to our use of AIML, including by limiting or restricting our use of AIML, and may require us to make significant changes to our policies and practices, which may necessitate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expenditure of significant time, expense, and other resources, AIML also presents emerging ethical issues, and if our use of AIML becomes controversial, we may experience brand or reputational harm.</w:t>
      </w:r>
    </w:p>
    <w:p>
      <w:pPr>
        <w:spacing w:after="0" w:line="104" w:lineRule="exact"/>
        <w:rPr>
          <w:sz w:val="20"/>
          <w:szCs w:val="20"/>
          <w:color w:val="auto"/>
        </w:rPr>
      </w:pPr>
    </w:p>
    <w:p>
      <w:pPr>
        <w:ind w:right="3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commercialize our Nautilus platform outside of the United States, our international business could expose us to business, tax, regulatory, political, operational, financial, and economic risks associated with doing business outside of the United States.</w:t>
      </w:r>
    </w:p>
    <w:p>
      <w:pPr>
        <w:spacing w:after="0" w:line="105" w:lineRule="exact"/>
        <w:rPr>
          <w:sz w:val="20"/>
          <w:szCs w:val="20"/>
          <w:color w:val="auto"/>
        </w:rPr>
      </w:pPr>
    </w:p>
    <w:p>
      <w:pPr>
        <w:ind w:right="60" w:firstLine="324"/>
        <w:spacing w:after="0" w:line="312" w:lineRule="auto"/>
        <w:rPr>
          <w:sz w:val="20"/>
          <w:szCs w:val="20"/>
          <w:color w:val="auto"/>
        </w:rPr>
      </w:pPr>
      <w:r>
        <w:rPr>
          <w:rFonts w:ascii="Times New Roman" w:cs="Times New Roman" w:eastAsia="Times New Roman" w:hAnsi="Times New Roman"/>
          <w:sz w:val="17"/>
          <w:szCs w:val="17"/>
          <w:color w:val="auto"/>
        </w:rPr>
        <w:t>If we commercialize our Nautilus platform outside of the United States, our international business may be adversely affected by changing economic, political and regulatory conditions in foreign countries. Engaging in international business inherently involves a number of difficulties and risks, including:</w:t>
      </w:r>
    </w:p>
    <w:p>
      <w:pPr>
        <w:spacing w:after="0" w:line="86"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existing and changing foreign regulatory requirements and laws;</w:t>
      </w:r>
    </w:p>
    <w:p>
      <w:pPr>
        <w:spacing w:after="0" w:line="171" w:lineRule="exact"/>
        <w:rPr>
          <w:rFonts w:ascii="Times New Roman" w:cs="Times New Roman" w:eastAsia="Times New Roman" w:hAnsi="Times New Roman"/>
          <w:sz w:val="18"/>
          <w:szCs w:val="18"/>
          <w:color w:val="auto"/>
        </w:rPr>
      </w:pPr>
    </w:p>
    <w:p>
      <w:pPr>
        <w:ind w:right="440" w:firstLine="332"/>
        <w:spacing w:after="0" w:line="282" w:lineRule="auto"/>
        <w:tabs>
          <w:tab w:leader="none" w:pos="6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U.S. laws such as the Foreign Corrupt Practices Act, and other U.S. federal laws and regulations established by the office of Foreign Asset Control;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or import restrictions;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longer payment cycles and difficulties in enforcing agreements and collecting receivables through certain foreign legal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w:t>
      </w:r>
    </w:p>
    <w:p>
      <w:pPr>
        <w:spacing w:after="0" w:line="1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171" w:lineRule="exact"/>
        <w:rPr>
          <w:rFonts w:ascii="Times New Roman" w:cs="Times New Roman" w:eastAsia="Times New Roman" w:hAnsi="Times New Roman"/>
          <w:sz w:val="18"/>
          <w:szCs w:val="18"/>
          <w:color w:val="auto"/>
        </w:rPr>
      </w:pPr>
    </w:p>
    <w:p>
      <w:pPr>
        <w:ind w:right="20" w:firstLine="332"/>
        <w:spacing w:after="0" w:line="266" w:lineRule="auto"/>
        <w:tabs>
          <w:tab w:leader="none" w:pos="6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social, economic, and political conditions or in laws, regulations and policies governing foreign trade,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tariffs, customs charges, bureaucratic requirements and other trade barriers;</w:t>
      </w:r>
    </w:p>
    <w:p>
      <w:pPr>
        <w:spacing w:after="0" w:line="171" w:lineRule="exact"/>
        <w:rPr>
          <w:rFonts w:ascii="Times New Roman" w:cs="Times New Roman" w:eastAsia="Times New Roman" w:hAnsi="Times New Roman"/>
          <w:sz w:val="18"/>
          <w:szCs w:val="18"/>
          <w:color w:val="auto"/>
        </w:rPr>
      </w:pPr>
    </w:p>
    <w:p>
      <w:pPr>
        <w:ind w:right="340" w:firstLine="332"/>
        <w:spacing w:after="0" w:line="282" w:lineRule="auto"/>
        <w:tabs>
          <w:tab w:leader="none" w:pos="6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 including compliance with diverse and complex local employment laws and practices;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protecting, maintaining, enforcing or procuring intellectual property rights.</w:t>
      </w:r>
    </w:p>
    <w:p>
      <w:pPr>
        <w:spacing w:after="0" w:line="171"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0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addition, if we commercialize our Nautilus platform outside of the United States, we may rely on distributors for sales of our Nautilus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36" w:lineRule="exact"/>
        <w:rPr>
          <w:sz w:val="20"/>
          <w:szCs w:val="20"/>
          <w:color w:val="auto"/>
        </w:rPr>
      </w:pPr>
    </w:p>
    <w:p>
      <w:pPr>
        <w:ind w:right="1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expand our development and commercialization activities outside of the United States, we will be subject to an increased risk of conducting activities in a manner that violates the U.S. Foreign Corrupt Practices Act and similar laws. If that occurs, we may be subject to civil or criminal penalties and other adverse consequences which could have a material adverse effect on our business, financial condition, results of operations and growth prospects.</w:t>
      </w:r>
    </w:p>
    <w:p>
      <w:pPr>
        <w:spacing w:after="0" w:line="126"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We are subject to the U.S. Foreign Corrupt Practices Act, or the FCPA, and similar anti-corruption laws which generally prohibit companies, their employees, agents, representatives, business partners, and third-party intermediaries from authorizing, offering, or providing, directly or indirectly, improper payments or benefits to recipients in the public or private sector. Specifically,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Bribery Act, which prohibits both domestic and international bribery, as well as bribery across both public and private sectors.</w:t>
      </w:r>
    </w:p>
    <w:p>
      <w:pPr>
        <w:spacing w:after="0" w:line="13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If we choose to establish and expand our commercial operations outside of the United States we will need to comply with non-U.S. regulatory requirements, may need to establish and expand business relationships with various third parties, and we, our employees, agents, representatives, business partners and third-party intermediaries may interact more frequently with foreign officials, including regulatory authorities, and we may be held liable for the corrupt or other illegal activities of these employees, agents, representatives, business partners or third-party intermediaries, even if we do not explicitly authorize such activities. Any interactions with any such parties or individuals where improper payments are provided that are found to be in violation of such laws could result in substantial fines and penalties and could materially harm our business. We cannot assure you that all of our employees, agents, representatives, business partners and third-party intermediaries will not take actions in violation of applicable law for which we may ultimately be held responsible.</w:t>
      </w:r>
    </w:p>
    <w:p>
      <w:pPr>
        <w:spacing w:after="0" w:line="13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 Further, as we increase our international sales and business, our risks under these laws may increase and expanded programs to maintain compliance with such laws may be costly and may not be effective.</w:t>
      </w:r>
    </w:p>
    <w:p>
      <w:pPr>
        <w:spacing w:after="0" w:line="1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Furthermore, any finding of a violation under one country’s laws may increase the likelihood that we will be prosecuted and be found to have violated another country’s laws. If our business practices are alleged to be or are found to be in violation of the FCPA, UK Bribery Act or other similar anti-corruption laws, we may be subject to whistleblower complaints, sanctions, settlements, prosecution, enforcement actions, fines, damages, adverse media coverage, investigations, loss of export privileges, significant civil and criminal penalties, or suspension or debarment from government contracts, all of which could have a material adverse effect on our reputation, financial condition and results of operations. Responding to any investigation or action will likely result in materially significant diversion of management’s attention and resources and significant defense costs and other professional fees.</w:t>
      </w:r>
    </w:p>
    <w:p>
      <w:pPr>
        <w:spacing w:after="0" w:line="129"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0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4" w:name="page65"/>
    <w:bookmarkEnd w:id="64"/>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134"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0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39"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technology could be reduced by legal, social and ethical concerns surrounding the use of genetic information and biological materials.</w:t>
      </w:r>
    </w:p>
    <w:p>
      <w:pPr>
        <w:spacing w:after="0" w:line="10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71" w:lineRule="exact"/>
        <w:rPr>
          <w:sz w:val="20"/>
          <w:szCs w:val="20"/>
          <w:color w:val="auto"/>
        </w:rPr>
      </w:pPr>
    </w:p>
    <w:p>
      <w:pPr>
        <w:ind w:right="5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or breaches of data security, our business could be adversely affected.</w:t>
      </w:r>
    </w:p>
    <w:p>
      <w:pPr>
        <w:spacing w:after="0" w:line="10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rely on information technology systems to keep financial records, facilitate our research and development initiatives, manage our manufacturing operations, maintain quality control, fulfill customer orders, process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data and information, maintain corporate records, communicate with staff and external parties and operate other critical functions. Our information technology systems and those of our vendors and partners are potentially vulnerable to disruption, failure and compromise due to breakdown, malicious intrusion and computer viruses, ransomware or other malicious software, or other disruptive events, including, but not limited to, natural disasters and catastrophes. Like other life sciences technology companies, we have experienced cybersecurity incidents in the past, and we may experience them again in the future. For example, in January 2024, we experienced an incident involving unauthorized access to an employee account. The Company has worked, and continues to work with external cybersecurity experts, in detecting, blocking, containing, remediating, and investigating any cyber security incidents and risks, and in further enhancing our cybersecurity safeguards. This incident did not, and other incidents have not impacted the availability of our systems, materially disrupted our operations, or had any material impact on our financial or operating results. Cybersecurity risks are constantly evolving, and as such, we anticipate additional work and expense in the future as we continue to further enhance our security processes and initiatives to meet the changing landscape of cyber security risks. While cyber insurance may be available for companies, any available insurance for cyber events, may be limited in amount, subject to deductibles, and may not be adequate to cover us for all costs arising from cyber security incidents. Given increasing cyber security risks, cyber insurance may not be available to us in the future, or may not be available on commercially reasonable terms.</w:t>
      </w:r>
    </w:p>
    <w:p>
      <w:pPr>
        <w:spacing w:after="0" w:line="136"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Cyberattacks and other malicious internet-based activity continue to increase and cloud-based platform providers of services have been and are expected to continue to be targeted. Furthermore, there may be a heightened risk of potential cyberattacks by state actors or others since the escalation of the conflicts in Eastern Europe and intensified conflicts in the Middle East. Methods of attacks on information technology systems and attempting or effecting data security breaches and incidents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14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our security measures, or those of our vendors and partners, are compromised due to cybersecurity attacks or security breaches or incidents, including as a result of third-party action, employee or customer error, malfeasance, stolen or fraudulently obtained log-in credentials or otherwise, or if any of these events is perceived to have occurred, our reputation could be damaged, our business and reputation may be harmed, we could become subject to claims, demands and litigation by private parties, and regulatory investigations and other proceedings,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and incidents,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or incidents could lead to the loss of trade secrets or other intellectual property, or could lead to the loss, unavailability, exposure, unauthorized modification, alteration or other processing of personal information, including sensitive personal information, of our employees, customers and others, any of which could have a material adverse effect on our business, reputation, financial condition and results of operations.</w:t>
      </w:r>
    </w:p>
    <w:p>
      <w:pPr>
        <w:spacing w:after="0" w:line="13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Furthermore, defending a 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regardless of its merit, could be costly, divert management’s attention and harm our reputation. In addition, although we seek to detect and investigate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actual or perceived cybersecurity incidents and any steps we take to respond to or remediate such incidents, and if securities analysts or investors perceive these announcements to be negative, it could, among other things, have a material adverse effect on the price of our Common Stock.</w:t>
      </w:r>
    </w:p>
    <w:p>
      <w:pPr>
        <w:spacing w:after="0" w:line="13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cost of protecting against, investigating, mitigating and responding to potential breaches of our information technology systems and data security breaches and incidents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anticipated growth effectively.</w:t>
      </w:r>
    </w:p>
    <w:p>
      <w:pPr>
        <w:spacing w:after="0" w:line="17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September 30, 2024, we had 161 employees. To execute our anticipated growth successfully, we must continue to attract and retain qualified personnel and manage and train them effectively. Developing and commercializing our Nautilus platform will require us to hire and retain scientific, sales and marketing, software, manufacturing, customer service, distribution and quality assurance personnel. In addition, we expect that we will need to hire additional accounting, finance and other personnel as a public company. As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w:t>
      </w:r>
    </w:p>
    <w:p>
      <w:pPr>
        <w:spacing w:after="0" w:line="138"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22"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recruit and retain key executives and scientists, we may be unable to achieve our goals.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performance is substantially dependent on the performance of our senior management and key scientific and technical personnel, particularly Sujal Patel, one of our founders and our Chief Executive Officer, and Parag Mallick, one of our founders and our Chief Scientist.</w:t>
      </w:r>
    </w:p>
    <w:p>
      <w:pPr>
        <w:spacing w:after="0" w:line="108"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spacing w:after="0" w:line="12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 As part of our retention and incentive efforts, in addition to salary and cash incentives, we have issued stock options that vest over time. The value to employees of stock options that vest over time may be significantly affected by decreases in our stock price (whether or not related to or proportional to our operating performance) and may at any time be insufficient to counteract more lucrative offers from other companies. We may face challenges in retaining and recruiting such individuals due to sustained declines in our stock price that could reduce the retention value of equity awards.</w:t>
      </w:r>
    </w:p>
    <w:p>
      <w:pPr>
        <w:spacing w:after="0" w:line="131"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0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22" w:lineRule="exact"/>
        <w:rPr>
          <w:sz w:val="20"/>
          <w:szCs w:val="20"/>
          <w:color w:val="auto"/>
        </w:rPr>
      </w:pPr>
    </w:p>
    <w:p>
      <w:pPr>
        <w:ind w:right="1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Unfavorable U.S. or global economic conditions as a result of multiple global events, including the COVID-19 pandemic, the conflicts in Eastern Europe and the Middle East, changing interest rates, instability in the global financial markets, and general economic downturns, could adversely affect our ability to raise capital and our business, results of operations and financial condition.</w:t>
      </w:r>
    </w:p>
    <w:p>
      <w:pPr>
        <w:spacing w:after="0" w:line="12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While the potential economic impact brought by multiple adverse global circumstances, such as the COVID-19 pandemic, conflicts in Eastern Europe and the Middle East, potential uncertainty related to Taiwan and its relationship with China, changing interest rates and general economic downturns, and the collapse of Silicon Valley Bank and other financial institutions in March 2023, and related instability in the global financial markets,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these events have resulted, and in the future may result, in disruptions in our supply chains or the supply chains of those entities providing services or products to us, restrictions in our ability to deploy our workforce in our own facilities, locally, nationally or internationally, restrictions on the operating capacity of the laboratories or research facilities of our customers, decreases in government funding of research and development, or changes to programs that provide funding to research laboratories that may have the impact of redirecting funding to other areas of research, or prolonging or delaying funding cycles, any of which could adversely impact our ability to manufacture and sell our products. Moreover, our results of operations could be adversely affected by general conditions in the global economy and financial markets. A severe or prolonged economic downturn could result in a variety of risks to our business, including weakened demand for our Nautilus platform and our ability to raise additional capital when needed on favorable terms, if at all. A weak or declining economy could strain our customers’ budgets or cause delays in their payments to us. As a result of such events, we or our contractors, partners and/or suppliers could experience shortages, business disruptions or delays for materials sourced or manufactured in countries affected by such events, and their ability to supply us with services or components may be adversely affected. In addition, our contractors and suppliers have raised and may continue to raise prices for goods and services we employ in our research and development efforts and for components or materials used in our Nautilus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40"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September 30, 2024, we had cash, cash equivalents and investments of $221.2 million, consisting of U.S. treasury securities, mutual funds, commercial paper, corporate debt securities, and agency securities. Any default by the U.S. government or credit downgrade of the securities we hold could impact the liquidity or valuation of our investments.</w:t>
      </w:r>
    </w:p>
    <w:p>
      <w:pPr>
        <w:spacing w:after="0" w:line="1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Any of the foregoing could harm our business, financial condition and results of operations, and we cannot anticipate all of the ways in which the current economic climate and financial market conditions could adversely impact our ability to raise capital, business, results of operations and financial condition.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Global supply chain interruptions could adversely affect our ability to develop and commercialize our products</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may be subject to supply chain interruptions. Current or future supply chain interruptions that could be exacerbated by global political tensions, such as the situation in Eastern Europe, increased conflict in the Middle East, uncertainty related to Taiwan and its relationship with China, and resurgent or new global pandemics could negatively impact our ability to further develop our products or to manufacture and deliver our products or services, which could negatively impact our timelines and business results. For example, we have experienced some supply disruptions due to the COVID-19 pandemic, including closures at certain chip manufacturers, which led to extended lead times for certain chips; diversion of certain lab materials needed to support COVID-19 relief efforts; and lower availability of certain reagents, and delays similar to those we experienced during the COVID-19 pandemic could impact us if they recur or are exacerbated due to the situations in Eastern Europe and/or the Middle East.</w:t>
      </w:r>
    </w:p>
    <w:p>
      <w:pPr>
        <w:spacing w:after="0" w:line="13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Further,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130"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facilities become unavailable or inoperable, our research and development program and commercialization launch plan could be adversely impacted and manufacturing of our instruments and consumables could be interrupted.</w:t>
      </w:r>
    </w:p>
    <w:p>
      <w:pPr>
        <w:spacing w:after="0" w:line="10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Seattle, Washington, facility primarily houses our corporate executive team and our software development operations, while our facilities in San Carlos and San Diego, California primarily house our research and development teams.</w:t>
      </w:r>
    </w:p>
    <w:p>
      <w:pPr>
        <w:spacing w:after="0" w:line="10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facilities in Seattle, San Carlos and San Diego are vulnerable to natural disasters, public health crises, including the impact of the COVID-19 pandemic, and other catastrophic events. For example, our San Carlos and San Diego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40"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spacing w:after="0" w:line="12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If our research and development program or planned commercialization program were disrupted by a disaster or catastrophe, the launch of new products, including our Nautilus 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25" w:lineRule="exact"/>
        <w:rPr>
          <w:sz w:val="20"/>
          <w:szCs w:val="20"/>
          <w:color w:val="auto"/>
        </w:rPr>
      </w:pPr>
    </w:p>
    <w:p>
      <w:pPr>
        <w:ind w:right="5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0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research and development processes involve the controlled use of hazardous materials, including select chemicals that may be flammables, toxic or corrosives, as well as potential biohazard materials. We cannot eliminate the risk of accidental contamination or discharge and any resultant injury from these materials. In addition, our Nautilus platform 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never develop or be sustained.</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Prior to the Business Combination, there was no public trading market for Legacy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continue to be volatile, which could result in substantial losses for investors.</w:t>
      </w:r>
    </w:p>
    <w:p>
      <w:pPr>
        <w:spacing w:after="0" w:line="175"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and may continue to be highly volatile and could be subject to wide fluctuations in response to various factors, some of which are beyond our control.</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market price of our Common Stock may fluctuate due to a variety of factors, including:</w:t>
      </w:r>
    </w:p>
    <w:p>
      <w:pPr>
        <w:spacing w:after="0" w:line="171" w:lineRule="exact"/>
        <w:rPr>
          <w:sz w:val="20"/>
          <w:szCs w:val="20"/>
          <w:color w:val="auto"/>
        </w:rPr>
      </w:pPr>
    </w:p>
    <w:p>
      <w:pPr>
        <w:ind w:right="60" w:firstLine="332"/>
        <w:spacing w:after="0" w:line="282" w:lineRule="auto"/>
        <w:tabs>
          <w:tab w:leader="none" w:pos="6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launch and commercialization of our products and degree to which such launch and commercialization meets the expectations of securities analysts and investors;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including fluctuations in our quarterly and annual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being more than anticipated;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discontinuation of any of our product development and research programs;</w:t>
      </w:r>
    </w:p>
    <w:p>
      <w:pPr>
        <w:spacing w:after="0" w:line="171" w:lineRule="exact"/>
        <w:rPr>
          <w:rFonts w:ascii="Times New Roman" w:cs="Times New Roman" w:eastAsia="Times New Roman" w:hAnsi="Times New Roman"/>
          <w:sz w:val="18"/>
          <w:szCs w:val="18"/>
          <w:color w:val="auto"/>
        </w:rPr>
      </w:pPr>
    </w:p>
    <w:p>
      <w:pPr>
        <w:ind w:right="300" w:firstLine="332"/>
        <w:spacing w:after="0" w:line="282" w:lineRule="auto"/>
        <w:tabs>
          <w:tab w:leader="none" w:pos="6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140"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businesses or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new research programs or products of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 involving us, our industry or both;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variations in market conditions in the life sciences technology sector generally, or the proteomics or genomics sectors specifically;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or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and development programs or products;</w:t>
      </w:r>
    </w:p>
    <w:p>
      <w:pPr>
        <w:spacing w:after="0" w:line="171" w:lineRule="exact"/>
        <w:rPr>
          <w:rFonts w:ascii="Times New Roman" w:cs="Times New Roman" w:eastAsia="Times New Roman" w:hAnsi="Times New Roman"/>
          <w:sz w:val="18"/>
          <w:szCs w:val="18"/>
          <w:color w:val="auto"/>
        </w:rPr>
      </w:pPr>
    </w:p>
    <w:p>
      <w:pPr>
        <w:ind w:firstLine="332"/>
        <w:spacing w:after="0" w:line="266" w:lineRule="auto"/>
        <w:tabs>
          <w:tab w:leader="none" w:pos="6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financial results meet the expectations of securities analysts or investors;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expectation of additional financing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by our insiders or other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natural disasters or major catastrophic events.</w:t>
      </w:r>
    </w:p>
    <w:p>
      <w:pPr>
        <w:spacing w:after="0" w:line="17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COVID-19 pandemic.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17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08"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71" w:lineRule="exact"/>
        <w:rPr>
          <w:rFonts w:ascii="Times New Roman" w:cs="Times New Roman" w:eastAsia="Times New Roman" w:hAnsi="Times New Roman"/>
          <w:sz w:val="18"/>
          <w:szCs w:val="18"/>
          <w:color w:val="auto"/>
        </w:rPr>
      </w:pPr>
    </w:p>
    <w:p>
      <w:pPr>
        <w:ind w:right="160" w:firstLine="332"/>
        <w:spacing w:after="0" w:line="282" w:lineRule="auto"/>
        <w:tabs>
          <w:tab w:leader="none" w:pos="6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 and analyst coverage;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1" w:name="page72"/>
    <w:bookmarkEnd w:id="71"/>
    <w:p>
      <w:pPr>
        <w:spacing w:after="0" w:line="140"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67"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Common Stock and will be able to exercise significant influence over matters subject to stockholder approval.</w:t>
      </w:r>
    </w:p>
    <w:p>
      <w:pPr>
        <w:spacing w:after="0" w:line="10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As of September 30, 2024, our directors, executive officers, holders of more than 5% of our outstanding shares of Common Stock and their respective affiliates beneficially owned, collectively, approximately 68.9% of the outstanding shares of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the perception of future sales of a substantial number of shares of our Common Stock could cause the market price of our Common Stock to drop significantly, even if our business is doing well.</w:t>
      </w:r>
    </w:p>
    <w:p>
      <w:pPr>
        <w:spacing w:after="0" w:line="10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08"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Pursuant to the Amended and Restated Registration Rights and Lock-Up Agreement (the “Registration Rights and Lock-Up Agreement”) and the Subscription Agreements entered into in connection with the PIPE Financing, we have filed resale registration statements to provide for the resale of the shares issued in the PIPE Financing and the shares of our Common Stock held by the parties to the Registration Rights and Lock-Up Agreement. The market price of our Common Stock could decline if the holders whose shares are registered under such registration statements sell their shares or are perceived by the market as intending to sell their shares.</w:t>
      </w:r>
    </w:p>
    <w:p>
      <w:pPr>
        <w:spacing w:after="0" w:line="125"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over the use of the proceeds to us from our “at the market” equity offering program and may apply the proceeds to uses that do not improve our operating results or the value of your securities.</w:t>
      </w:r>
    </w:p>
    <w:p>
      <w:pPr>
        <w:spacing w:after="0" w:line="10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will have broad discretion to use the net proceeds to us from our “at the market” equity offering program, and investors will be relying solely on the judgment of our board of directors and management regarding the application of these proceeds. Although we expect to use the net proceeds from our “at the market” equity offering program for general corporate purposes and working capital, including for continued product development of our Nautilus platform other research and development activities, and commercialization of our Nautilus platform, we have not allocated these net proceeds for specific purposes. Investors will not have the opportunity, as part of their investment decision, to assess whether the proceeds are being used appropriately. Our use of the proceeds may not improve our operating results or increase the value of the securities offered pursuant to the “at the market” equity offering program.</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dividends for the foreseeable future. Investors may never obtain a return on their investment.</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only way to realize any return on their investment. As a result, investors seeking cash dividends should not purchase our Common Stock.</w:t>
      </w:r>
    </w:p>
    <w:p>
      <w:pPr>
        <w:spacing w:after="0" w:line="167"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26" w:lineRule="exact"/>
        <w:rPr>
          <w:sz w:val="20"/>
          <w:szCs w:val="20"/>
          <w:color w:val="auto"/>
        </w:rPr>
      </w:pPr>
    </w:p>
    <w:p>
      <w:pPr>
        <w:ind w:right="80" w:firstLine="324"/>
        <w:spacing w:after="0" w:line="270" w:lineRule="auto"/>
        <w:rPr>
          <w:sz w:val="20"/>
          <w:szCs w:val="20"/>
          <w:color w:val="auto"/>
        </w:rPr>
      </w:pPr>
      <w:r>
        <w:rPr>
          <w:rFonts w:ascii="Times New Roman" w:cs="Times New Roman" w:eastAsia="Times New Roman" w:hAnsi="Times New Roman"/>
          <w:sz w:val="17"/>
          <w:szCs w:val="17"/>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 (iii) 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action asserting a claim arising under the Securities Act against any person in connection with any offering of the Company’s securities, including any auditor, underwriter, expert, control person or other defendant.</w:t>
      </w:r>
    </w:p>
    <w:p>
      <w:pPr>
        <w:spacing w:after="0" w:line="12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spacing w:after="0" w:line="1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36"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10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incorporation and bylaws contain provisions that may make the acquisition of our company more difficult, including the following:</w:t>
      </w:r>
    </w:p>
    <w:p>
      <w:pPr>
        <w:spacing w:after="0" w:line="171" w:lineRule="exact"/>
        <w:rPr>
          <w:sz w:val="20"/>
          <w:szCs w:val="20"/>
          <w:color w:val="auto"/>
        </w:rPr>
      </w:pPr>
    </w:p>
    <w:p>
      <w:pPr>
        <w:ind w:right="260" w:firstLine="332"/>
        <w:spacing w:after="0" w:line="282" w:lineRule="auto"/>
        <w:tabs>
          <w:tab w:leader="none" w:pos="6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right="380" w:firstLine="332"/>
        <w:spacing w:after="0" w:line="282" w:lineRule="auto"/>
        <w:tabs>
          <w:tab w:leader="none" w:pos="6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our certificate of incorporation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right="300" w:firstLine="332"/>
        <w:spacing w:after="0" w:line="282" w:lineRule="auto"/>
        <w:tabs>
          <w:tab w:leader="none" w:pos="6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stockholder-proposed amendment to certain provisions of our bylaws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only able to take action at a meeting of stockholders and are not able to take action by written consent for any matter;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are able to be filled only by our board of directors and not by stockholders;</w:t>
      </w:r>
    </w:p>
    <w:p>
      <w:pPr>
        <w:spacing w:after="0" w:line="171" w:lineRule="exact"/>
        <w:rPr>
          <w:rFonts w:ascii="Times New Roman" w:cs="Times New Roman" w:eastAsia="Times New Roman" w:hAnsi="Times New Roman"/>
          <w:sz w:val="18"/>
          <w:szCs w:val="18"/>
          <w:color w:val="auto"/>
        </w:rPr>
      </w:pPr>
    </w:p>
    <w:p>
      <w:pPr>
        <w:ind w:right="320" w:firstLine="332"/>
        <w:spacing w:after="0" w:line="282" w:lineRule="auto"/>
        <w:tabs>
          <w:tab w:leader="none" w:pos="6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 of our board of directors, our chief executive officer, our president or a majority of our board of directors are authorized to call a special meeting of stockholders;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can only be brought in Delaware;</w:t>
      </w:r>
    </w:p>
    <w:p>
      <w:pPr>
        <w:spacing w:after="0" w:line="171" w:lineRule="exact"/>
        <w:rPr>
          <w:rFonts w:ascii="Times New Roman" w:cs="Times New Roman" w:eastAsia="Times New Roman" w:hAnsi="Times New Roman"/>
          <w:sz w:val="18"/>
          <w:szCs w:val="18"/>
          <w:color w:val="auto"/>
        </w:rPr>
      </w:pPr>
    </w:p>
    <w:p>
      <w:pPr>
        <w:ind w:right="140" w:firstLine="332"/>
        <w:spacing w:after="0" w:line="282" w:lineRule="auto"/>
        <w:tabs>
          <w:tab w:leader="none" w:pos="6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authorizes undesignated preferred stock, the terms of which may be established by our Board and shares of which may be issued, without the approval of the holders of our capital stock; and</w:t>
      </w:r>
    </w:p>
    <w:p>
      <w:pPr>
        <w:spacing w:after="0" w:line="107" w:lineRule="exact"/>
        <w:rPr>
          <w:rFonts w:ascii="Times New Roman" w:cs="Times New Roman" w:eastAsia="Times New Roman" w:hAnsi="Times New Roman"/>
          <w:sz w:val="18"/>
          <w:szCs w:val="18"/>
          <w:color w:val="auto"/>
        </w:rPr>
      </w:pPr>
    </w:p>
    <w:p>
      <w:pPr>
        <w:ind w:right="140" w:firstLine="332"/>
        <w:spacing w:after="0" w:line="282" w:lineRule="auto"/>
        <w:tabs>
          <w:tab w:leader="none" w:pos="6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will continue to incur significant increased costs and management resources as a result of operating as a public company.</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continue to bear all of the internal and external costs of preparing and distributing periodic public reports in compliance with our obligations under the securities laws.</w:t>
      </w:r>
    </w:p>
    <w:p>
      <w:pPr>
        <w:spacing w:after="0" w:line="1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4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pacing w:after="0" w:line="118" w:lineRule="exact"/>
        <w:rPr>
          <w:sz w:val="20"/>
          <w:szCs w:val="20"/>
          <w:color w:val="auto"/>
        </w:rPr>
      </w:pPr>
    </w:p>
    <w:p>
      <w:pPr>
        <w:ind w:left="340" w:right="40"/>
        <w:spacing w:after="0" w:line="3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have broad discretion in the use of the net proceeds from the Business Combination and the PIPE Financing and may not use them effectively. </w:t>
      </w:r>
      <w:r>
        <w:rPr>
          <w:rFonts w:ascii="Times New Roman" w:cs="Times New Roman" w:eastAsia="Times New Roman" w:hAnsi="Times New Roman"/>
          <w:sz w:val="17"/>
          <w:szCs w:val="17"/>
          <w:color w:val="auto"/>
        </w:rPr>
        <w:t>We cannot specify with certainty the particular uses of the net proceeds we received from the Business Combination and the PIPE Financing. Our</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and certain other tax attributes to offset future taxable income may be subject to certain limitations.</w:t>
      </w:r>
    </w:p>
    <w:p>
      <w:pPr>
        <w:spacing w:after="0" w:line="17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Our U.S. federal and state net operating loss carryforwards, or NOLs, may be unavailable to offset future taxable income because of restrictions under U.S. federal and/or state law. U.S. federal NOLs that arose in tax years ending on or prior to December 31, 2017, are only permitted to be carried forward for 20 years. U.S. federal NOLs that arose in tax years beginning after December 31, 2017, may be carried forward indefinitely, but for taxable years beginning after December 31, 2020, the deductibility of such U.S. federal NOLs will be limited to 80% of our current year taxable income. State NOLs may be subject to similar or different limitations. As of December 31, 2023, we had U.S. federal NOLs of $71.2 million, of which $70.6 million do not expire, and state NOLs of $95.5 million that will begin to expire in 2037.</w:t>
      </w:r>
    </w:p>
    <w:p>
      <w:pPr>
        <w:spacing w:after="0" w:line="13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Section 382 of the Internal Revenue Code of 1986, as amended, or the Code, may limit the NOLs we may use in any year for U.S. federal income tax purposes in the event of certain changes in our ownership. A Code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Code Section 382 study to determine whether the use of our NOLs is impaired. We may have previously undergone an “ownership change.”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and other tax attributes. Any limitation on using NOLs could, depending on the extent of such limitations and the NOLs previously used, result in our retaining less cash after payment of U.S. federal and state income taxes during any year in which we have taxable income, rather than losses, than we would be entitled to retain if such NOLs were available as an offset against such taxable income for U.S. federal and state income tax reporting purposes, which could adversely impact our operating results.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future business, cash flows, results of operations or financial condition.</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may in the future be subject to the tax laws, regulations, and policies of several taxing jurisdictions. Changes in tax laws, as well as other factors, could cause us to experience fluctuations in our tax obligations and effective tax rates and otherwise adversely affect our tax positions and/or our tax liabilities. For example, many countries and local jurisdictions and organizations such as the Organisation for Economic Co-operation and Development have proposed or implemented new tax laws or changes to existing tax laws, including additional taxes on payroll or employees and a proposed 15% global minimum tax (Pillar 2) that is being adopted by several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1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countries with implementation beginning in 2024. Any new or changes to tax laws could adversely affect our future effective tax rate, operating results, tax credits or incentives or tax payments, which could have a material adverse effect on our future business, cash flows, results of operations or financial condition if we expand internationally. For example, the United States recently enacted the Inflation Reduction Act of 2022, which implements, among other changes, a 1% non-deductible excise tax on certain stock buybacks effective January 1, 2023. Further, on January 1, 2022, a provision of the Tax Cuts and Jobs Act of 2017 went into effect that eliminates the option to deduct research and development costs in the year incurred and instead requires taxpayers to amortize such costs over five years for domestic and 15 years for foreign costs. Such changes, among others, may adversely affect our future effective tax rate, business, cash flows, results of operations and financial condition.</w:t>
      </w:r>
    </w:p>
    <w:p>
      <w:pPr>
        <w:spacing w:after="0" w:line="131"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0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the Sarbanes-Oxley Act of 2002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13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Jumpstart Our Business Startups Act of 2012 (the “JOBS Act”) or a “smaller reporting company,” as such term is defined in Rule 12b-2 under the Securities Exchange Act of 1934, as amended (the “Exchange Act”), we will be required to include an attestation report on internal control over financial reporting issued by our independent registered public accounting firm. However, for as long as we are an “emerging growth company” or a “smaller reporting company,” our independent registered public accounting firm will not be required to attest to the effectiveness of our internal controls over financial reporting pursuant to Section 404(b) of SOX.</w:t>
      </w:r>
    </w:p>
    <w:p>
      <w:pPr>
        <w:spacing w:after="0" w:line="13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independent assessment of the effectiveness of our internal controls could detect problems that our management’s assessment might not identify.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Undetected material weaknesses in our internal controls could lead to financial statement restatements and require us to incur the expense of remediation.</w:t>
      </w:r>
    </w:p>
    <w:p>
      <w:pPr>
        <w:spacing w:after="0" w:line="149"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12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129" w:lineRule="exact"/>
        <w:rPr>
          <w:sz w:val="20"/>
          <w:szCs w:val="20"/>
          <w:color w:val="auto"/>
        </w:rPr>
      </w:pPr>
    </w:p>
    <w:p>
      <w:pPr>
        <w:ind w:right="4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To the extent that we continue to qualify as a “smaller reporting company,” as such term is defined in Rule 12b-2 under the Exchange Act, after we cease to qualify as an emerging growth company, we will continue to be permitted to make certain reduced disclosures in our periodic reports and other documents that we file with the SEC and will not be required to comply with the auditor attestation requirements of Section 404 of SOX.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33"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29"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0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136"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of our environmental, social or governance responsibilities may result in additional costs and risks, and may adversely impact our reputation, employee retention, and willingness of customers and suppliers to do business with us.</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Investor advocacy groups, proxy advisory services, investment funds, institutional investors, stockholders, and customers are increasingly focused on environmental, social, and governance (“ESG”) practices of companies. Additionally, public interest and legislative pressure related to public companies’ ESG practices continues to grow. For example, the SEC recently adopted final rules regarding climate-related disclosures in public companies’ periodic reporting. If our ESG practices fail to meet regulatory requirements or investor or other industry stakeholders' evolving expectations and standards for responsible corporate citizenship in areas including environmental stewardship, support for local communities, board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In addition, ESG reporting and disclosure may result in additional costs and require additional resources as well as additional attention from our board of directors and management. If we fail to adopt ESG standards or practices as quickly as stakeholders desire, report on our ESG efforts or practices accurately, or satisfy the expectations of stakeholders, or comply with applicable regulatory requirements, our reputation, business, financial performance, and growth may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8" w:name="page79"/>
    <w:bookmarkEnd w:id="7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none of our directors or officers, as defined in Rule 16a-1(f), adopted and/or terminated a “Rule 10b5-1 trading arrangement” or a “non-Rule 10b5-1 trading arrangement,” as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1440" w:right="1099" w:bottom="1440" w:gutter="0" w:footer="0" w:header="0"/>
        </w:sectPr>
      </w:pPr>
    </w:p>
    <w:bookmarkStart w:id="79" w:name="page80"/>
    <w:bookmarkEnd w:id="7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560" w:type="dxa"/>
            <w:vAlign w:val="bottom"/>
            <w:gridSpan w:val="9"/>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4"/>
        </w:trPr>
        <w:tc>
          <w:tcPr>
            <w:tcW w:w="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560" w:type="dxa"/>
            <w:vAlign w:val="bottom"/>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0" w:type="dxa"/>
            <w:vAlign w:val="bottom"/>
            <w:gridSpan w:val="2"/>
          </w:tcPr>
          <w:p>
            <w:pPr>
              <w:ind w:left="20"/>
              <w:spacing w:after="0" w:line="175" w:lineRule="exact"/>
              <w:rPr>
                <w:rFonts w:ascii="Times New Roman" w:cs="Times New Roman" w:eastAsia="Times New Roman" w:hAnsi="Times New Roman"/>
                <w:sz w:val="16"/>
                <w:szCs w:val="16"/>
                <w:color w:val="0000FF"/>
                <w:w w:val="89"/>
              </w:rPr>
            </w:pPr>
            <w:hyperlink r:id="rId113">
              <w:r>
                <w:rPr>
                  <w:rFonts w:ascii="Times New Roman" w:cs="Times New Roman" w:eastAsia="Times New Roman" w:hAnsi="Times New Roman"/>
                  <w:sz w:val="16"/>
                  <w:szCs w:val="16"/>
                  <w:color w:val="0000FF"/>
                  <w:w w:val="89"/>
                </w:rPr>
                <w:t>3.</w:t>
              </w:r>
              <w:r>
                <w:rPr>
                  <w:rFonts w:ascii="Times New Roman" w:cs="Times New Roman" w:eastAsia="Times New Roman" w:hAnsi="Times New Roman"/>
                  <w:sz w:val="16"/>
                  <w:szCs w:val="16"/>
                  <w:u w:val="single" w:color="auto"/>
                  <w:color w:val="0000FF"/>
                  <w:w w:val="89"/>
                </w:rPr>
                <w:t>1</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940" w:type="dxa"/>
            <w:vAlign w:val="bottom"/>
            <w:gridSpan w:val="13"/>
          </w:tcPr>
          <w:p>
            <w:pPr>
              <w:spacing w:after="0" w:line="17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Certificate of Incorporation of Nautilus Biotechnology, Inc. (incorporated by reference to Exhibit 3.1 to the Company’s Current Report on</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4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Form 8-K filed with the SEC on June 10, 2021)</w:t>
              </w:r>
            </w:hyperlink>
          </w:p>
        </w:tc>
        <w:tc>
          <w:tcPr>
            <w:tcW w:w="6500" w:type="dxa"/>
            <w:vAlign w:val="bottom"/>
            <w:tcBorders>
              <w:top w:val="single" w:sz="8" w:color="0000FF"/>
            </w:tcBorders>
            <w:gridSpan w:val="10"/>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20" w:type="dxa"/>
            <w:vAlign w:val="bottom"/>
            <w:gridSpan w:val="2"/>
          </w:tcPr>
          <w:p>
            <w:pPr>
              <w:ind w:left="20"/>
              <w:spacing w:after="0"/>
              <w:rPr>
                <w:rFonts w:ascii="Times New Roman" w:cs="Times New Roman" w:eastAsia="Times New Roman" w:hAnsi="Times New Roman"/>
                <w:sz w:val="16"/>
                <w:szCs w:val="16"/>
                <w:color w:val="0000FF"/>
                <w:w w:val="89"/>
              </w:rPr>
            </w:pPr>
            <w:hyperlink r:id="rId114">
              <w:r>
                <w:rPr>
                  <w:rFonts w:ascii="Times New Roman" w:cs="Times New Roman" w:eastAsia="Times New Roman" w:hAnsi="Times New Roman"/>
                  <w:sz w:val="16"/>
                  <w:szCs w:val="16"/>
                  <w:color w:val="0000FF"/>
                  <w:w w:val="89"/>
                </w:rPr>
                <w:t>3.</w:t>
              </w:r>
              <w:r>
                <w:rPr>
                  <w:rFonts w:ascii="Times New Roman" w:cs="Times New Roman" w:eastAsia="Times New Roman" w:hAnsi="Times New Roman"/>
                  <w:sz w:val="16"/>
                  <w:szCs w:val="16"/>
                  <w:u w:val="single" w:color="auto"/>
                  <w:color w:val="0000FF"/>
                  <w:w w:val="89"/>
                </w:rPr>
                <w:t>2</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40" w:type="dxa"/>
            <w:vAlign w:val="bottom"/>
            <w:gridSpan w:val="13"/>
          </w:tcPr>
          <w:p>
            <w:pPr>
              <w:spacing w:after="0" w:line="19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Amended and Restated Bylaws of Nautilus Biotechnology, Inc. (incorporated by reference to Exhibit 3.2 to the Company’s Quarterly</w:t>
              </w:r>
            </w:hyperlink>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top w:val="single" w:sz="8" w:color="0000FF"/>
            </w:tcBorders>
            <w:gridSpan w:val="9"/>
          </w:tcPr>
          <w:p>
            <w:pPr>
              <w:spacing w:after="0" w:line="162"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Report on Form 10-Q filed with the SEC on August 2, 2023)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w:t>
            </w:r>
            <w:r>
              <w:rPr>
                <w:rFonts w:ascii="Times New Roman" w:cs="Times New Roman" w:eastAsia="Times New Roman" w:hAnsi="Times New Roman"/>
                <w:sz w:val="16"/>
                <w:szCs w:val="16"/>
                <w:color w:val="000000"/>
                <w:w w:val="99"/>
              </w:rPr>
              <w:t>*</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Offer Letter between Nautilus Biotechnology, Inc. and Ken Suzuki dated July 5, 2024</w:t>
            </w:r>
          </w:p>
        </w:tc>
        <w:tc>
          <w:tcPr>
            <w:tcW w:w="0" w:type="dxa"/>
            <w:vAlign w:val="bottom"/>
          </w:tcPr>
          <w:p>
            <w:pPr>
              <w:spacing w:after="0"/>
              <w:rPr>
                <w:sz w:val="1"/>
                <w:szCs w:val="1"/>
                <w:color w:val="auto"/>
              </w:rPr>
            </w:pPr>
          </w:p>
        </w:tc>
      </w:tr>
      <w:tr>
        <w:trPr>
          <w:trHeight w:val="27"/>
        </w:trPr>
        <w:tc>
          <w:tcPr>
            <w:tcW w:w="40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3580" w:type="dxa"/>
            <w:vAlign w:val="bottom"/>
            <w:gridSpan w:val="3"/>
            <w:shd w:val="clear" w:color="auto" w:fill="0000FF"/>
          </w:tcPr>
          <w:p>
            <w:pPr>
              <w:spacing w:after="0"/>
              <w:rPr>
                <w:sz w:val="2"/>
                <w:szCs w:val="2"/>
                <w:color w:val="auto"/>
              </w:rPr>
            </w:pPr>
          </w:p>
        </w:tc>
        <w:tc>
          <w:tcPr>
            <w:tcW w:w="1240" w:type="dxa"/>
            <w:vAlign w:val="bottom"/>
            <w:shd w:val="clear" w:color="auto" w:fill="0000FF"/>
          </w:tcPr>
          <w:p>
            <w:pPr>
              <w:spacing w:after="0"/>
              <w:rPr>
                <w:sz w:val="2"/>
                <w:szCs w:val="2"/>
                <w:color w:val="auto"/>
              </w:rPr>
            </w:pPr>
          </w:p>
        </w:tc>
        <w:tc>
          <w:tcPr>
            <w:tcW w:w="2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0" w:type="dxa"/>
            <w:vAlign w:val="bottom"/>
            <w:gridSpan w:val="4"/>
          </w:tcPr>
          <w:p>
            <w:pPr>
              <w:ind w:left="20"/>
              <w:spacing w:after="0" w:line="183" w:lineRule="exact"/>
              <w:rPr>
                <w:sz w:val="20"/>
                <w:szCs w:val="20"/>
                <w:color w:val="auto"/>
              </w:rPr>
            </w:pPr>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w:t>
            </w:r>
            <w:r>
              <w:rPr>
                <w:rFonts w:ascii="Times New Roman" w:cs="Times New Roman" w:eastAsia="Times New Roman" w:hAnsi="Times New Roman"/>
                <w:sz w:val="16"/>
                <w:szCs w:val="16"/>
                <w:color w:val="000000"/>
                <w:w w:val="99"/>
              </w:rPr>
              <w:t>*</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94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Change in Control and Severance Agreement between Nautilus Biotechnology, Inc. and Ken Suzuki dated September 16, 2024</w:t>
            </w:r>
          </w:p>
        </w:tc>
        <w:tc>
          <w:tcPr>
            <w:tcW w:w="0" w:type="dxa"/>
            <w:vAlign w:val="bottom"/>
          </w:tcPr>
          <w:p>
            <w:pPr>
              <w:spacing w:after="0"/>
              <w:rPr>
                <w:sz w:val="1"/>
                <w:szCs w:val="1"/>
                <w:color w:val="auto"/>
              </w:rPr>
            </w:pPr>
          </w:p>
        </w:tc>
      </w:tr>
      <w:tr>
        <w:trPr>
          <w:trHeight w:val="27"/>
        </w:trPr>
        <w:tc>
          <w:tcPr>
            <w:tcW w:w="40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3580" w:type="dxa"/>
            <w:vAlign w:val="bottom"/>
            <w:gridSpan w:val="3"/>
            <w:shd w:val="clear" w:color="auto" w:fill="0000FF"/>
          </w:tcPr>
          <w:p>
            <w:pPr>
              <w:spacing w:after="0"/>
              <w:rPr>
                <w:sz w:val="2"/>
                <w:szCs w:val="2"/>
                <w:color w:val="auto"/>
              </w:rPr>
            </w:pPr>
          </w:p>
        </w:tc>
        <w:tc>
          <w:tcPr>
            <w:tcW w:w="4200" w:type="dxa"/>
            <w:vAlign w:val="bottom"/>
            <w:gridSpan w:val="2"/>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gridSpan w:val="4"/>
          </w:tcPr>
          <w:p>
            <w:pPr>
              <w:ind w:left="20"/>
              <w:spacing w:after="0" w:line="183"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4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11"/>
          </w:tcPr>
          <w:p>
            <w:pPr>
              <w:spacing w:after="0" w:line="162"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580" w:type="dxa"/>
            <w:vAlign w:val="bottom"/>
            <w:tcBorders>
              <w:top w:val="single" w:sz="8" w:color="0000FF"/>
            </w:tcBorders>
            <w:gridSpan w:val="9"/>
          </w:tcPr>
          <w:p>
            <w:pPr>
              <w:spacing w:after="0" w:line="162"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40" w:type="dxa"/>
            <w:vAlign w:val="bottom"/>
            <w:gridSpan w:val="2"/>
          </w:tcPr>
          <w:p>
            <w:pPr>
              <w:spacing w:after="0"/>
              <w:rPr>
                <w:sz w:val="14"/>
                <w:szCs w:val="14"/>
                <w:color w:val="auto"/>
              </w:rPr>
            </w:pPr>
          </w:p>
        </w:tc>
        <w:tc>
          <w:tcPr>
            <w:tcW w:w="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4"/>
                <w:szCs w:val="14"/>
                <w:color w:val="0000FF"/>
              </w:rPr>
              <w:t>†</w:t>
            </w:r>
          </w:p>
        </w:tc>
        <w:tc>
          <w:tcPr>
            <w:tcW w:w="260" w:type="dxa"/>
            <w:vAlign w:val="bottom"/>
          </w:tcPr>
          <w:p>
            <w:pPr>
              <w:spacing w:after="0"/>
              <w:rPr>
                <w:sz w:val="18"/>
                <w:szCs w:val="18"/>
                <w:color w:val="auto"/>
              </w:rPr>
            </w:pPr>
          </w:p>
        </w:tc>
        <w:tc>
          <w:tcPr>
            <w:tcW w:w="99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340" w:type="dxa"/>
            <w:vAlign w:val="bottom"/>
            <w:tcBorders>
              <w:top w:val="single" w:sz="8" w:color="0000FF"/>
              <w:bottom w:val="single" w:sz="8" w:color="0000FF"/>
            </w:tcBorders>
          </w:tcPr>
          <w:p>
            <w:pPr>
              <w:spacing w:after="0" w:line="162"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8260" w:type="dxa"/>
            <w:vAlign w:val="bottom"/>
            <w:tcBorders>
              <w:top w:val="single" w:sz="8" w:color="0000FF"/>
            </w:tcBorders>
            <w:gridSpan w:val="9"/>
          </w:tcPr>
          <w:p>
            <w:pPr>
              <w:spacing w:after="0"/>
              <w:rPr>
                <w:sz w:val="14"/>
                <w:szCs w:val="14"/>
                <w:color w:val="auto"/>
              </w:rPr>
            </w:pPr>
          </w:p>
        </w:tc>
        <w:tc>
          <w:tcPr>
            <w:tcW w:w="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2*</w:t>
            </w:r>
            <w:r>
              <w:rPr>
                <w:rFonts w:ascii="Times New Roman" w:cs="Times New Roman" w:eastAsia="Times New Roman" w:hAnsi="Times New Roman"/>
                <w:sz w:val="14"/>
                <w:szCs w:val="14"/>
                <w:color w:val="0000FF"/>
              </w:rPr>
              <w:t>†</w:t>
            </w:r>
          </w:p>
        </w:tc>
        <w:tc>
          <w:tcPr>
            <w:tcW w:w="260" w:type="dxa"/>
            <w:vAlign w:val="bottom"/>
          </w:tcPr>
          <w:p>
            <w:pPr>
              <w:spacing w:after="0"/>
              <w:rPr>
                <w:sz w:val="18"/>
                <w:szCs w:val="18"/>
                <w:color w:val="auto"/>
              </w:rPr>
            </w:pPr>
          </w:p>
        </w:tc>
        <w:tc>
          <w:tcPr>
            <w:tcW w:w="99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Borders>
              <w:top w:val="single" w:sz="8" w:color="0000FF"/>
              <w:bottom w:val="single" w:sz="8" w:color="0000FF"/>
            </w:tcBorders>
            <w:gridSpan w:val="2"/>
          </w:tcPr>
          <w:p>
            <w:pPr>
              <w:spacing w:after="0" w:line="162"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200" w:type="dxa"/>
            <w:vAlign w:val="bottom"/>
            <w:tcBorders>
              <w:top w:val="single" w:sz="8" w:color="0000FF"/>
            </w:tcBorders>
            <w:gridSpan w:val="6"/>
          </w:tcPr>
          <w:p>
            <w:pPr>
              <w:spacing w:after="0"/>
              <w:rPr>
                <w:sz w:val="14"/>
                <w:szCs w:val="14"/>
                <w:color w:val="auto"/>
              </w:rPr>
            </w:pPr>
          </w:p>
        </w:tc>
        <w:tc>
          <w:tcPr>
            <w:tcW w:w="38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101.INS</w:t>
            </w:r>
          </w:p>
        </w:tc>
        <w:tc>
          <w:tcPr>
            <w:tcW w:w="260" w:type="dxa"/>
            <w:vAlign w:val="bottom"/>
          </w:tcPr>
          <w:p>
            <w:pPr>
              <w:spacing w:after="0"/>
              <w:rPr>
                <w:sz w:val="18"/>
                <w:szCs w:val="18"/>
                <w:color w:val="auto"/>
              </w:rPr>
            </w:pPr>
          </w:p>
        </w:tc>
        <w:tc>
          <w:tcPr>
            <w:tcW w:w="9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101.SCH</w:t>
            </w:r>
          </w:p>
        </w:tc>
        <w:tc>
          <w:tcPr>
            <w:tcW w:w="260" w:type="dxa"/>
            <w:vAlign w:val="bottom"/>
          </w:tcPr>
          <w:p>
            <w:pPr>
              <w:spacing w:after="0"/>
              <w:rPr>
                <w:sz w:val="20"/>
                <w:szCs w:val="20"/>
                <w:color w:val="auto"/>
              </w:rPr>
            </w:pPr>
          </w:p>
        </w:tc>
        <w:tc>
          <w:tcPr>
            <w:tcW w:w="9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101.CAL</w:t>
            </w:r>
          </w:p>
        </w:tc>
        <w:tc>
          <w:tcPr>
            <w:tcW w:w="260" w:type="dxa"/>
            <w:vAlign w:val="bottom"/>
          </w:tcPr>
          <w:p>
            <w:pPr>
              <w:spacing w:after="0"/>
              <w:rPr>
                <w:sz w:val="19"/>
                <w:szCs w:val="19"/>
                <w:color w:val="auto"/>
              </w:rPr>
            </w:pPr>
          </w:p>
        </w:tc>
        <w:tc>
          <w:tcPr>
            <w:tcW w:w="9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101.DEF</w:t>
            </w:r>
          </w:p>
        </w:tc>
        <w:tc>
          <w:tcPr>
            <w:tcW w:w="260" w:type="dxa"/>
            <w:vAlign w:val="bottom"/>
          </w:tcPr>
          <w:p>
            <w:pPr>
              <w:spacing w:after="0"/>
              <w:rPr>
                <w:sz w:val="19"/>
                <w:szCs w:val="19"/>
                <w:color w:val="auto"/>
              </w:rPr>
            </w:pPr>
          </w:p>
        </w:tc>
        <w:tc>
          <w:tcPr>
            <w:tcW w:w="9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101.LAB</w:t>
            </w:r>
          </w:p>
        </w:tc>
        <w:tc>
          <w:tcPr>
            <w:tcW w:w="260" w:type="dxa"/>
            <w:vAlign w:val="bottom"/>
          </w:tcPr>
          <w:p>
            <w:pPr>
              <w:spacing w:after="0"/>
              <w:rPr>
                <w:sz w:val="19"/>
                <w:szCs w:val="19"/>
                <w:color w:val="auto"/>
              </w:rPr>
            </w:pPr>
          </w:p>
        </w:tc>
        <w:tc>
          <w:tcPr>
            <w:tcW w:w="9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101.PRE</w:t>
            </w:r>
          </w:p>
        </w:tc>
        <w:tc>
          <w:tcPr>
            <w:tcW w:w="260" w:type="dxa"/>
            <w:vAlign w:val="bottom"/>
          </w:tcPr>
          <w:p>
            <w:pPr>
              <w:spacing w:after="0"/>
              <w:rPr>
                <w:sz w:val="20"/>
                <w:szCs w:val="20"/>
                <w:color w:val="auto"/>
              </w:rPr>
            </w:pPr>
          </w:p>
        </w:tc>
        <w:tc>
          <w:tcPr>
            <w:tcW w:w="9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220" w:hanging="1194"/>
        <w:spacing w:after="0"/>
        <w:tabs>
          <w:tab w:leader="none" w:pos="12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Cover page Interactive Data File (embedded with the Inline XBRL document)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11" w:lineRule="exact"/>
        <w:rPr>
          <w:sz w:val="20"/>
          <w:szCs w:val="20"/>
          <w:color w:val="auto"/>
        </w:rPr>
      </w:pPr>
    </w:p>
    <w:p>
      <w:pPr>
        <w:ind w:left="340" w:right="20" w:hanging="332"/>
        <w:spacing w:after="0" w:line="272" w:lineRule="auto"/>
        <w:tabs>
          <w:tab w:leader="none" w:pos="124"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32.2 that accompany this Quarterly Report on Form 10-Q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0" w:name="page81"/>
    <w:bookmarkEnd w:id="8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6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tc>
      </w:tr>
      <w:tr>
        <w:trPr>
          <w:trHeight w:val="49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2024</w:t>
            </w:r>
          </w:p>
        </w:tc>
        <w:tc>
          <w:tcPr>
            <w:tcW w:w="76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Sujal Patel</w:t>
            </w:r>
          </w:p>
        </w:tc>
      </w:tr>
      <w:tr>
        <w:trPr>
          <w:trHeight w:val="218"/>
        </w:trPr>
        <w:tc>
          <w:tcPr>
            <w:tcW w:w="35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Sujal Patel</w:t>
            </w:r>
          </w:p>
        </w:tc>
      </w:tr>
      <w:tr>
        <w:trPr>
          <w:trHeight w:val="234"/>
        </w:trPr>
        <w:tc>
          <w:tcPr>
            <w:tcW w:w="3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2024</w:t>
            </w:r>
          </w:p>
        </w:tc>
        <w:tc>
          <w:tcPr>
            <w:tcW w:w="76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Anna Mowry</w:t>
            </w:r>
          </w:p>
        </w:tc>
      </w:tr>
      <w:tr>
        <w:trPr>
          <w:trHeight w:val="218"/>
        </w:trPr>
        <w:tc>
          <w:tcPr>
            <w:tcW w:w="35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Anna Mowry</w:t>
            </w:r>
          </w:p>
        </w:tc>
      </w:tr>
      <w:tr>
        <w:trPr>
          <w:trHeight w:val="234"/>
        </w:trPr>
        <w:tc>
          <w:tcPr>
            <w:tcW w:w="3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440"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July 5, 2024</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Kentaro Suzuki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Via email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 Offer of Employment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Ken:</w:t>
      </w:r>
    </w:p>
    <w:p>
      <w:pPr>
        <w:spacing w:after="0" w:line="21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I am pleased to offer you employment with Nautilus Subsidiary,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we</w:t>
      </w:r>
      <w:r>
        <w:rPr>
          <w:rFonts w:ascii="Times New Roman" w:cs="Times New Roman" w:eastAsia="Times New Roman" w:hAnsi="Times New Roman"/>
          <w:sz w:val="21"/>
          <w:szCs w:val="21"/>
          <w:color w:val="auto"/>
        </w:rPr>
        <w:t>”) in accordance with the terms of this offer letter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xml:space="preserve">”). Nautilus Biotechnology, Inc. </w:t>
      </w:r>
      <w:r>
        <w:rPr>
          <w:rFonts w:ascii="Times New Roman" w:cs="Times New Roman" w:eastAsia="Times New Roman" w:hAnsi="Times New Roman"/>
          <w:sz w:val="21"/>
          <w:szCs w:val="21"/>
          <w:b w:val="1"/>
          <w:bCs w:val="1"/>
          <w:color w:val="auto"/>
        </w:rPr>
        <w:t>(“Nautilus”),</w:t>
      </w:r>
      <w:r>
        <w:rPr>
          <w:rFonts w:ascii="Times New Roman" w:cs="Times New Roman" w:eastAsia="Times New Roman" w:hAnsi="Times New Roman"/>
          <w:sz w:val="21"/>
          <w:szCs w:val="21"/>
          <w:color w:val="auto"/>
        </w:rPr>
        <w:t xml:space="preserve"> the Company, and each of Nautilus’ other subsidiaries are referred to in this Agreement as the </w:t>
      </w:r>
      <w:r>
        <w:rPr>
          <w:rFonts w:ascii="Times New Roman" w:cs="Times New Roman" w:eastAsia="Times New Roman" w:hAnsi="Times New Roman"/>
          <w:sz w:val="21"/>
          <w:szCs w:val="21"/>
          <w:b w:val="1"/>
          <w:bCs w:val="1"/>
          <w:color w:val="auto"/>
        </w:rPr>
        <w:t>“Company Group”.</w:t>
      </w:r>
    </w:p>
    <w:p>
      <w:pPr>
        <w:spacing w:after="0" w:line="165" w:lineRule="exact"/>
        <w:rPr>
          <w:sz w:val="20"/>
          <w:szCs w:val="20"/>
          <w:color w:val="auto"/>
        </w:rPr>
      </w:pPr>
    </w:p>
    <w:p>
      <w:pPr>
        <w:jc w:val="both"/>
        <w:ind w:firstLine="656"/>
        <w:spacing w:after="0" w:line="253" w:lineRule="auto"/>
        <w:tabs>
          <w:tab w:leader="none" w:pos="1289"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Title; Position; Location</w:t>
      </w:r>
      <w:r>
        <w:rPr>
          <w:rFonts w:ascii="Times New Roman" w:cs="Times New Roman" w:eastAsia="Times New Roman" w:hAnsi="Times New Roman"/>
          <w:sz w:val="21"/>
          <w:szCs w:val="21"/>
          <w:color w:val="auto"/>
        </w:rPr>
        <w:t>. You will be employed by the Company and serve as the Company’s and Nautilus’ Chief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Marketing Officer. You will report to the Company’s and Nautilus’ Chief Executive Officer and will perform the duties and responsibilities customary for such position and such other related duties as are reasonably assigned by the Chief Executive Officer. You will perform your duties from the Company’s corporate offices located in San Carlos, California (with the exception of the period during which any shelter-in-place order, quarantine order, or similar work-from-home requirement affecting your ability to work at the Company’s corporate offices remains in effect), subject to customary travel as reasonably required by the Company Group and necessary to perform your job duties.</w:t>
      </w:r>
    </w:p>
    <w:p>
      <w:pPr>
        <w:spacing w:after="0" w:line="175" w:lineRule="exact"/>
        <w:rPr>
          <w:rFonts w:ascii="Times New Roman" w:cs="Times New Roman" w:eastAsia="Times New Roman" w:hAnsi="Times New Roman"/>
          <w:sz w:val="21"/>
          <w:szCs w:val="21"/>
          <w:color w:val="auto"/>
        </w:rPr>
      </w:pPr>
    </w:p>
    <w:p>
      <w:pPr>
        <w:jc w:val="both"/>
        <w:ind w:firstLine="656"/>
        <w:spacing w:after="0" w:line="256" w:lineRule="auto"/>
        <w:tabs>
          <w:tab w:leader="none" w:pos="1289"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Base Salary</w:t>
      </w:r>
      <w:r>
        <w:rPr>
          <w:rFonts w:ascii="Times New Roman" w:cs="Times New Roman" w:eastAsia="Times New Roman" w:hAnsi="Times New Roman"/>
          <w:sz w:val="21"/>
          <w:szCs w:val="21"/>
          <w:color w:val="auto"/>
        </w:rPr>
        <w:t>. Your initial annual base salary will be $420,000, which will be payable, less any applicable withholdings,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accordance with the Company’s normal payroll practices. Your base salary will be subject to review and adjustment from time to time by the Board of Directors of Nautilus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or its Compensation Committee (the “</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as applicable, in its sole discretion.</w:t>
      </w:r>
    </w:p>
    <w:p>
      <w:pPr>
        <w:spacing w:after="0" w:line="184" w:lineRule="exact"/>
        <w:rPr>
          <w:rFonts w:ascii="Times New Roman" w:cs="Times New Roman" w:eastAsia="Times New Roman" w:hAnsi="Times New Roman"/>
          <w:sz w:val="21"/>
          <w:szCs w:val="21"/>
          <w:color w:val="auto"/>
        </w:rPr>
      </w:pPr>
    </w:p>
    <w:p>
      <w:pPr>
        <w:jc w:val="both"/>
        <w:ind w:firstLine="656"/>
        <w:spacing w:after="0" w:line="251" w:lineRule="auto"/>
        <w:tabs>
          <w:tab w:leader="none" w:pos="1289"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Annual Bonus</w:t>
      </w:r>
      <w:r>
        <w:rPr>
          <w:rFonts w:ascii="Times New Roman" w:cs="Times New Roman" w:eastAsia="Times New Roman" w:hAnsi="Times New Roman"/>
          <w:sz w:val="21"/>
          <w:szCs w:val="21"/>
          <w:color w:val="auto"/>
        </w:rPr>
        <w:t>. For the Company’s 2024 fiscal year, you will be eligible for a target annual cash bonus opportunity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equal to forty-five percent (45%) of your annual base salary. Any annual bonus will be subject to performance and other criteria established by the Board or the Committee, as applicable, in its sole discretion, and subject to your continued employment through the date that the bonus is paid to you. Your annual bonus opportunity and the applicable terms and conditions may be adjusted from time to time by the Board or the Committee, as applicable, in its sole discretion, and no amount of any annual bonus is guaranteed. In addition, the Board or the Committee, as applicable and in its sole discretion, may approve that the Company grant additional discretionary bonus amounts to you.</w:t>
      </w:r>
    </w:p>
    <w:p>
      <w:pPr>
        <w:spacing w:after="0" w:line="176" w:lineRule="exact"/>
        <w:rPr>
          <w:rFonts w:ascii="Times New Roman" w:cs="Times New Roman" w:eastAsia="Times New Roman" w:hAnsi="Times New Roman"/>
          <w:sz w:val="21"/>
          <w:szCs w:val="21"/>
          <w:color w:val="auto"/>
        </w:rPr>
      </w:pPr>
    </w:p>
    <w:p>
      <w:pPr>
        <w:jc w:val="both"/>
        <w:ind w:firstLine="656"/>
        <w:spacing w:after="0" w:line="267" w:lineRule="auto"/>
        <w:tabs>
          <w:tab w:leader="none" w:pos="1289"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Signing Bonus. </w:t>
      </w:r>
      <w:r>
        <w:rPr>
          <w:rFonts w:ascii="Times New Roman" w:cs="Times New Roman" w:eastAsia="Times New Roman" w:hAnsi="Times New Roman"/>
          <w:sz w:val="20"/>
          <w:szCs w:val="20"/>
          <w:color w:val="auto"/>
        </w:rPr>
        <w:t>You will receive a cash signing bonus in a single lump sum in the amount of $20,000, less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withholdings, which will be paid in the Company’s first payroll period following the first day of your employment with the Company. In the event that you resign your employment with the Company or your employment with the Company terminates prior to the one-year anniversary of the first day of your employment with the Company, you will be required to repay to the Company within thirty</w:t>
      </w:r>
    </w:p>
    <w:p>
      <w:pPr>
        <w:spacing w:after="0" w:line="1"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of your employment termination date, a prorated</w:t>
      </w:r>
    </w:p>
    <w:p>
      <w:pPr>
        <w:sectPr>
          <w:pgSz w:w="11900" w:h="16838" w:orient="portrait"/>
          <w:cols w:equalWidth="0" w:num="1">
            <w:col w:w="11240"/>
          </w:cols>
          <w:pgMar w:left="320" w:top="114" w:right="339" w:bottom="1440" w:gutter="0" w:footer="0" w:header="0"/>
        </w:sectPr>
      </w:pPr>
    </w:p>
    <w:bookmarkStart w:id="82" w:name="page83"/>
    <w:bookmarkEnd w:id="82"/>
    <w:p>
      <w:pPr>
        <w:spacing w:after="0" w:line="283" w:lineRule="auto"/>
        <w:rPr>
          <w:sz w:val="20"/>
          <w:szCs w:val="20"/>
          <w:color w:val="auto"/>
        </w:rPr>
      </w:pPr>
      <w:r>
        <w:rPr>
          <w:rFonts w:ascii="Times New Roman" w:cs="Times New Roman" w:eastAsia="Times New Roman" w:hAnsi="Times New Roman"/>
          <w:sz w:val="21"/>
          <w:szCs w:val="21"/>
          <w:color w:val="auto"/>
        </w:rPr>
        <w:t>portion of the gross amount of such signing bonus, based on the number of whole months remaining in the twelve (12) month period measured from the first day of your employment with the Company.</w:t>
      </w:r>
    </w:p>
    <w:p>
      <w:pPr>
        <w:spacing w:after="0" w:line="144"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Equity Awards</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firstLine="1304"/>
        <w:spacing w:after="0" w:line="238" w:lineRule="auto"/>
        <w:tabs>
          <w:tab w:leader="none" w:pos="1939"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Stock Options</w:t>
      </w:r>
      <w:r>
        <w:rPr>
          <w:rFonts w:ascii="Times New Roman" w:cs="Times New Roman" w:eastAsia="Times New Roman" w:hAnsi="Times New Roman"/>
          <w:sz w:val="21"/>
          <w:szCs w:val="21"/>
          <w:color w:val="auto"/>
        </w:rPr>
        <w:t>. It will be recommended that, subject to the approval of the Board or Committee, as applicable,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Nautilus grant you an award of stock options (the “</w:t>
      </w:r>
      <w:r>
        <w:rPr>
          <w:rFonts w:ascii="Times New Roman" w:cs="Times New Roman" w:eastAsia="Times New Roman" w:hAnsi="Times New Roman"/>
          <w:sz w:val="21"/>
          <w:szCs w:val="21"/>
          <w:b w:val="1"/>
          <w:bCs w:val="1"/>
          <w:color w:val="auto"/>
        </w:rPr>
        <w:t>Option</w:t>
      </w:r>
      <w:r>
        <w:rPr>
          <w:rFonts w:ascii="Times New Roman" w:cs="Times New Roman" w:eastAsia="Times New Roman" w:hAnsi="Times New Roman"/>
          <w:sz w:val="21"/>
          <w:szCs w:val="21"/>
          <w:color w:val="auto"/>
        </w:rPr>
        <w:t>”) to purchase 375,000 shares of the Nautilus’ common stock (“</w:t>
      </w:r>
      <w:r>
        <w:rPr>
          <w:rFonts w:ascii="Times New Roman" w:cs="Times New Roman" w:eastAsia="Times New Roman" w:hAnsi="Times New Roman"/>
          <w:sz w:val="21"/>
          <w:szCs w:val="21"/>
          <w:b w:val="1"/>
          <w:bCs w:val="1"/>
          <w:color w:val="auto"/>
        </w:rPr>
        <w:t>Shares</w:t>
      </w:r>
      <w:r>
        <w:rPr>
          <w:rFonts w:ascii="Times New Roman" w:cs="Times New Roman" w:eastAsia="Times New Roman" w:hAnsi="Times New Roman"/>
          <w:sz w:val="21"/>
          <w:szCs w:val="21"/>
          <w:color w:val="auto"/>
        </w:rPr>
        <w:t>”) under the Nautilus’ 2021 Equity Incentive Plan (or any successor plan, as applicable)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and an applicable option agreement thereunder, with an exercise price per Share that is no less than the fair market value per Share on the Option’s date of grant, as determined by the Board. It will be recommended that the Option be scheduled to vest and become exercisable as to one-fourth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of the Shares subject to the Option on the one-year anniversary of the vesting commencement date (as will be set forth in your option agreement), and as to one forty eighth (1/48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of the Shares subject to the Option on a monthly basis thereafter on the same day of the month as the vesting commencement date (or the last day of the month, if a particular month does not have a corresponding day), subject to your continued service with the Company Group through the applicable vesting date.</w:t>
      </w:r>
    </w:p>
    <w:p>
      <w:pPr>
        <w:spacing w:after="0" w:line="187" w:lineRule="exact"/>
        <w:rPr>
          <w:rFonts w:ascii="Times New Roman" w:cs="Times New Roman" w:eastAsia="Times New Roman" w:hAnsi="Times New Roman"/>
          <w:sz w:val="21"/>
          <w:szCs w:val="21"/>
          <w:color w:val="auto"/>
        </w:rPr>
      </w:pPr>
    </w:p>
    <w:p>
      <w:pPr>
        <w:jc w:val="both"/>
        <w:ind w:firstLine="656"/>
        <w:spacing w:after="0" w:line="251" w:lineRule="auto"/>
        <w:tabs>
          <w:tab w:leader="none" w:pos="1289"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Employee Benefits</w:t>
      </w:r>
      <w:r>
        <w:rPr>
          <w:rFonts w:ascii="Times New Roman" w:cs="Times New Roman" w:eastAsia="Times New Roman" w:hAnsi="Times New Roman"/>
          <w:sz w:val="21"/>
          <w:szCs w:val="21"/>
          <w:color w:val="auto"/>
        </w:rPr>
        <w:t>. You will be eligible to participate in the benefit plans and programs established by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its employees (or other applicable Company Group member for its and/or its subsidiaries’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Group reserves the right to modify, amend, suspend or terminate the benefit plans, programs, and arrangements it offers to its employees at any time.</w:t>
      </w:r>
    </w:p>
    <w:p>
      <w:pPr>
        <w:spacing w:after="0" w:line="189" w:lineRule="exact"/>
        <w:rPr>
          <w:rFonts w:ascii="Times New Roman" w:cs="Times New Roman" w:eastAsia="Times New Roman" w:hAnsi="Times New Roman"/>
          <w:sz w:val="21"/>
          <w:szCs w:val="21"/>
          <w:color w:val="auto"/>
        </w:rPr>
      </w:pPr>
    </w:p>
    <w:p>
      <w:pPr>
        <w:jc w:val="both"/>
        <w:ind w:right="20" w:firstLine="656"/>
        <w:spacing w:after="0" w:line="256" w:lineRule="auto"/>
        <w:tabs>
          <w:tab w:leader="none" w:pos="1289"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Severance</w:t>
      </w:r>
      <w:r>
        <w:rPr>
          <w:rFonts w:ascii="Times New Roman" w:cs="Times New Roman" w:eastAsia="Times New Roman" w:hAnsi="Times New Roman"/>
          <w:sz w:val="21"/>
          <w:szCs w:val="21"/>
          <w:color w:val="auto"/>
        </w:rPr>
        <w:t>. You will be eligible to participate in the Company’s Change in Control and Severance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established, and as may be in effect from time to time, for senior-level employees that is applicable to you consistent with your position within the Company.</w:t>
      </w:r>
    </w:p>
    <w:p>
      <w:pPr>
        <w:spacing w:after="0" w:line="185" w:lineRule="exact"/>
        <w:rPr>
          <w:rFonts w:ascii="Times New Roman" w:cs="Times New Roman" w:eastAsia="Times New Roman" w:hAnsi="Times New Roman"/>
          <w:sz w:val="21"/>
          <w:szCs w:val="21"/>
          <w:color w:val="auto"/>
        </w:rPr>
      </w:pPr>
    </w:p>
    <w:p>
      <w:pPr>
        <w:jc w:val="both"/>
        <w:ind w:firstLine="656"/>
        <w:spacing w:after="0" w:line="253" w:lineRule="auto"/>
        <w:tabs>
          <w:tab w:leader="none" w:pos="1289"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Confidentiality Agreement</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212529"/>
        </w:rPr>
        <w:t>As a condition of your employment with the Company, you will be required to sign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212529"/>
        </w:rPr>
        <w:t>comply with an At-Will Employment, Confidential Information, Invention Assignment Agreement and Arbitration Agreement (collectively the “</w:t>
      </w:r>
      <w:r>
        <w:rPr>
          <w:rFonts w:ascii="Times New Roman" w:cs="Times New Roman" w:eastAsia="Times New Roman" w:hAnsi="Times New Roman"/>
          <w:sz w:val="21"/>
          <w:szCs w:val="21"/>
          <w:b w:val="1"/>
          <w:bCs w:val="1"/>
          <w:color w:val="212529"/>
        </w:rPr>
        <w:t>Confidentiality Agreement</w:t>
      </w:r>
      <w:r>
        <w:rPr>
          <w:rFonts w:ascii="Times New Roman" w:cs="Times New Roman" w:eastAsia="Times New Roman" w:hAnsi="Times New Roman"/>
          <w:sz w:val="21"/>
          <w:szCs w:val="21"/>
          <w:color w:val="212529"/>
        </w:rPr>
        <w:t xml:space="preserve">”) which requires, among other provisions, the assignment of patent rights to any invention made during your employment, non-disclosure of Company proprietary information, and the arbitration of disputes between you and the Company Group (subject to the terms and conditions of the arbitration provision set forth in the Confidentiality Agreement). </w:t>
      </w:r>
      <w:r>
        <w:rPr>
          <w:rFonts w:ascii="Times New Roman" w:cs="Times New Roman" w:eastAsia="Times New Roman" w:hAnsi="Times New Roman"/>
          <w:sz w:val="21"/>
          <w:szCs w:val="21"/>
          <w:color w:val="000000"/>
        </w:rPr>
        <w:t>Please note that we must receive your signed Confidentiality Agreement before your first day of employment.</w:t>
      </w:r>
    </w:p>
    <w:p>
      <w:pPr>
        <w:spacing w:after="0" w:line="173" w:lineRule="exact"/>
        <w:rPr>
          <w:rFonts w:ascii="Times New Roman" w:cs="Times New Roman" w:eastAsia="Times New Roman" w:hAnsi="Times New Roman"/>
          <w:sz w:val="21"/>
          <w:szCs w:val="21"/>
          <w:color w:val="auto"/>
        </w:rPr>
      </w:pPr>
    </w:p>
    <w:p>
      <w:pPr>
        <w:jc w:val="both"/>
        <w:ind w:firstLine="656"/>
        <w:spacing w:after="0" w:line="270" w:lineRule="auto"/>
        <w:tabs>
          <w:tab w:leader="none" w:pos="1289"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At-Will Employment</w:t>
      </w:r>
      <w:r>
        <w:rPr>
          <w:rFonts w:ascii="Times New Roman" w:cs="Times New Roman" w:eastAsia="Times New Roman" w:hAnsi="Times New Roman"/>
          <w:sz w:val="20"/>
          <w:szCs w:val="20"/>
          <w:color w:val="auto"/>
        </w:rPr>
        <w:t>. This Agreement does not imply any right to your continued employment for any period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or any parent, subsidiary, or other affiliate of the Company. Your employment with the Company is for no specified period and constitutes at-will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weeks’ notice. Upon any termination of your employment relationship with the Company (or, if applicable, any other member of the Company Group), you will be deemed to have</w:t>
      </w:r>
    </w:p>
    <w:p>
      <w:pPr>
        <w:sectPr>
          <w:pgSz w:w="11900" w:h="16838" w:orient="portrait"/>
          <w:cols w:equalWidth="0" w:num="1">
            <w:col w:w="11240"/>
          </w:cols>
          <w:pgMar w:left="320" w:top="1214" w:right="339" w:bottom="1440" w:gutter="0" w:footer="0" w:header="0"/>
        </w:sectPr>
      </w:pPr>
    </w:p>
    <w:bookmarkStart w:id="83" w:name="page84"/>
    <w:bookmarkEnd w:id="83"/>
    <w:p>
      <w:pPr>
        <w:jc w:val="both"/>
        <w:spacing w:after="0" w:line="262" w:lineRule="auto"/>
        <w:rPr>
          <w:sz w:val="20"/>
          <w:szCs w:val="20"/>
          <w:color w:val="auto"/>
        </w:rPr>
      </w:pPr>
      <w:r>
        <w:rPr>
          <w:rFonts w:ascii="Times New Roman" w:cs="Times New Roman" w:eastAsia="Times New Roman" w:hAnsi="Times New Roman"/>
          <w:sz w:val="21"/>
          <w:szCs w:val="21"/>
          <w:color w:val="auto"/>
        </w:rPr>
        <w:t>resigned from any and all officer and/or director positions held at the Company Group or any of its affiliates without any further action required by you, except that at the Board’s request, you agree to execute any documents reasonably necessary to reflect such resignations.</w:t>
      </w:r>
    </w:p>
    <w:p>
      <w:pPr>
        <w:spacing w:after="0" w:line="166" w:lineRule="exact"/>
        <w:rPr>
          <w:sz w:val="20"/>
          <w:szCs w:val="20"/>
          <w:color w:val="auto"/>
        </w:rPr>
      </w:pPr>
    </w:p>
    <w:p>
      <w:pPr>
        <w:jc w:val="both"/>
        <w:ind w:firstLine="575"/>
        <w:spacing w:after="0" w:line="263" w:lineRule="auto"/>
        <w:tabs>
          <w:tab w:leader="none" w:pos="1285"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Background Check</w:t>
      </w:r>
      <w:r>
        <w:rPr>
          <w:rFonts w:ascii="Times New Roman" w:cs="Times New Roman" w:eastAsia="Times New Roman" w:hAnsi="Times New Roman"/>
          <w:sz w:val="21"/>
          <w:szCs w:val="21"/>
          <w:color w:val="auto"/>
        </w:rPr>
        <w:t>. The Company reserves the right to conduct background investigations and/or reference checks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of its potential employees. Your job offer, therefore, is contingent upon a clearance of such a background investigation and/or reference check, if any.</w:t>
      </w:r>
    </w:p>
    <w:p>
      <w:pPr>
        <w:spacing w:after="0" w:line="178" w:lineRule="exact"/>
        <w:rPr>
          <w:rFonts w:ascii="Times New Roman" w:cs="Times New Roman" w:eastAsia="Times New Roman" w:hAnsi="Times New Roman"/>
          <w:sz w:val="21"/>
          <w:szCs w:val="21"/>
          <w:color w:val="auto"/>
        </w:rPr>
      </w:pPr>
    </w:p>
    <w:p>
      <w:pPr>
        <w:jc w:val="both"/>
        <w:ind w:firstLine="656"/>
        <w:spacing w:after="0" w:line="256" w:lineRule="auto"/>
        <w:tabs>
          <w:tab w:leader="none" w:pos="1277"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Immigration Laws</w:t>
      </w:r>
      <w:r>
        <w:rPr>
          <w:rFonts w:ascii="Times New Roman" w:cs="Times New Roman" w:eastAsia="Times New Roman" w:hAnsi="Times New Roman"/>
          <w:sz w:val="21"/>
          <w:szCs w:val="21"/>
          <w:color w:val="auto"/>
        </w:rPr>
        <w:t>. For purposes of federal immigration law, you will be required to provide to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documentary evidence of your identity and eligibility for employment in the United States. Such documentation must be provided within three (3) business days of the effective date of your employment, or your employment relationship with the Company may be terminated.</w:t>
      </w:r>
    </w:p>
    <w:p>
      <w:pPr>
        <w:spacing w:after="0" w:line="171" w:lineRule="exact"/>
        <w:rPr>
          <w:rFonts w:ascii="Times New Roman" w:cs="Times New Roman" w:eastAsia="Times New Roman" w:hAnsi="Times New Roman"/>
          <w:sz w:val="21"/>
          <w:szCs w:val="21"/>
          <w:color w:val="auto"/>
        </w:rPr>
      </w:pPr>
    </w:p>
    <w:p>
      <w:pPr>
        <w:jc w:val="both"/>
        <w:ind w:firstLine="656"/>
        <w:spacing w:after="0" w:line="248" w:lineRule="auto"/>
        <w:tabs>
          <w:tab w:leader="none" w:pos="1285"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 The Company Group (or any affiliate thereof, as applicable) will have the right and authority to deduct from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payments or benefits under this Agreement all applicable federal, state, and local taxes or other required withholdings and payroll deductions (“</w:t>
      </w:r>
      <w:r>
        <w:rPr>
          <w:rFonts w:ascii="Times New Roman" w:cs="Times New Roman" w:eastAsia="Times New Roman" w:hAnsi="Times New Roman"/>
          <w:sz w:val="21"/>
          <w:szCs w:val="21"/>
          <w:b w:val="1"/>
          <w:bCs w:val="1"/>
          <w:color w:val="auto"/>
        </w:rPr>
        <w:t>Withholdings</w:t>
      </w:r>
      <w:r>
        <w:rPr>
          <w:rFonts w:ascii="Times New Roman" w:cs="Times New Roman" w:eastAsia="Times New Roman" w:hAnsi="Times New Roman"/>
          <w:sz w:val="21"/>
          <w:szCs w:val="21"/>
          <w:color w:val="auto"/>
        </w:rPr>
        <w:t>”). Prior to the payment of any amounts or provision of any benefits under this Agreement, the Company Group (and any affiliate thereof, as applicable) is permitted to deduct or withhold, or require you to remit to the Company Group, an amount sufficient to satisfy any applicable Withholdings with respect to such payments and benefits. The payments and benefits under this Agreement are intended to be exempt from, or otherwise to comply with, Section 409A of the Internal Revenue Code of 1986, as amended, and any regulations and other formal guidance promulgated thereunder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so that none of the payments and benefits under this Agreement will be subject to the additional tax imposed under Section 409A, and any ambiguities and ambiguous terms herein will be interpreted to be exempt or to so comply. Any taxable reimbursements payable to you under this Agreement will be paid, less applicable withholdings, only with respect to expenses incurred while you are employed with the Company (or other Company Group member, if and as applicable), no later than the last day of your taxable year immediately following your taxable year in which the expense was incurred by you. No such amounts reimbursable to you in one taxable year of yours will affect the amounts reimbursable to you in another taxable year of yours. Notwithstanding any contrary Agreement provision, the Company reserves the right to amend the Agreement as it deems necessary or advisable, in its sole discretion and without your consent or the consent of any other person or entity, to comply with Section 409A or to avoid income recognition under Section 409A or to otherwise avoid the imposition of additional tax under Section 409A prior to the actual payment or provision of any payments or benefits under this Agreement. In no event will you have any discretion to choose your taxable year in which any payments or benefits are provided under this Agreement. In no event will the Company Group, or any other affiliate of the Company Group have any responsibility, liability or obligation to reimburse or indemnify you or hold you harmless for any taxes imposed, or other costs incurred, as a result of Section 409A.</w:t>
      </w:r>
    </w:p>
    <w:p>
      <w:pPr>
        <w:spacing w:after="0" w:line="193" w:lineRule="exact"/>
        <w:rPr>
          <w:rFonts w:ascii="Times New Roman" w:cs="Times New Roman" w:eastAsia="Times New Roman" w:hAnsi="Times New Roman"/>
          <w:sz w:val="21"/>
          <w:szCs w:val="21"/>
          <w:color w:val="auto"/>
        </w:rPr>
      </w:pPr>
    </w:p>
    <w:p>
      <w:pPr>
        <w:jc w:val="both"/>
        <w:ind w:firstLine="656"/>
        <w:spacing w:after="0" w:line="268" w:lineRule="auto"/>
        <w:tabs>
          <w:tab w:leader="none" w:pos="1285"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Additional Employment Provisions</w:t>
      </w:r>
      <w:r>
        <w:rPr>
          <w:rFonts w:ascii="Times New Roman" w:cs="Times New Roman" w:eastAsia="Times New Roman" w:hAnsi="Times New Roman"/>
          <w:sz w:val="20"/>
          <w:szCs w:val="20"/>
          <w:color w:val="auto"/>
        </w:rPr>
        <w:t>. During the term of your employment with the Company Group, you agree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 your duties faithfully and to the best of your abilities and will devote your full business efforts and time to rendering services to the Company Group hereunder. Moreover, you agree that, during the term of your employment with the Company, you will not engage in any other employment, occupation, consulting or other business activity directly related to the business in which the Company Group is now involved or becomes involved during the term of your employment, nor will you engage in any other activities that conflict with your obligations to the Company Group. Nothing in this Agreement shall prohibit you from (a) making and managing</w:t>
      </w:r>
    </w:p>
    <w:p>
      <w:pPr>
        <w:sectPr>
          <w:pgSz w:w="11900" w:h="16838" w:orient="portrait"/>
          <w:cols w:equalWidth="0" w:num="1">
            <w:col w:w="11240"/>
          </w:cols>
          <w:pgMar w:left="320" w:top="1214" w:right="339" w:bottom="1440" w:gutter="0" w:footer="0" w:header="0"/>
        </w:sectPr>
      </w:pPr>
    </w:p>
    <w:bookmarkStart w:id="84" w:name="page85"/>
    <w:bookmarkEnd w:id="84"/>
    <w:p>
      <w:pPr>
        <w:jc w:val="both"/>
        <w:spacing w:after="0" w:line="251" w:lineRule="auto"/>
        <w:rPr>
          <w:sz w:val="20"/>
          <w:szCs w:val="20"/>
          <w:color w:val="auto"/>
        </w:rPr>
      </w:pPr>
      <w:r>
        <w:rPr>
          <w:rFonts w:ascii="Times New Roman" w:cs="Times New Roman" w:eastAsia="Times New Roman" w:hAnsi="Times New Roman"/>
          <w:sz w:val="21"/>
          <w:szCs w:val="21"/>
          <w:color w:val="auto"/>
        </w:rPr>
        <w:t>passive investments, or (b) participating in professional and charitable organizations in an unpaid capacity, in a manner, and to an extent, that will not interfere or conflict with your duties or obligations to the Company Group, including under the Confidentiality Agreement. You agree not to bring any third party confidential information to the Company Group, including that of your former employer, and that in performing your duties for the Company Group you will not in any way utilize any such information. As an employee of a member of the Company Group, you will be expected to abide by the rules and standards of Nautilus and the Company (or any other member of the Company Group, as applicable). You agree that in the rendering of all services to the Company Group and in all aspects of employment with the Company, you will comply in all material respects with all lawful directives, policies, standards and regulations from time to time established by the Company Group.</w:t>
      </w:r>
    </w:p>
    <w:p>
      <w:pPr>
        <w:spacing w:after="0" w:line="178" w:lineRule="exact"/>
        <w:rPr>
          <w:sz w:val="20"/>
          <w:szCs w:val="20"/>
          <w:color w:val="auto"/>
        </w:rPr>
      </w:pPr>
    </w:p>
    <w:p>
      <w:pPr>
        <w:jc w:val="both"/>
        <w:ind w:firstLine="656"/>
        <w:spacing w:after="0" w:line="311" w:lineRule="auto"/>
        <w:tabs>
          <w:tab w:leader="none" w:pos="128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Protected Activity Not Prohibited</w:t>
      </w:r>
      <w:r>
        <w:rPr>
          <w:rFonts w:ascii="Times New Roman" w:cs="Times New Roman" w:eastAsia="Times New Roman" w:hAnsi="Times New Roman"/>
          <w:sz w:val="20"/>
          <w:szCs w:val="20"/>
          <w:color w:val="auto"/>
        </w:rPr>
        <w:t>. Nothing in this Agreement or the Confidentiality Agreement (or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agreement or policy) will prohibit you from engaging in any Protected Activity, as defined in the Confidentiality Agreement.</w:t>
      </w:r>
    </w:p>
    <w:p>
      <w:pPr>
        <w:spacing w:after="0" w:line="121" w:lineRule="exact"/>
        <w:rPr>
          <w:sz w:val="20"/>
          <w:szCs w:val="20"/>
          <w:color w:val="auto"/>
        </w:rPr>
      </w:pPr>
    </w:p>
    <w:p>
      <w:pPr>
        <w:ind w:firstLine="895"/>
        <w:spacing w:after="0" w:line="283" w:lineRule="auto"/>
        <w:rPr>
          <w:sz w:val="20"/>
          <w:szCs w:val="20"/>
          <w:color w:val="auto"/>
        </w:rPr>
      </w:pPr>
      <w:r>
        <w:rPr>
          <w:rFonts w:ascii="Times New Roman" w:cs="Times New Roman" w:eastAsia="Times New Roman" w:hAnsi="Times New Roman"/>
          <w:sz w:val="21"/>
          <w:szCs w:val="21"/>
          <w:color w:val="auto"/>
        </w:rPr>
        <w:t>To accept the Company’s offer, please sign and date in the spaces indicated below and return this Agreement to me. If you accept our offer, your first day of employment will be September 16, 2024 (your “</w:t>
      </w:r>
      <w:r>
        <w:rPr>
          <w:rFonts w:ascii="Times New Roman" w:cs="Times New Roman" w:eastAsia="Times New Roman" w:hAnsi="Times New Roman"/>
          <w:sz w:val="21"/>
          <w:szCs w:val="21"/>
          <w:b w:val="1"/>
          <w:bCs w:val="1"/>
          <w:color w:val="auto"/>
        </w:rPr>
        <w:t>Start Date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We look forward to your favorable reply and to working with you at Nautilus Biotechnology, Inc.</w:t>
      </w:r>
    </w:p>
    <w:p>
      <w:pPr>
        <w:spacing w:after="0" w:line="21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auto"/>
        </w:rPr>
        <w:t>Sincerely,</w:t>
      </w:r>
    </w:p>
    <w:p>
      <w:pPr>
        <w:spacing w:after="0" w:line="2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auto"/>
        </w:rPr>
        <w:t>NAUTILUS BIOTECHNOLOGY, INC.</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auto"/>
        </w:rPr>
        <w:t>By: /s/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-12065</wp:posOffset>
            </wp:positionV>
            <wp:extent cx="11493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1"/>
          <w:szCs w:val="21"/>
          <w:color w:val="auto"/>
        </w:rPr>
        <w:t>Sujal Patel</w:t>
      </w:r>
    </w:p>
    <w:p>
      <w:pPr>
        <w:spacing w:after="0" w:line="1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21"/>
          <w:szCs w:val="21"/>
          <w:color w:val="auto"/>
        </w:rPr>
        <w:t>Chief Executive Officer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Agreed to and accepted: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Kentaro Suzuki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1093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Kentaro Suzuki</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-12065</wp:posOffset>
            </wp:positionV>
            <wp:extent cx="4673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46736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Enclosures to follow:</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Duplicate Original Letter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At-Will Employment, Confidential Information, Invention Assignment Agreement and Arbitration Agreement</w:t>
      </w:r>
    </w:p>
    <w:p>
      <w:pPr>
        <w:sectPr>
          <w:pgSz w:w="11900" w:h="16838" w:orient="portrait"/>
          <w:cols w:equalWidth="0" w:num="1">
            <w:col w:w="11240"/>
          </w:cols>
          <w:pgMar w:left="320" w:top="1214"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NAUTILUS SUBSIDIARY,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IN CONTROL AND SEVERANCE AGREEMENT</w:t>
      </w:r>
    </w:p>
    <w:p>
      <w:pPr>
        <w:spacing w:after="0" w:line="2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This Change in Control and Severance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by and between Nautilus Subsidiary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Nautilus Biotechnology, Inc., a Delaware corporation (“</w:t>
      </w:r>
      <w:r>
        <w:rPr>
          <w:rFonts w:ascii="Times New Roman" w:cs="Times New Roman" w:eastAsia="Times New Roman" w:hAnsi="Times New Roman"/>
          <w:sz w:val="22"/>
          <w:szCs w:val="22"/>
          <w:b w:val="1"/>
          <w:bCs w:val="1"/>
          <w:color w:val="auto"/>
        </w:rPr>
        <w:t>Nautilus</w:t>
      </w:r>
      <w:r>
        <w:rPr>
          <w:rFonts w:ascii="Times New Roman" w:cs="Times New Roman" w:eastAsia="Times New Roman" w:hAnsi="Times New Roman"/>
          <w:sz w:val="22"/>
          <w:szCs w:val="22"/>
          <w:color w:val="auto"/>
        </w:rPr>
        <w:t>”), and Kentaro Suzuki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effective as of the date this Agreement is executed by both the Company and Executive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Certain capitalized terms used in this Agreement are defined in Section 7 below.</w:t>
      </w:r>
    </w:p>
    <w:p>
      <w:pPr>
        <w:spacing w:after="0" w:line="220"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This Agreement provides certain protections to Executive in connection with an involuntary termination of Executive’s employment under the circumstances described in this Agreement, including in connection with a change in control of Nautilus.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and Executive agree as follows:</w:t>
      </w:r>
    </w:p>
    <w:p>
      <w:pPr>
        <w:spacing w:after="0" w:line="243" w:lineRule="exact"/>
        <w:rPr>
          <w:sz w:val="20"/>
          <w:szCs w:val="20"/>
          <w:color w:val="auto"/>
        </w:rPr>
      </w:pPr>
    </w:p>
    <w:p>
      <w:pPr>
        <w:jc w:val="both"/>
        <w:ind w:firstLine="656"/>
        <w:spacing w:after="0" w:line="251" w:lineRule="auto"/>
        <w:tabs>
          <w:tab w:leader="none" w:pos="129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 of Agreement</w:t>
      </w:r>
      <w:r>
        <w:rPr>
          <w:rFonts w:ascii="Times New Roman" w:cs="Times New Roman" w:eastAsia="Times New Roman" w:hAnsi="Times New Roman"/>
          <w:sz w:val="22"/>
          <w:szCs w:val="22"/>
          <w:color w:val="auto"/>
        </w:rPr>
        <w:t>. This Agreement will have an initial term of three (3) years commencing on the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(the “</w:t>
      </w:r>
      <w:r>
        <w:rPr>
          <w:rFonts w:ascii="Times New Roman" w:cs="Times New Roman" w:eastAsia="Times New Roman" w:hAnsi="Times New Roman"/>
          <w:sz w:val="22"/>
          <w:szCs w:val="22"/>
          <w:b w:val="1"/>
          <w:bCs w:val="1"/>
          <w:color w:val="auto"/>
        </w:rPr>
        <w:t>Initial Term</w:t>
      </w:r>
      <w:r>
        <w:rPr>
          <w:rFonts w:ascii="Times New Roman" w:cs="Times New Roman" w:eastAsia="Times New Roman" w:hAnsi="Times New Roman"/>
          <w:sz w:val="22"/>
          <w:szCs w:val="22"/>
          <w:color w:val="auto"/>
        </w:rPr>
        <w:t>”). On the three (3) year anniversary of the Effective Date, this Agreement will renew automatically for additional, one (1) year terms (each, an “</w:t>
      </w:r>
      <w:r>
        <w:rPr>
          <w:rFonts w:ascii="Times New Roman" w:cs="Times New Roman" w:eastAsia="Times New Roman" w:hAnsi="Times New Roman"/>
          <w:sz w:val="22"/>
          <w:szCs w:val="22"/>
          <w:b w:val="1"/>
          <w:bCs w:val="1"/>
          <w:color w:val="auto"/>
        </w:rPr>
        <w:t>Additional Term</w:t>
      </w:r>
      <w:r>
        <w:rPr>
          <w:rFonts w:ascii="Times New Roman" w:cs="Times New Roman" w:eastAsia="Times New Roman" w:hAnsi="Times New Roman"/>
          <w:sz w:val="22"/>
          <w:szCs w:val="22"/>
          <w:color w:val="auto"/>
        </w:rPr>
        <w:t>”) unless either party provides the other party with written notice of nonrenewal at least ninety (90) days prior to the date of automatic renewal. Notwithstanding the foregoing, if a Change in Control occurs (a) when there are fewer than twelve (12) months remaining during the Initial Term or (b) during an Additional Term, then the term of this Agreement will extend automatically through the date that is twelve (12) months following the date of the Change in Control. If Executive becomes entitled to the benefits under Section 3 of this Agreement, then the Agreement will not terminate until all of the obligations of the parties hereto with respect to this Agreement have been satisfied.</w:t>
      </w:r>
    </w:p>
    <w:p>
      <w:pPr>
        <w:spacing w:after="0" w:line="178"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At-Will Employment</w:t>
      </w:r>
      <w:r>
        <w:rPr>
          <w:rFonts w:ascii="Times New Roman" w:cs="Times New Roman" w:eastAsia="Times New Roman" w:hAnsi="Times New Roman"/>
          <w:sz w:val="22"/>
          <w:szCs w:val="22"/>
          <w:color w:val="auto"/>
        </w:rPr>
        <w:t>. The Company and Executive acknowledge that Executive’s employment is and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to be at-will, as defined under applicable law. No payments, benefits, or provisions under this Agreement will confer upon Executive any right to continue Executive’s employment, nor will they interfere with or limit in any way the right of the Company (or other applicable member of the Company Group) or Executive to terminate such relationship at any time, with or without cause, to the extent permitted by applicable laws.</w:t>
      </w:r>
    </w:p>
    <w:p>
      <w:pPr>
        <w:spacing w:after="0" w:line="18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1296"/>
        <w:spacing w:after="0" w:line="259"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color w:val="auto"/>
        </w:rPr>
        <w:t>Qualifying Termination Outside of the Change in Control Period</w:t>
      </w:r>
      <w:r>
        <w:rPr>
          <w:rFonts w:ascii="Times New Roman" w:cs="Times New Roman" w:eastAsia="Times New Roman" w:hAnsi="Times New Roman"/>
          <w:sz w:val="22"/>
          <w:szCs w:val="22"/>
          <w:color w:val="auto"/>
        </w:rPr>
        <w:t>. In the event of a Qualifying Termination that occurs other than during the Change in Control Period, the Company will provide, or will cause to be provided, to Executive the following payments and benefits, subject to the requirements of this Agreement:</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 xml:space="preserve">3.1.1.  </w:t>
      </w:r>
      <w:r>
        <w:rPr>
          <w:rFonts w:ascii="Times New Roman" w:cs="Times New Roman" w:eastAsia="Times New Roman" w:hAnsi="Times New Roman"/>
          <w:sz w:val="22"/>
          <w:szCs w:val="22"/>
          <w:b w:val="1"/>
          <w:bCs w:val="1"/>
          <w:color w:val="auto"/>
        </w:rPr>
        <w:t>Salary Severance</w:t>
      </w:r>
      <w:r>
        <w:rPr>
          <w:rFonts w:ascii="Times New Roman" w:cs="Times New Roman" w:eastAsia="Times New Roman" w:hAnsi="Times New Roman"/>
          <w:sz w:val="22"/>
          <w:szCs w:val="22"/>
          <w:color w:val="auto"/>
        </w:rPr>
        <w:t>. A single, lump sum, cash payment equal to fifty percent (50%) of Executive’s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Salary.</w:t>
      </w:r>
    </w:p>
    <w:p>
      <w:pPr>
        <w:sectPr>
          <w:pgSz w:w="11900" w:h="16838" w:orient="portrait"/>
          <w:cols w:equalWidth="0" w:num="1">
            <w:col w:w="11240"/>
          </w:cols>
          <w:pgMar w:left="320" w:top="122" w:right="339" w:bottom="1440" w:gutter="0" w:footer="0" w:header="0"/>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firstLine="1944"/>
        <w:spacing w:after="0" w:line="249" w:lineRule="auto"/>
        <w:rPr>
          <w:sz w:val="20"/>
          <w:szCs w:val="20"/>
          <w:color w:val="auto"/>
        </w:rPr>
      </w:pPr>
      <w:r>
        <w:rPr>
          <w:rFonts w:ascii="Times New Roman" w:cs="Times New Roman" w:eastAsia="Times New Roman" w:hAnsi="Times New Roman"/>
          <w:sz w:val="22"/>
          <w:szCs w:val="22"/>
          <w:color w:val="auto"/>
        </w:rPr>
        <w:t xml:space="preserve">3.1.2. </w:t>
      </w:r>
      <w:r>
        <w:rPr>
          <w:rFonts w:ascii="Times New Roman" w:cs="Times New Roman" w:eastAsia="Times New Roman" w:hAnsi="Times New Roman"/>
          <w:sz w:val="22"/>
          <w:szCs w:val="22"/>
          <w:b w:val="1"/>
          <w:bCs w:val="1"/>
          <w:color w:val="auto"/>
        </w:rPr>
        <w:t>COBRA Severance</w:t>
      </w:r>
      <w:r>
        <w:rPr>
          <w:rFonts w:ascii="Times New Roman" w:cs="Times New Roman" w:eastAsia="Times New Roman" w:hAnsi="Times New Roman"/>
          <w:sz w:val="22"/>
          <w:szCs w:val="22"/>
          <w:color w:val="auto"/>
        </w:rPr>
        <w:t>. Subject to Executive timely electing continuation coverage under the Consolidated Omnibus Budget Reconciliation Act of 1985, as amended (“</w:t>
      </w:r>
      <w:r>
        <w:rPr>
          <w:rFonts w:ascii="Times New Roman" w:cs="Times New Roman" w:eastAsia="Times New Roman" w:hAnsi="Times New Roman"/>
          <w:sz w:val="22"/>
          <w:szCs w:val="22"/>
          <w:b w:val="1"/>
          <w:bCs w:val="1"/>
          <w:color w:val="auto"/>
        </w:rPr>
        <w:t>COBRA</w:t>
      </w:r>
      <w:r>
        <w:rPr>
          <w:rFonts w:ascii="Times New Roman" w:cs="Times New Roman" w:eastAsia="Times New Roman" w:hAnsi="Times New Roman"/>
          <w:sz w:val="22"/>
          <w:szCs w:val="22"/>
          <w:color w:val="auto"/>
        </w:rPr>
        <w:t>”) and further subject to Section 5.3, the Company Group-paid employer portion of the premiums required for continued coverage pursuant to COBRA under the Company Group’s group health, dental and vision care plans for Executive and any of Executive’s eligible dependents, as applicable, following the Qualifying Termination until the earliest of: (a) six (6)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spacing w:after="0" w:line="182"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color w:val="auto"/>
        </w:rPr>
        <w:t>Qualifying Termination During the Change in Control Period</w:t>
      </w:r>
      <w:r>
        <w:rPr>
          <w:rFonts w:ascii="Times New Roman" w:cs="Times New Roman" w:eastAsia="Times New Roman" w:hAnsi="Times New Roman"/>
          <w:sz w:val="22"/>
          <w:szCs w:val="22"/>
          <w:color w:val="auto"/>
        </w:rPr>
        <w:t>. In the event of a Qualifying Termination that occurs during the Change in Control Period, the Company will provide, or cause to be provided, to Executive the following payments and benefits, subject to the requirements of this Agreement:</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 xml:space="preserve">3.2.1.  </w:t>
      </w:r>
      <w:r>
        <w:rPr>
          <w:rFonts w:ascii="Times New Roman" w:cs="Times New Roman" w:eastAsia="Times New Roman" w:hAnsi="Times New Roman"/>
          <w:sz w:val="22"/>
          <w:szCs w:val="22"/>
          <w:b w:val="1"/>
          <w:bCs w:val="1"/>
          <w:color w:val="auto"/>
        </w:rPr>
        <w:t>Salary Severance</w:t>
      </w:r>
      <w:r>
        <w:rPr>
          <w:rFonts w:ascii="Times New Roman" w:cs="Times New Roman" w:eastAsia="Times New Roman" w:hAnsi="Times New Roman"/>
          <w:sz w:val="22"/>
          <w:szCs w:val="22"/>
          <w:color w:val="auto"/>
        </w:rPr>
        <w:t>. A single, lump sum, cash payment equal to one hundred percent (100%)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Executive’s Salary.</w:t>
      </w:r>
    </w:p>
    <w:p>
      <w:pPr>
        <w:spacing w:after="0" w:line="192" w:lineRule="exact"/>
        <w:rPr>
          <w:sz w:val="20"/>
          <w:szCs w:val="20"/>
          <w:color w:val="auto"/>
        </w:rPr>
      </w:pPr>
    </w:p>
    <w:p>
      <w:pPr>
        <w:jc w:val="both"/>
        <w:ind w:firstLine="1944"/>
        <w:spacing w:after="0" w:line="275" w:lineRule="auto"/>
        <w:rPr>
          <w:sz w:val="20"/>
          <w:szCs w:val="20"/>
          <w:color w:val="auto"/>
        </w:rPr>
      </w:pPr>
      <w:r>
        <w:rPr>
          <w:rFonts w:ascii="Times New Roman" w:cs="Times New Roman" w:eastAsia="Times New Roman" w:hAnsi="Times New Roman"/>
          <w:sz w:val="22"/>
          <w:szCs w:val="22"/>
          <w:color w:val="auto"/>
        </w:rPr>
        <w:t xml:space="preserve">3.2.2. </w:t>
      </w:r>
      <w:r>
        <w:rPr>
          <w:rFonts w:ascii="Times New Roman" w:cs="Times New Roman" w:eastAsia="Times New Roman" w:hAnsi="Times New Roman"/>
          <w:sz w:val="22"/>
          <w:szCs w:val="22"/>
          <w:b w:val="1"/>
          <w:bCs w:val="1"/>
          <w:color w:val="auto"/>
        </w:rPr>
        <w:t>Target Bonus Severance</w:t>
      </w:r>
      <w:r>
        <w:rPr>
          <w:rFonts w:ascii="Times New Roman" w:cs="Times New Roman" w:eastAsia="Times New Roman" w:hAnsi="Times New Roman"/>
          <w:sz w:val="22"/>
          <w:szCs w:val="22"/>
          <w:color w:val="auto"/>
        </w:rPr>
        <w:t>. A single, lump sum, cash payment equal to one hundred percent (100%) of Executive’s Target Bonus.</w:t>
      </w:r>
    </w:p>
    <w:p>
      <w:pPr>
        <w:spacing w:after="0" w:line="14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22"/>
          <w:szCs w:val="22"/>
          <w:color w:val="auto"/>
        </w:rPr>
        <w:t xml:space="preserve">3.2.3. </w:t>
      </w:r>
      <w:r>
        <w:rPr>
          <w:rFonts w:ascii="Times New Roman" w:cs="Times New Roman" w:eastAsia="Times New Roman" w:hAnsi="Times New Roman"/>
          <w:sz w:val="22"/>
          <w:szCs w:val="22"/>
          <w:b w:val="1"/>
          <w:bCs w:val="1"/>
          <w:color w:val="auto"/>
        </w:rPr>
        <w:t>COBRA Severance</w:t>
      </w:r>
      <w:r>
        <w:rPr>
          <w:rFonts w:ascii="Times New Roman" w:cs="Times New Roman" w:eastAsia="Times New Roman" w:hAnsi="Times New Roman"/>
          <w:sz w:val="22"/>
          <w:szCs w:val="22"/>
          <w:color w:val="auto"/>
        </w:rPr>
        <w:t>. Subject to Executive timely electing continuation coverage under COBRA and further subject to Section 5.3, the Company Group-paid premiums required for continued coverage pursuant to COBRA under the Company Group’s group health, dental and vision care plans for Executive and any of Executive’s eligible dependents, as applicable, following the Qualifying Termination until the earliest of: (a) twelve (12)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spacing w:after="0" w:line="194"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21"/>
          <w:szCs w:val="21"/>
          <w:color w:val="auto"/>
        </w:rPr>
        <w:t xml:space="preserve">3.2.4. </w:t>
      </w:r>
      <w:r>
        <w:rPr>
          <w:rFonts w:ascii="Times New Roman" w:cs="Times New Roman" w:eastAsia="Times New Roman" w:hAnsi="Times New Roman"/>
          <w:sz w:val="21"/>
          <w:szCs w:val="21"/>
          <w:b w:val="1"/>
          <w:bCs w:val="1"/>
          <w:color w:val="auto"/>
        </w:rPr>
        <w:t>Vesting Acceleration of Time-Based Awards</w:t>
      </w:r>
      <w:r>
        <w:rPr>
          <w:rFonts w:ascii="Times New Roman" w:cs="Times New Roman" w:eastAsia="Times New Roman" w:hAnsi="Times New Roman"/>
          <w:sz w:val="21"/>
          <w:szCs w:val="21"/>
          <w:color w:val="auto"/>
        </w:rPr>
        <w:t>. Vesting acceleration of one hundred percent (100%) of any Time-Based Awards that are outstanding and unvested as of the date of the Qualifying Termination. For the avoidance of doubt, in the event of Executive’s Qualifying Termination that occurs prior to a Change in Control, any then outstanding and unvested portion of Executive’s Awards will remain outstanding (and unvested) until the earlier of (x) three (3) months following the Qualifying Termination, or (y) a Change in Control that occurs within three (3) months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three (3) months following a Qualifying Termination, any unvested portion of Executive’s Awards automatically and permanently will be forfeited on the date three (3) months following the date of the Qualifying Termination without having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b w:val="1"/>
          <w:bCs w:val="1"/>
          <w:color w:val="auto"/>
        </w:rPr>
        <w:t>Termination Other Than a Qualifying Termination</w:t>
      </w:r>
      <w:r>
        <w:rPr>
          <w:rFonts w:ascii="Times New Roman" w:cs="Times New Roman" w:eastAsia="Times New Roman" w:hAnsi="Times New Roman"/>
          <w:sz w:val="22"/>
          <w:szCs w:val="22"/>
          <w:color w:val="auto"/>
        </w:rPr>
        <w:t>. If the termination of Executive’s employment with the Company Group does not constitute a Qualifying Termination, then Executive will not be entitled to receive any severance or other benefits in connection with such termination except for those, if any, as may then be established under the Company Group’s then existing severance and benefits plans or programs applicable to Executive.</w:t>
      </w:r>
    </w:p>
    <w:p>
      <w:pPr>
        <w:spacing w:after="0" w:line="17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b w:val="1"/>
          <w:bCs w:val="1"/>
          <w:color w:val="auto"/>
        </w:rPr>
        <w:t>Non-duplication of Payment or Benefits</w:t>
      </w:r>
      <w:r>
        <w:rPr>
          <w:rFonts w:ascii="Times New Roman" w:cs="Times New Roman" w:eastAsia="Times New Roman" w:hAnsi="Times New Roman"/>
          <w:sz w:val="22"/>
          <w:szCs w:val="22"/>
          <w:color w:val="auto"/>
        </w:rPr>
        <w:t>. For purposes of clarity, in the event of a Qualifying Termination that occurs during the period within three (3) months prior to a Change in Control, any severance payments and benefits to be provided to Executive under Section 3.2 will be reduced by any amounts that already were provided to Executive under Section 3.1.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the Company or any other member of the Company Group or to which the Company or any other member of the Company Group is a party other than this Agreement (“</w:t>
      </w:r>
      <w:r>
        <w:rPr>
          <w:rFonts w:ascii="Times New Roman" w:cs="Times New Roman" w:eastAsia="Times New Roman" w:hAnsi="Times New Roman"/>
          <w:sz w:val="22"/>
          <w:szCs w:val="22"/>
          <w:b w:val="1"/>
          <w:bCs w:val="1"/>
          <w:color w:val="auto"/>
        </w:rPr>
        <w:t>Other Benefits</w:t>
      </w:r>
      <w:r>
        <w:rPr>
          <w:rFonts w:ascii="Times New Roman" w:cs="Times New Roman" w:eastAsia="Times New Roman" w:hAnsi="Times New Roman"/>
          <w:sz w:val="22"/>
          <w:szCs w:val="22"/>
          <w:color w:val="auto"/>
        </w:rPr>
        <w:t>”), then the corresponding severance payments and benefits under this Agreement will be reduced by the amount of Other Benefits paid or provided to Executive.</w:t>
      </w:r>
    </w:p>
    <w:p>
      <w:pPr>
        <w:spacing w:after="0" w:line="18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b w:val="1"/>
          <w:bCs w:val="1"/>
          <w:color w:val="auto"/>
        </w:rPr>
        <w:t>Death of Executive</w:t>
      </w:r>
      <w:r>
        <w:rPr>
          <w:rFonts w:ascii="Times New Roman" w:cs="Times New Roman" w:eastAsia="Times New Roman" w:hAnsi="Times New Roman"/>
          <w:sz w:val="22"/>
          <w:szCs w:val="22"/>
          <w:color w:val="auto"/>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b w:val="1"/>
          <w:bCs w:val="1"/>
          <w:color w:val="auto"/>
        </w:rPr>
        <w:t>Transfer Between Company Group Members</w:t>
      </w:r>
      <w:r>
        <w:rPr>
          <w:rFonts w:ascii="Times New Roman" w:cs="Times New Roman" w:eastAsia="Times New Roman" w:hAnsi="Times New Roman"/>
          <w:sz w:val="22"/>
          <w:szCs w:val="22"/>
          <w:color w:val="auto"/>
        </w:rPr>
        <w:t>. For purposes of this Agreement, if Executive is involuntarily transferred from one member of the Company Group to another, such transfer will not constitute a termination without Cause, but depending on the circumstances, such transfer may give Executive the ability to resign for Good Reason, subject to Section 7.11 and other requirements set forth in this Agreement.</w:t>
      </w:r>
    </w:p>
    <w:p>
      <w:pPr>
        <w:spacing w:after="0" w:line="175" w:lineRule="exact"/>
        <w:rPr>
          <w:sz w:val="20"/>
          <w:szCs w:val="20"/>
          <w:color w:val="auto"/>
        </w:rPr>
      </w:pPr>
    </w:p>
    <w:p>
      <w:pPr>
        <w:jc w:val="both"/>
        <w:ind w:firstLine="656"/>
        <w:spacing w:after="0" w:line="265" w:lineRule="auto"/>
        <w:tabs>
          <w:tab w:leader="none" w:pos="129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Accrued Compensation</w:t>
      </w:r>
      <w:r>
        <w:rPr>
          <w:rFonts w:ascii="Times New Roman" w:cs="Times New Roman" w:eastAsia="Times New Roman" w:hAnsi="Times New Roman"/>
          <w:sz w:val="22"/>
          <w:szCs w:val="22"/>
          <w:color w:val="auto"/>
        </w:rPr>
        <w:t>. On any termination of Executive’s employment with the Company Group,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entitled to receive all accrued but unpaid vacation, expense reimbursements, wages, and other benefits due to Executive under any plans, policies, and arrangements of the Company (or other member of the Company Group, as applicable).</w:t>
      </w:r>
    </w:p>
    <w:p>
      <w:pPr>
        <w:spacing w:after="0" w:line="16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Conditions to Receipt of Severance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b w:val="1"/>
          <w:bCs w:val="1"/>
          <w:color w:val="auto"/>
        </w:rPr>
        <w:t>Separation Agreement and Release of Claims</w:t>
      </w:r>
      <w:r>
        <w:rPr>
          <w:rFonts w:ascii="Times New Roman" w:cs="Times New Roman" w:eastAsia="Times New Roman" w:hAnsi="Times New Roman"/>
          <w:sz w:val="22"/>
          <w:szCs w:val="22"/>
          <w:color w:val="auto"/>
        </w:rPr>
        <w:t>. Executive’s receipt of any severance payments or benefits upon a Qualifying Termination under Section 3 is subject to Executive signing and not revoking the Company Group’s then standard separation agreement and release of claims (the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which must become effective and irrevocable no later than the sixtieth (60th) day following the date of the Qualifying Termination (the “</w:t>
      </w:r>
      <w:r>
        <w:rPr>
          <w:rFonts w:ascii="Times New Roman" w:cs="Times New Roman" w:eastAsia="Times New Roman" w:hAnsi="Times New Roman"/>
          <w:sz w:val="22"/>
          <w:szCs w:val="22"/>
          <w:b w:val="1"/>
          <w:bCs w:val="1"/>
          <w:color w:val="auto"/>
        </w:rPr>
        <w:t>Release Deadline Date</w:t>
      </w:r>
      <w:r>
        <w:rPr>
          <w:rFonts w:ascii="Times New Roman" w:cs="Times New Roman" w:eastAsia="Times New Roman" w:hAnsi="Times New Roman"/>
          <w:sz w:val="22"/>
          <w:szCs w:val="22"/>
          <w:color w:val="auto"/>
        </w:rPr>
        <w:t>”). If the Release does not become effective and irrevocable by the Release Deadline Date, Executive will forfeit any right to the severance payments or benefits under Section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color w:val="auto"/>
        </w:rPr>
        <w:t>Payment Timing</w:t>
      </w:r>
      <w:r>
        <w:rPr>
          <w:rFonts w:ascii="Times New Roman" w:cs="Times New Roman" w:eastAsia="Times New Roman" w:hAnsi="Times New Roman"/>
          <w:sz w:val="22"/>
          <w:szCs w:val="22"/>
          <w:color w:val="auto"/>
        </w:rPr>
        <w:t>. Any lump sum cash severance payments under Section 3 relating to salary severance and any bonus severance will be provided to Executive on the first regularly scheduled payroll date of the Company (or other then-applicable member of the Company Group) following the date the Release becomes effective and irrevocable (or with respect to such payments under Section 3.2, if later, on the date of the Change in Control), subject to any delay required by Section 5.4 below. Any Time-Based Awards that are restricted stock units, performance shares, performance units, and/or similar full value awards (“</w:t>
      </w:r>
      <w:r>
        <w:rPr>
          <w:rFonts w:ascii="Times New Roman" w:cs="Times New Roman" w:eastAsia="Times New Roman" w:hAnsi="Times New Roman"/>
          <w:sz w:val="22"/>
          <w:szCs w:val="22"/>
          <w:b w:val="1"/>
          <w:bCs w:val="1"/>
          <w:color w:val="auto"/>
        </w:rPr>
        <w:t>Full Value Awards</w:t>
      </w:r>
      <w:r>
        <w:rPr>
          <w:rFonts w:ascii="Times New Roman" w:cs="Times New Roman" w:eastAsia="Times New Roman" w:hAnsi="Times New Roman"/>
          <w:sz w:val="22"/>
          <w:szCs w:val="22"/>
          <w:color w:val="auto"/>
        </w:rPr>
        <w:t>”) that accelerate vesting under Section 3.2.4 will be settled, subject to any delay required by Section 5.4 below (or the terms of the Full Value Award agreement or other Company Group plan, policy, or arrangement governing the settlement timing of the Full Value Award to the extent such terms specifically require any such delay in order to comply with the requirements of Section 409A,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spacing w:after="0" w:line="20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b w:val="1"/>
          <w:bCs w:val="1"/>
          <w:color w:val="auto"/>
        </w:rPr>
        <w:t>COBRA Severance Limitations</w:t>
      </w:r>
      <w:r>
        <w:rPr>
          <w:rFonts w:ascii="Times New Roman" w:cs="Times New Roman" w:eastAsia="Times New Roman" w:hAnsi="Times New Roman"/>
          <w:sz w:val="21"/>
          <w:szCs w:val="21"/>
          <w:color w:val="auto"/>
        </w:rPr>
        <w:t>. If the Company (or other applicable member of the Company Group) determines in its sole discretion that it cannot provide the COBRA-related benefits set forth in Section 3.1.2 or 3.2.3, as applicable (the “</w:t>
      </w:r>
      <w:r>
        <w:rPr>
          <w:rFonts w:ascii="Times New Roman" w:cs="Times New Roman" w:eastAsia="Times New Roman" w:hAnsi="Times New Roman"/>
          <w:sz w:val="21"/>
          <w:szCs w:val="21"/>
          <w:b w:val="1"/>
          <w:bCs w:val="1"/>
          <w:color w:val="auto"/>
        </w:rPr>
        <w:t>COBRA Severance</w:t>
      </w:r>
      <w:r>
        <w:rPr>
          <w:rFonts w:ascii="Times New Roman" w:cs="Times New Roman" w:eastAsia="Times New Roman" w:hAnsi="Times New Roman"/>
          <w:sz w:val="21"/>
          <w:szCs w:val="21"/>
          <w:color w:val="auto"/>
        </w:rPr>
        <w:t>”) without potentially violating, or being subject to an excise tax under, applicable law (including, without limitation, Section 2716 of the Public Health Service Act), then in lieu of such COBRA Severance, subject to any delay required by Section 5.4 below, the Company will provide, or cause to be provided, to Executive a taxable monthly payment payable on the last day of a given month (except as provided by the last sentence in this Section 5.3), in an amount equal to (x) in the case of COBRA Severance under Section 3.1.2, the employer portion of the monthly COBRA premium necessary to continue coverage under the Company Group’s group health, dental and vision care plans for Executive and any of Executive’s eligible dependents, as applicable, as in effect on the date of the Qualifying Termination, or (y) in the case of COBRA Severance under Section 3.2.3, the monthly COBRA premium that would be required to continue coverage under the Company Group’s group health, dental and vision care plans for Executive and Executive’s eligible dependents, as applicable, as in effect on the date of the Qualifying Termination, in each case, which amount will be based on the premium rates applicable for the first month of COBRA Severance for Executive and any eligible dependents of Executive (each, a “</w:t>
      </w:r>
      <w:r>
        <w:rPr>
          <w:rFonts w:ascii="Times New Roman" w:cs="Times New Roman" w:eastAsia="Times New Roman" w:hAnsi="Times New Roman"/>
          <w:sz w:val="21"/>
          <w:szCs w:val="21"/>
          <w:b w:val="1"/>
          <w:bCs w:val="1"/>
          <w:color w:val="auto"/>
        </w:rPr>
        <w:t>COBRA Replacement Payment</w:t>
      </w:r>
      <w:r>
        <w:rPr>
          <w:rFonts w:ascii="Times New Roman" w:cs="Times New Roman" w:eastAsia="Times New Roman" w:hAnsi="Times New Roman"/>
          <w:sz w:val="21"/>
          <w:szCs w:val="21"/>
          <w:color w:val="auto"/>
        </w:rPr>
        <w:t>”), and which COBRA Replacement Payments will be made regardless of whether Executive elects COBRA continuation coverage and will end on the earlier of (a) the date upon which Executive obtains other employment, or (b) the date the Company Group has paid an amount totaling the number of COBRA Replacement Payments equal to the number of months in the applicable COBRA Severance period set forth in clause (a) of Section 3.1.2 or Section 3.2.3, as applicable. For the avoidance of doubt, the COBRA Replacement Payments may be used for any purpose, including, but not limited to continuation coverage under COBRA, and will be subject to any applicable withholdings. Notwithstanding anything to the contrary under this Agreement, if the Company (or other applicable member of the Company Group)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 Section 409A (together, the “</w:t>
      </w:r>
      <w:r>
        <w:rPr>
          <w:rFonts w:ascii="Times New Roman" w:cs="Times New Roman" w:eastAsia="Times New Roman" w:hAnsi="Times New Roman"/>
          <w:sz w:val="22"/>
          <w:szCs w:val="22"/>
          <w:b w:val="1"/>
          <w:bCs w:val="1"/>
          <w:color w:val="auto"/>
        </w:rPr>
        <w:t>Deferred Payments</w:t>
      </w:r>
      <w:r>
        <w:rPr>
          <w:rFonts w:ascii="Times New Roman" w:cs="Times New Roman" w:eastAsia="Times New Roman" w:hAnsi="Times New Roman"/>
          <w:sz w:val="22"/>
          <w:szCs w:val="22"/>
          <w:color w:val="auto"/>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spacing w:after="0" w:line="189"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22"/>
          <w:szCs w:val="22"/>
          <w:color w:val="auto"/>
        </w:rPr>
        <w:t>5.4.1. 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5.4.</w:t>
      </w:r>
    </w:p>
    <w:p>
      <w:pPr>
        <w:spacing w:after="0" w:line="176" w:lineRule="exact"/>
        <w:rPr>
          <w:sz w:val="20"/>
          <w:szCs w:val="20"/>
          <w:color w:val="auto"/>
        </w:rPr>
      </w:pPr>
    </w:p>
    <w:p>
      <w:pPr>
        <w:jc w:val="both"/>
        <w:ind w:firstLine="1944"/>
        <w:spacing w:after="0" w:line="249" w:lineRule="auto"/>
        <w:rPr>
          <w:sz w:val="20"/>
          <w:szCs w:val="20"/>
          <w:color w:val="auto"/>
        </w:rPr>
      </w:pPr>
      <w:r>
        <w:rPr>
          <w:rFonts w:ascii="Times New Roman" w:cs="Times New Roman" w:eastAsia="Times New Roman" w:hAnsi="Times New Roman"/>
          <w:sz w:val="22"/>
          <w:szCs w:val="22"/>
          <w:color w:val="auto"/>
        </w:rPr>
        <w:t>5.4.2. Notwithstanding any provisions to the contrary in this Agreement, if Executive is a “specified employee” within the meaning of Section 409A at the time of 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Section 5.4.2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Termination occurs, then any payments or benefits under this Agreement that constitute Deferred Payments that otherwise would be payable prior to the Release Deadline Date instead will be paid on the Release Deadline Date.</w:t>
      </w:r>
    </w:p>
    <w:p>
      <w:pPr>
        <w:spacing w:after="0" w:line="183" w:lineRule="exact"/>
        <w:rPr>
          <w:sz w:val="20"/>
          <w:szCs w:val="20"/>
          <w:color w:val="auto"/>
        </w:rPr>
      </w:pPr>
    </w:p>
    <w:p>
      <w:pPr>
        <w:jc w:val="both"/>
        <w:ind w:firstLine="1944"/>
        <w:spacing w:after="0" w:line="248" w:lineRule="auto"/>
        <w:rPr>
          <w:sz w:val="20"/>
          <w:szCs w:val="20"/>
          <w:color w:val="auto"/>
        </w:rPr>
      </w:pPr>
      <w:r>
        <w:rPr>
          <w:rFonts w:ascii="Times New Roman" w:cs="Times New Roman" w:eastAsia="Times New Roman" w:hAnsi="Times New Roman"/>
          <w:sz w:val="22"/>
          <w:szCs w:val="22"/>
          <w:color w:val="auto"/>
        </w:rPr>
        <w:t>5.4.3. 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Group or any affiliate of the Company Group have any responsibility, liability or obligation to reimburse, indemnify or hold harmless Executive for any taxes, penalties or interest that may be imposed, or other costs that may be incurred, as a result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Limitation on Payments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color w:val="auto"/>
        </w:rPr>
        <w:t>Reduction of Severance Benefits</w:t>
      </w:r>
      <w:r>
        <w:rPr>
          <w:rFonts w:ascii="Times New Roman" w:cs="Times New Roman" w:eastAsia="Times New Roman" w:hAnsi="Times New Roman"/>
          <w:sz w:val="22"/>
          <w:szCs w:val="22"/>
          <w:color w:val="auto"/>
        </w:rPr>
        <w:t>. If any payment or benefit that Executive would receive from the Company Group or any other party whether in connection with the provisions in this Agreement or otherwise (the “Payments”) would (a) constitute a “parachute payment” within the meaning of Section 280G of the Code and (b) but for this sentence, be subject to the excise tax imposed by Section 4999 of the Code (the “</w:t>
      </w:r>
      <w:r>
        <w:rPr>
          <w:rFonts w:ascii="Times New Roman" w:cs="Times New Roman" w:eastAsia="Times New Roman" w:hAnsi="Times New Roman"/>
          <w:sz w:val="22"/>
          <w:szCs w:val="22"/>
          <w:b w:val="1"/>
          <w:bCs w:val="1"/>
          <w:color w:val="auto"/>
        </w:rPr>
        <w:t>Excise Tax</w:t>
      </w:r>
      <w:r>
        <w:rPr>
          <w:rFonts w:ascii="Times New Roman" w:cs="Times New Roman" w:eastAsia="Times New Roman" w:hAnsi="Times New Roman"/>
          <w:sz w:val="22"/>
          <w:szCs w:val="22"/>
          <w:color w:val="auto"/>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Group nor any affiliate of the Company Group have any responsibility, liability or obligation to reimburse, indemnify or hold harmless Executive for any of those payments of personal tax liability.</w:t>
      </w:r>
    </w:p>
    <w:p>
      <w:pPr>
        <w:spacing w:after="0" w:line="21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color w:val="auto"/>
        </w:rPr>
        <w:t>Determination of Excise Tax Liability</w:t>
      </w:r>
      <w:r>
        <w:rPr>
          <w:rFonts w:ascii="Times New Roman" w:cs="Times New Roman" w:eastAsia="Times New Roman" w:hAnsi="Times New Roman"/>
          <w:sz w:val="22"/>
          <w:szCs w:val="22"/>
          <w:color w:val="auto"/>
        </w:rPr>
        <w:t>. Unless the Company (or Nautilus, as applicable) and Executive otherwise agree in writing, any determinations required under this Section 6 will be made in writing by a nationally recognized accounting or valuation firm (the “</w:t>
      </w:r>
      <w:r>
        <w:rPr>
          <w:rFonts w:ascii="Times New Roman" w:cs="Times New Roman" w:eastAsia="Times New Roman" w:hAnsi="Times New Roman"/>
          <w:sz w:val="22"/>
          <w:szCs w:val="22"/>
          <w:b w:val="1"/>
          <w:bCs w:val="1"/>
          <w:color w:val="auto"/>
        </w:rPr>
        <w:t>Firm</w:t>
      </w:r>
      <w:r>
        <w:rPr>
          <w:rFonts w:ascii="Times New Roman" w:cs="Times New Roman" w:eastAsia="Times New Roman" w:hAnsi="Times New Roman"/>
          <w:sz w:val="22"/>
          <w:szCs w:val="22"/>
          <w:color w:val="auto"/>
        </w:rPr>
        <w:t>”) selected by the Company (or Nautilus, as applicable), whose determinations will be conclusive and binding upon Executive and the Company Group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Group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Group will have no liability to Executive for the determinations of the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Award</w:t>
      </w:r>
      <w:r>
        <w:rPr>
          <w:rFonts w:ascii="Times New Roman" w:cs="Times New Roman" w:eastAsia="Times New Roman" w:hAnsi="Times New Roman"/>
          <w:sz w:val="21"/>
          <w:szCs w:val="21"/>
          <w:color w:val="auto"/>
        </w:rPr>
        <w:t>” means stock options and other equity awards covering shares of Nautilus common stock granted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Executive.</w:t>
      </w:r>
    </w:p>
    <w:p>
      <w:pPr>
        <w:spacing w:after="0" w:line="19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means the Board of Directors of Nautilus.</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7.3.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means: (a) Executive’s failure to substantially perform Executive’s material duties and obligations as an employee (for reasons other than Executive’s death or Disability), which failure is not cured to the sole and reasonable satisfaction of the Company; (b) Executive’s failure or refusal to comply with the policies, standards and regulations established by the Company Group from time to time, which failure is not cured to the sole and reasonable satisfaction of the Company;</w:t>
      </w:r>
    </w:p>
    <w:p>
      <w:pPr>
        <w:spacing w:after="0" w:line="1" w:lineRule="exact"/>
        <w:rPr>
          <w:sz w:val="20"/>
          <w:szCs w:val="20"/>
          <w:color w:val="auto"/>
        </w:rPr>
      </w:pPr>
    </w:p>
    <w:p>
      <w:pPr>
        <w:jc w:val="both"/>
        <w:ind w:firstLine="8"/>
        <w:spacing w:after="0" w:line="243" w:lineRule="auto"/>
        <w:tabs>
          <w:tab w:leader="none" w:pos="30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 of personal dishonesty, moral turpitude, fraud, embezzlement, misrepresentation, or other unlawful act committed by Executive that results in harm to Nautilus or any other member of the Company Group, or any of their respective affiliates,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including financial or reputational, which harm will be determined in the Company’s sole and reasonable discretion;</w:t>
      </w:r>
    </w:p>
    <w:p>
      <w:pPr>
        <w:spacing w:after="0" w:line="5" w:lineRule="exact"/>
        <w:rPr>
          <w:sz w:val="20"/>
          <w:szCs w:val="20"/>
          <w:color w:val="auto"/>
        </w:rPr>
      </w:pPr>
    </w:p>
    <w:p>
      <w:pPr>
        <w:jc w:val="both"/>
        <w:ind w:firstLine="8"/>
        <w:spacing w:after="0" w:line="247" w:lineRule="auto"/>
        <w:tabs>
          <w:tab w:leader="none" w:pos="31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Executive’s violation of a federal or state law or regulation applicable to the business of Nautilus or any other member of the Company Group, or any of their respective affiliates; (e) Executive being convicted of, or entering a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or guilty to, a felony under the laws of the United States or its equivalent in the jurisdiction in which the act that constituted the felony occurred; (f) Executive’s material breach of the terms of this Agreement or any other agreement between Executive and any member of the Company Group (or any affiliate of the Company Group); or (g) Nautilus’ or the Company’s economic duress or necessity, as determined by the Company, in its sole and reasonable discretion. With respect to clauses (a) and (b) above only, Executive will have ten (10) days to cure following written notice of Executive’s failure or refusal to perform or comply, provided that whether the failure is curable will be within the Company’s sole and reasonable discretion.</w:t>
      </w:r>
    </w:p>
    <w:p>
      <w:pPr>
        <w:spacing w:after="0" w:line="18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means the first occurrence of any of the following events on or after the Effective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92" w:lineRule="exact"/>
        <w:rPr>
          <w:sz w:val="20"/>
          <w:szCs w:val="20"/>
          <w:color w:val="auto"/>
        </w:rPr>
      </w:pPr>
    </w:p>
    <w:p>
      <w:pPr>
        <w:jc w:val="both"/>
        <w:ind w:firstLine="1944"/>
        <w:spacing w:after="0" w:line="249" w:lineRule="auto"/>
        <w:rPr>
          <w:sz w:val="20"/>
          <w:szCs w:val="20"/>
          <w:color w:val="auto"/>
        </w:rPr>
      </w:pPr>
      <w:r>
        <w:rPr>
          <w:rFonts w:ascii="Times New Roman" w:cs="Times New Roman" w:eastAsia="Times New Roman" w:hAnsi="Times New Roman"/>
          <w:sz w:val="22"/>
          <w:szCs w:val="22"/>
          <w:color w:val="auto"/>
        </w:rPr>
        <w:t xml:space="preserve">7.4.1. </w:t>
      </w:r>
      <w:r>
        <w:rPr>
          <w:rFonts w:ascii="Times New Roman" w:cs="Times New Roman" w:eastAsia="Times New Roman" w:hAnsi="Times New Roman"/>
          <w:sz w:val="22"/>
          <w:szCs w:val="22"/>
          <w:b w:val="1"/>
          <w:bCs w:val="1"/>
          <w:color w:val="auto"/>
        </w:rPr>
        <w:t>Change in Ownership of Nautilus</w:t>
      </w:r>
      <w:r>
        <w:rPr>
          <w:rFonts w:ascii="Times New Roman" w:cs="Times New Roman" w:eastAsia="Times New Roman" w:hAnsi="Times New Roman"/>
          <w:sz w:val="22"/>
          <w:szCs w:val="22"/>
          <w:color w:val="auto"/>
        </w:rPr>
        <w:t>. A change in the ownership of Nautilus which occurs on the date that any one person, or more than one person acting as a group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acquires ownership of the stock of Nautilus that, together with the stock held by such Person, constitutes more than fifty percent (50%) of the total voting power of the stock of Nautilus; provided, however, that for purposes of this subsection, the acquisition of additional stock by any one Person, who is considered to own more than fifty percent (50%) of the total voting power of the stock of Nautilus will not be considered a Change in Control; provided, further, that any change in the ownership of the stock of Nautilus as a result of a private financing of Nautilus that is approved by the Board also will not be considered a Change in Control. Further, if the stockholders of Nautilus immediately before such change in ownership continue to retain immediately after the change in ownership, in substantially the same proportions as their ownership of shares of Nautilus’ voting stock immediately prior to the change in ownership, direct or indirect beneficial ownership of fifty percent (50%) or more of the total voting power of the stock of Nautilus or of the ultimate parent entity of Nautilus, such event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considered a Change in Control under this Section 7.4.1. For this purpose, indirect beneficial ownership shall include, without limitation, an interest resulting from ownership of the voting securities of one or more corporations or other business entities which own Nautilus, as the case may be, either directly or through one or more subsidiary corporations or other business entities; or</w:t>
      </w:r>
    </w:p>
    <w:p>
      <w:pPr>
        <w:spacing w:after="0" w:line="175"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22"/>
          <w:szCs w:val="22"/>
          <w:color w:val="auto"/>
        </w:rPr>
        <w:t xml:space="preserve">7.4.2. </w:t>
      </w:r>
      <w:r>
        <w:rPr>
          <w:rFonts w:ascii="Times New Roman" w:cs="Times New Roman" w:eastAsia="Times New Roman" w:hAnsi="Times New Roman"/>
          <w:sz w:val="22"/>
          <w:szCs w:val="22"/>
          <w:b w:val="1"/>
          <w:bCs w:val="1"/>
          <w:color w:val="auto"/>
        </w:rPr>
        <w:t>Change in Effective Control of Nautilus</w:t>
      </w:r>
      <w:r>
        <w:rPr>
          <w:rFonts w:ascii="Times New Roman" w:cs="Times New Roman" w:eastAsia="Times New Roman" w:hAnsi="Times New Roman"/>
          <w:sz w:val="22"/>
          <w:szCs w:val="22"/>
          <w:color w:val="auto"/>
        </w:rPr>
        <w:t>. If Nautilus has a class of securities registered pursuant to Section 12 of the U.S. Securities Exchange Act of 1934, as amended, a change in the effective control of Nautilus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Section 7.4.2, if any Person is considered to be in effective control of Nautilus, the acquisition of additional control of Nautilus by the same Person will not be considered a Change in Control; or</w:t>
      </w:r>
    </w:p>
    <w:p>
      <w:pPr>
        <w:spacing w:after="0" w:line="175" w:lineRule="exact"/>
        <w:rPr>
          <w:sz w:val="20"/>
          <w:szCs w:val="20"/>
          <w:color w:val="auto"/>
        </w:rPr>
      </w:pPr>
    </w:p>
    <w:p>
      <w:pPr>
        <w:jc w:val="both"/>
        <w:ind w:firstLine="1944"/>
        <w:spacing w:after="0" w:line="263" w:lineRule="auto"/>
        <w:rPr>
          <w:sz w:val="20"/>
          <w:szCs w:val="20"/>
          <w:color w:val="auto"/>
        </w:rPr>
      </w:pPr>
      <w:r>
        <w:rPr>
          <w:rFonts w:ascii="Times New Roman" w:cs="Times New Roman" w:eastAsia="Times New Roman" w:hAnsi="Times New Roman"/>
          <w:sz w:val="22"/>
          <w:szCs w:val="22"/>
          <w:color w:val="auto"/>
        </w:rPr>
        <w:t xml:space="preserve">7.4.3. </w:t>
      </w:r>
      <w:r>
        <w:rPr>
          <w:rFonts w:ascii="Times New Roman" w:cs="Times New Roman" w:eastAsia="Times New Roman" w:hAnsi="Times New Roman"/>
          <w:sz w:val="22"/>
          <w:szCs w:val="22"/>
          <w:b w:val="1"/>
          <w:bCs w:val="1"/>
          <w:color w:val="auto"/>
        </w:rPr>
        <w:t>Change in Ownership of a Substantial Portion of Nautilus’ Assets</w:t>
      </w:r>
      <w:r>
        <w:rPr>
          <w:rFonts w:ascii="Times New Roman" w:cs="Times New Roman" w:eastAsia="Times New Roman" w:hAnsi="Times New Roman"/>
          <w:sz w:val="22"/>
          <w:szCs w:val="22"/>
          <w:color w:val="auto"/>
        </w:rPr>
        <w:t>. A change in the ownership of a substantial portion of Nautilus’ assets which occurs on the date that any Person acquires (or has acquired during the twelve</w:t>
      </w:r>
    </w:p>
    <w:p>
      <w:pPr>
        <w:jc w:val="both"/>
        <w:ind w:firstLine="8"/>
        <w:spacing w:after="0" w:line="259" w:lineRule="auto"/>
        <w:tabs>
          <w:tab w:leader="none" w:pos="423"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 period ending on the date of the most recent acquisition by such Person or Persons) assets from Nautilus that have a total gross fair market value equal to or more than fifty percent (50%) of the total gross fair market value of all of the assets of Nautilus immediately prior to such acquisition or acquisitions; provided, however, that for purposes of this Section 7.4.3, the following will not constitute a change in the ownership of a substantial portion of Nautilus’ assets: (a) a transfer to an entity that is controlled by Nautilus’ stockholders immediately after the transfer, or (b) a transfer of assets by Nautilus to: (i) a stockholder of Nautilus (immediately before the asset transfer) in exchange for or with respect to Nautilus’ stock, (ii) an entity, fifty percent (50%) or more of the total value or voting power of which is owned, directly or indirectly, by Nautilus, (iii) a Person, that owns, directly or indirectly, fifty percent (50%) or more of the total value or voting power of all the outstanding stock of Nautilus, or (iv) an entity, at least fifty percent (50%) of the total value or voting power of which is owned, directly or indirectly, by a Person described in this Section 7.4.3(b)(iii). For purposes of this Section 7.4.3, gross fair market value means the value of the assets of Nautilus, or the value of the assets being disposed of, determined without regard to any liabilities associated with such assets.</w:t>
      </w:r>
    </w:p>
    <w:p>
      <w:pPr>
        <w:spacing w:after="0" w:line="17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For purposes of this Change in Control definition under Section 7.4, persons will be considered to be acting as a group if they are owners of a corporation that enters into a merger, consolidation, purchase or acquisition of stock, or similar business transaction with Nautilus.</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Nautilus’ incorporation, or (y) its sole purpose is to create a holding company that will be owned in substantially the same proportions by the persons who held Nautilus’ securities immediately before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7.5. “</w:t>
      </w:r>
      <w:r>
        <w:rPr>
          <w:rFonts w:ascii="Times New Roman" w:cs="Times New Roman" w:eastAsia="Times New Roman" w:hAnsi="Times New Roman"/>
          <w:sz w:val="22"/>
          <w:szCs w:val="22"/>
          <w:b w:val="1"/>
          <w:bCs w:val="1"/>
          <w:color w:val="auto"/>
        </w:rPr>
        <w:t>Change in Control Period</w:t>
      </w:r>
      <w:r>
        <w:rPr>
          <w:rFonts w:ascii="Times New Roman" w:cs="Times New Roman" w:eastAsia="Times New Roman" w:hAnsi="Times New Roman"/>
          <w:sz w:val="22"/>
          <w:szCs w:val="22"/>
          <w:color w:val="auto"/>
        </w:rPr>
        <w:t>” means the period beginning on the date three (3) months prior to a Change in Control and ending on (and inclusive of) the date that is the one (1) year anniversary of a Change in Control.</w:t>
      </w:r>
    </w:p>
    <w:p>
      <w:pPr>
        <w:spacing w:after="0" w:line="14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7.6.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8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7.7.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Group</w:t>
      </w:r>
      <w:r>
        <w:rPr>
          <w:rFonts w:ascii="Times New Roman" w:cs="Times New Roman" w:eastAsia="Times New Roman" w:hAnsi="Times New Roman"/>
          <w:sz w:val="21"/>
          <w:szCs w:val="21"/>
          <w:color w:val="auto"/>
        </w:rPr>
        <w:t>” means Nautilus, the Company, and each of Nautilus’ other subsidiaries.</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7.8. “</w:t>
      </w:r>
      <w:r>
        <w:rPr>
          <w:rFonts w:ascii="Times New Roman" w:cs="Times New Roman" w:eastAsia="Times New Roman" w:hAnsi="Times New Roman"/>
          <w:sz w:val="22"/>
          <w:szCs w:val="22"/>
          <w:b w:val="1"/>
          <w:bCs w:val="1"/>
          <w:color w:val="auto"/>
        </w:rPr>
        <w:t>Confidentiality Agreement</w:t>
      </w:r>
      <w:r>
        <w:rPr>
          <w:rFonts w:ascii="Times New Roman" w:cs="Times New Roman" w:eastAsia="Times New Roman" w:hAnsi="Times New Roman"/>
          <w:sz w:val="22"/>
          <w:szCs w:val="22"/>
          <w:color w:val="auto"/>
        </w:rPr>
        <w:t>” means Executive’s At-Will Employment, Confidential Information, Invention Assignment and Arbitration Agreements or similar agreements entered into with the Company including that which is dated of even date herewith, as amended from time to time.</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7.9.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Director</w:t>
      </w:r>
      <w:r>
        <w:rPr>
          <w:rFonts w:ascii="Times New Roman" w:cs="Times New Roman" w:eastAsia="Times New Roman" w:hAnsi="Times New Roman"/>
          <w:sz w:val="21"/>
          <w:szCs w:val="21"/>
          <w:color w:val="auto"/>
        </w:rPr>
        <w:t>” means a member of the Board.</w:t>
      </w:r>
    </w:p>
    <w:p>
      <w:pPr>
        <w:spacing w:after="0" w:line="23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7.10.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means total and permanent disability as defined in Code Section 22(e)(3).</w:t>
      </w:r>
    </w:p>
    <w:p>
      <w:pPr>
        <w:spacing w:after="0" w:line="220"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7.11. “</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means Executive’s termination of Executive’s employment with the Company Group within ninety (90) days following the expiration of the Company’s Cure Period (as defined below) following the occurrence of any of the following without Executive’s written consent: (a) a material reduction in Executive’s responsibilities, provided that neither a mere change in title nor reassignment following a Change in Control to a position that is substantially similar to the position held prior to the Change in Control will constitute a material reduction in job responsibilities; (b) relocation by the Company Group (or parent, affiliate or successor thereto, as applicable) of Executive’s principal work location to a principal work location more than forty (40) miles from Executive’s principal work location immediately before such relocation; or (c) a reduction in Executive’s then current base salary by at least ten percent (10%), provided that an across-the-board reduction in the salary level of all other similarly situated employees by the same percentage amount as part of a general salary level reduction will not constitute such a reduction under this clause (c). In order for an event to qualify as Good Reason, Executive must not terminate employment with the Company Group without first providing the Company Group with written notice of the acts or omissions constituting the grounds for “Good Reason” within ninety (90) days following the initial existence of the grounds for “Good Reason” and a cure period of thirty (30) days following the date of such notice (the “</w:t>
      </w:r>
      <w:r>
        <w:rPr>
          <w:rFonts w:ascii="Times New Roman" w:cs="Times New Roman" w:eastAsia="Times New Roman" w:hAnsi="Times New Roman"/>
          <w:sz w:val="21"/>
          <w:szCs w:val="21"/>
          <w:b w:val="1"/>
          <w:bCs w:val="1"/>
          <w:color w:val="auto"/>
        </w:rPr>
        <w:t>Cure Period</w:t>
      </w:r>
      <w:r>
        <w:rPr>
          <w:rFonts w:ascii="Times New Roman" w:cs="Times New Roman" w:eastAsia="Times New Roman" w:hAnsi="Times New Roman"/>
          <w:sz w:val="21"/>
          <w:szCs w:val="21"/>
          <w:color w:val="auto"/>
        </w:rPr>
        <w:t>”). To the extent Executive’s principal work location is not the Company Group’s corporate offices or facilities due to a shelter-in-place order, quarantine order, or similar work-from-home requirement that applies to Executive, Executive’s principal work location, from which a change in location under the foregoing clause (b) will be measured, will be considered the Company Group’s office or facility location where Executive’s employment with the Company Group primarily was based immediately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commencement of such shelter-in-place order, quarantine order, or similar work-from-home requirement.</w:t>
      </w:r>
    </w:p>
    <w:p>
      <w:pPr>
        <w:spacing w:after="0" w:line="21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7.12. “</w:t>
      </w:r>
      <w:r>
        <w:rPr>
          <w:rFonts w:ascii="Times New Roman" w:cs="Times New Roman" w:eastAsia="Times New Roman" w:hAnsi="Times New Roman"/>
          <w:sz w:val="22"/>
          <w:szCs w:val="22"/>
          <w:b w:val="1"/>
          <w:bCs w:val="1"/>
          <w:color w:val="auto"/>
        </w:rPr>
        <w:t>Qualifying Termination</w:t>
      </w:r>
      <w:r>
        <w:rPr>
          <w:rFonts w:ascii="Times New Roman" w:cs="Times New Roman" w:eastAsia="Times New Roman" w:hAnsi="Times New Roman"/>
          <w:sz w:val="22"/>
          <w:szCs w:val="22"/>
          <w:color w:val="auto"/>
        </w:rPr>
        <w:t>” means a termination of Executive’s employment with the Company Group either (a) by the Company Group without Cause and other than due to Executive’s death or Disability (provided that the transfer of Executive’s employment to another member of the Company Group shall not be deemed to constitute the Company’s termination of Executive’s employment with the Company Group), or (b) by Executive for Good Reason.</w:t>
      </w:r>
    </w:p>
    <w:p>
      <w:pPr>
        <w:spacing w:after="0" w:line="17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7.13. “</w:t>
      </w:r>
      <w:r>
        <w:rPr>
          <w:rFonts w:ascii="Times New Roman" w:cs="Times New Roman" w:eastAsia="Times New Roman" w:hAnsi="Times New Roman"/>
          <w:sz w:val="22"/>
          <w:szCs w:val="22"/>
          <w:b w:val="1"/>
          <w:bCs w:val="1"/>
          <w:color w:val="auto"/>
        </w:rPr>
        <w:t>Salary</w:t>
      </w:r>
      <w:r>
        <w:rPr>
          <w:rFonts w:ascii="Times New Roman" w:cs="Times New Roman" w:eastAsia="Times New Roman" w:hAnsi="Times New Roman"/>
          <w:sz w:val="22"/>
          <w:szCs w:val="22"/>
          <w:color w:val="auto"/>
        </w:rPr>
        <w:t>” 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w:t>
      </w:r>
    </w:p>
    <w:p>
      <w:pPr>
        <w:spacing w:after="0" w:line="173"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7.14.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means Code Section 409A and the Treasury Regulations and guidance thereunder, and any applicable state law equivalent, as each may be promulgated, amended or modified from time to time.</w:t>
      </w:r>
    </w:p>
    <w:p>
      <w:pPr>
        <w:spacing w:after="0" w:line="13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7.15. “</w:t>
      </w:r>
      <w:r>
        <w:rPr>
          <w:rFonts w:ascii="Times New Roman" w:cs="Times New Roman" w:eastAsia="Times New Roman" w:hAnsi="Times New Roman"/>
          <w:sz w:val="22"/>
          <w:szCs w:val="22"/>
          <w:b w:val="1"/>
          <w:bCs w:val="1"/>
          <w:color w:val="auto"/>
        </w:rPr>
        <w:t>Target Bonus</w:t>
      </w:r>
      <w:r>
        <w:rPr>
          <w:rFonts w:ascii="Times New Roman" w:cs="Times New Roman" w:eastAsia="Times New Roman" w:hAnsi="Times New Roman"/>
          <w:sz w:val="22"/>
          <w:szCs w:val="22"/>
          <w:color w:val="auto"/>
        </w:rPr>
        <w:t>” means Executive’s annual (or annualized, as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7.16. “</w:t>
      </w:r>
      <w:r>
        <w:rPr>
          <w:rFonts w:ascii="Times New Roman" w:cs="Times New Roman" w:eastAsia="Times New Roman" w:hAnsi="Times New Roman"/>
          <w:sz w:val="22"/>
          <w:szCs w:val="22"/>
          <w:b w:val="1"/>
          <w:bCs w:val="1"/>
          <w:color w:val="auto"/>
        </w:rPr>
        <w:t>Time-Based Awards</w:t>
      </w:r>
      <w:r>
        <w:rPr>
          <w:rFonts w:ascii="Times New Roman" w:cs="Times New Roman" w:eastAsia="Times New Roman" w:hAnsi="Times New Roman"/>
          <w:sz w:val="22"/>
          <w:szCs w:val="22"/>
          <w:color w:val="auto"/>
        </w:rPr>
        <w:t>” means Awards that, as of the date of the Qualifying Termination, or in the case of a Qualifying Termination during the Change in Control Period,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spacing w:after="0" w:line="175" w:lineRule="exact"/>
        <w:rPr>
          <w:sz w:val="20"/>
          <w:szCs w:val="20"/>
          <w:color w:val="auto"/>
        </w:rPr>
      </w:pPr>
    </w:p>
    <w:p>
      <w:pPr>
        <w:jc w:val="both"/>
        <w:ind w:firstLine="656"/>
        <w:spacing w:after="0" w:line="251" w:lineRule="auto"/>
        <w:tabs>
          <w:tab w:leader="none" w:pos="12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w:t>
      </w:r>
      <w:r>
        <w:rPr>
          <w:rFonts w:ascii="Times New Roman" w:cs="Times New Roman" w:eastAsia="Times New Roman" w:hAnsi="Times New Roman"/>
          <w:sz w:val="22"/>
          <w:szCs w:val="22"/>
          <w:color w:val="auto"/>
        </w:rPr>
        <w:t>. This Agreement will be binding upon and inure to the benefit of (a) the heirs, executors, and 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representatives of Executive upon Executive’s death, and (b) any successor of the Company Group. Any such successor of the Company Group will be deemed substituted for the Company Group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Group.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Nautilus Subsidiary,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2701 Eastlake Avenue East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Seattle, WA 98102</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Chief Executive Officer</w:t>
      </w:r>
    </w:p>
    <w:p>
      <w:pPr>
        <w:spacing w:after="0" w:line="20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b w:val="1"/>
          <w:bCs w:val="1"/>
          <w:color w:val="auto"/>
        </w:rPr>
        <w:t>Notice of Termination</w:t>
      </w:r>
      <w:r>
        <w:rPr>
          <w:rFonts w:ascii="Times New Roman" w:cs="Times New Roman" w:eastAsia="Times New Roman" w:hAnsi="Times New Roman"/>
          <w:sz w:val="22"/>
          <w:szCs w:val="22"/>
          <w:color w:val="auto"/>
        </w:rPr>
        <w:t>. Any termination of Executive’s employment by the Company Group for Cause will be communicated by a notice of termination of Executive’s employment to Executive, and any termination by Executive for Good Reason will be communicated by a notice of termination to the Company Group,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(i) the giving of the notice or (ii) the end of any applicable cure period, except as set forth in Section 7.11).</w:t>
      </w:r>
    </w:p>
    <w:p>
      <w:pPr>
        <w:spacing w:after="0" w:line="180" w:lineRule="exact"/>
        <w:rPr>
          <w:sz w:val="20"/>
          <w:szCs w:val="20"/>
          <w:color w:val="auto"/>
        </w:rPr>
      </w:pPr>
    </w:p>
    <w:p>
      <w:pPr>
        <w:jc w:val="both"/>
        <w:ind w:firstLine="656"/>
        <w:spacing w:after="0" w:line="253" w:lineRule="auto"/>
        <w:tabs>
          <w:tab w:leader="none" w:pos="129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Resignation</w:t>
      </w:r>
      <w:r>
        <w:rPr>
          <w:rFonts w:ascii="Times New Roman" w:cs="Times New Roman" w:eastAsia="Times New Roman" w:hAnsi="Times New Roman"/>
          <w:sz w:val="22"/>
          <w:szCs w:val="22"/>
          <w:color w:val="auto"/>
        </w:rPr>
        <w:t>. The termination of Executive’s employment with the Company Group for any reason also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 without any further required action by Executive, Executive’s voluntary resignation from all officer and/or director positions held at the Company Group or any of its affiliates, and at the Company Group’s request, Executive will execute any documents reasonably necessary to reflect the resignations.</w:t>
      </w:r>
    </w:p>
    <w:p>
      <w:pPr>
        <w:spacing w:after="0" w:line="18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Miscellaneous Provisions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color w:val="auto"/>
        </w:rPr>
        <w:t>No Duty to Mitigate</w:t>
      </w:r>
      <w:r>
        <w:rPr>
          <w:rFonts w:ascii="Times New Roman" w:cs="Times New Roman" w:eastAsia="Times New Roman" w:hAnsi="Times New Roman"/>
          <w:sz w:val="22"/>
          <w:szCs w:val="22"/>
          <w:color w:val="auto"/>
        </w:rPr>
        <w:t>. Executive will not be required to mitigate the amount of any payment contemplated by this Agreement, nor will any payment be reduced by any earnings that Executive may receive from any other source except as specified in Sections 3.4, 5.3, 5.4.3, and 6.</w:t>
      </w:r>
    </w:p>
    <w:p>
      <w:pPr>
        <w:spacing w:after="0" w:line="16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b w:val="1"/>
          <w:bCs w:val="1"/>
          <w:color w:val="auto"/>
        </w:rPr>
        <w:t>Waiver; Amendment</w:t>
      </w:r>
      <w:r>
        <w:rPr>
          <w:rFonts w:ascii="Times New Roman" w:cs="Times New Roman" w:eastAsia="Times New Roman" w:hAnsi="Times New Roman"/>
          <w:sz w:val="22"/>
          <w:szCs w:val="22"/>
          <w:color w:val="auto"/>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b w:val="1"/>
          <w:bCs w:val="1"/>
          <w:color w:val="auto"/>
        </w:rPr>
        <w:t>Headings</w:t>
      </w:r>
      <w:r>
        <w:rPr>
          <w:rFonts w:ascii="Times New Roman" w:cs="Times New Roman" w:eastAsia="Times New Roman" w:hAnsi="Times New Roman"/>
          <w:sz w:val="22"/>
          <w:szCs w:val="22"/>
          <w:color w:val="auto"/>
        </w:rPr>
        <w:t>. Headings are provided herein for convenience only, and will not serve as a basis for interpretation or construction of this Agreement.</w:t>
      </w:r>
    </w:p>
    <w:p>
      <w:pPr>
        <w:spacing w:after="0" w:line="14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This Agreement, together with the Confidentiality Agreement, Nautilus’ 2021 Equity Incentive Plan and/or 2017 Equity Incentive Plan and award agreements thereunder governing Executive’s Awards, and employment offer letter entered into with the Company on July 5, 2024,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without limitation, any Change in Control and Severance Agreement previously entered into between Executive and Nautilus, as applicable.</w:t>
      </w:r>
    </w:p>
    <w:p>
      <w:pPr>
        <w:spacing w:after="0" w:line="17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Agreement will be governed by the laws of the State of California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California for any lawsuit filed against Executive by the Company Group.</w:t>
      </w:r>
    </w:p>
    <w:p>
      <w:pPr>
        <w:spacing w:after="0" w:line="168"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21"/>
          <w:szCs w:val="21"/>
          <w:color w:val="auto"/>
        </w:rPr>
        <w:t xml:space="preserve">11.6. </w:t>
      </w: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spacing w:after="0" w:line="14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b w:val="1"/>
          <w:bCs w:val="1"/>
          <w:color w:val="auto"/>
        </w:rPr>
        <w:t>Withholding</w:t>
      </w:r>
      <w:r>
        <w:rPr>
          <w:rFonts w:ascii="Times New Roman" w:cs="Times New Roman" w:eastAsia="Times New Roman" w:hAnsi="Times New Roman"/>
          <w:sz w:val="22"/>
          <w:szCs w:val="22"/>
          <w:color w:val="auto"/>
        </w:rPr>
        <w:t>. The Company (and any parent, subsidiary or other affiliate of the Company or other member of the Company Group, as applicable) will have the right and authority to deduct from any payments or benefits all applicable federal, state, local, and/or non U.S. taxes or other required withholdings and payroll deductions (“</w:t>
      </w:r>
      <w:r>
        <w:rPr>
          <w:rFonts w:ascii="Times New Roman" w:cs="Times New Roman" w:eastAsia="Times New Roman" w:hAnsi="Times New Roman"/>
          <w:sz w:val="22"/>
          <w:szCs w:val="22"/>
          <w:b w:val="1"/>
          <w:bCs w:val="1"/>
          <w:color w:val="auto"/>
        </w:rPr>
        <w:t>Withholdings</w:t>
      </w:r>
      <w:r>
        <w:rPr>
          <w:rFonts w:ascii="Times New Roman" w:cs="Times New Roman" w:eastAsia="Times New Roman" w:hAnsi="Times New Roman"/>
          <w:sz w:val="22"/>
          <w:szCs w:val="22"/>
          <w:color w:val="auto"/>
        </w:rPr>
        <w:t>”). Prior to the payment of any amounts or provision of any benefits under this Agreement, the Company (and any parent, subsidiary or other affiliate of the Company or other member of the Company Group, as applicable) is permitted to deduct or withhold, or require Executive to remit to the Company Group, an amount sufficient to satisfy any applicable Withholdings with respect to such payments and benefits. Neither the Company nor any parent, subsidiary or other affiliate of the Company or other member of the Company Group will have any responsibility, liability or obligation to pay Executive’s taxes arising from or relating to any payments or benefits under this Agreement.</w:t>
      </w:r>
    </w:p>
    <w:p>
      <w:pPr>
        <w:spacing w:after="0" w:line="18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counterparts, each of which will be deemed an original, but all of which together will constitute one and the same instrument.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By its signature below, each of the parties signifies its acceptance of the terms of this Agreement, in the case of the Company by its duly authorized officer.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COMPANY</w:t>
      </w:r>
      <w:r>
        <w:rPr>
          <w:sz w:val="20"/>
          <w:szCs w:val="20"/>
          <w:color w:val="auto"/>
        </w:rPr>
        <w:tab/>
      </w:r>
      <w:r>
        <w:rPr>
          <w:rFonts w:ascii="Times New Roman" w:cs="Times New Roman" w:eastAsia="Times New Roman" w:hAnsi="Times New Roman"/>
          <w:sz w:val="21"/>
          <w:szCs w:val="21"/>
          <w:b w:val="1"/>
          <w:bCs w:val="1"/>
          <w:color w:val="auto"/>
        </w:rPr>
        <w:t>NAUTILUS SUBSIDIARY, INC.</w:t>
      </w: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By: /s/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-13970</wp:posOffset>
            </wp:positionV>
            <wp:extent cx="8915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Sujal Patel</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-29210</wp:posOffset>
            </wp:positionV>
            <wp:extent cx="14522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1452245" cy="8255"/>
                    </a:xfrm>
                    <a:prstGeom prst="rect">
                      <a:avLst/>
                    </a:prstGeom>
                    <a:noFill/>
                  </pic:spPr>
                </pic:pic>
              </a:graphicData>
            </a:graphic>
          </wp:anchor>
        </w:drawing>
      </w:r>
    </w:p>
    <w:p>
      <w:pPr>
        <w:spacing w:after="0" w:line="1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Date: 9/16/24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-13970</wp:posOffset>
            </wp:positionV>
            <wp:extent cx="5562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556260" cy="8255"/>
                    </a:xfrm>
                    <a:prstGeom prst="rect">
                      <a:avLst/>
                    </a:prstGeom>
                    <a:noFill/>
                  </pic:spPr>
                </pic:pic>
              </a:graphicData>
            </a:graphic>
          </wp:anchor>
        </w:drawing>
      </w:r>
    </w:p>
    <w:p>
      <w:pPr>
        <w:spacing w:after="0" w:line="19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NAUTILUS</w:t>
      </w:r>
      <w:r>
        <w:rPr>
          <w:sz w:val="20"/>
          <w:szCs w:val="20"/>
          <w:color w:val="auto"/>
        </w:rPr>
        <w:tab/>
      </w:r>
      <w:r>
        <w:rPr>
          <w:rFonts w:ascii="Times New Roman" w:cs="Times New Roman" w:eastAsia="Times New Roman" w:hAnsi="Times New Roman"/>
          <w:sz w:val="21"/>
          <w:szCs w:val="21"/>
          <w:b w:val="1"/>
          <w:bCs w:val="1"/>
          <w:color w:val="auto"/>
        </w:rPr>
        <w:t>NAUTILUS BIOTECHNOLOGY , INC.</w:t>
      </w: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By: /s/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-13970</wp:posOffset>
            </wp:positionV>
            <wp:extent cx="8915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Sujal Patel</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-29210</wp:posOffset>
            </wp:positionV>
            <wp:extent cx="14522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1452245" cy="8255"/>
                    </a:xfrm>
                    <a:prstGeom prst="rect">
                      <a:avLst/>
                    </a:prstGeom>
                    <a:noFill/>
                  </pic:spPr>
                </pic:pic>
              </a:graphicData>
            </a:graphic>
          </wp:anchor>
        </w:drawing>
      </w:r>
    </w:p>
    <w:p>
      <w:pPr>
        <w:spacing w:after="0" w:line="1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Date: 9/16/24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-13970</wp:posOffset>
            </wp:positionV>
            <wp:extent cx="5562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5562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EXECUTIVE</w:t>
      </w:r>
      <w:r>
        <w:rPr>
          <w:sz w:val="20"/>
          <w:szCs w:val="20"/>
          <w:color w:val="auto"/>
        </w:rPr>
        <w:tab/>
      </w:r>
      <w:r>
        <w:rPr>
          <w:rFonts w:ascii="Times New Roman" w:cs="Times New Roman" w:eastAsia="Times New Roman" w:hAnsi="Times New Roman"/>
          <w:sz w:val="21"/>
          <w:szCs w:val="21"/>
          <w:color w:val="auto"/>
        </w:rPr>
        <w:t>/s/ Kentaro Suzuki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-11430</wp:posOffset>
            </wp:positionV>
            <wp:extent cx="11582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1158240" cy="889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Kentaro Suzuki</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Date: 9/16/24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-13970</wp:posOffset>
            </wp:positionV>
            <wp:extent cx="5562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556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Nautilus Subsidiary, Inc. Change in Control and Severance Agreement]</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20"/>
          </w:cols>
          <w:pgMar w:left="320" w:top="1440" w:right="359" w:bottom="1440" w:gutter="0" w:footer="0" w:header="0"/>
          <w:type w:val="continuous"/>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Sujal Patel, certify that:</w:t>
      </w:r>
    </w:p>
    <w:p>
      <w:pPr>
        <w:spacing w:after="0" w:line="333"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Nautilus Biotechnology, Inc.;</w:t>
      </w:r>
    </w:p>
    <w:p>
      <w:pPr>
        <w:spacing w:after="0" w:line="103" w:lineRule="exact"/>
        <w:rPr>
          <w:rFonts w:ascii="Times New Roman" w:cs="Times New Roman" w:eastAsia="Times New Roman" w:hAnsi="Times New Roman"/>
          <w:sz w:val="18"/>
          <w:szCs w:val="18"/>
          <w:color w:val="auto"/>
        </w:rPr>
      </w:pPr>
    </w:p>
    <w:p>
      <w:pPr>
        <w:jc w:val="both"/>
        <w:ind w:left="660" w:right="120" w:hanging="328"/>
        <w:spacing w:after="0" w:line="24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jc w:val="both"/>
        <w:ind w:left="660" w:right="120" w:hanging="328"/>
        <w:spacing w:after="0" w:line="23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8"/>
          <w:szCs w:val="18"/>
          <w:color w:val="auto"/>
        </w:rPr>
      </w:pPr>
    </w:p>
    <w:p>
      <w:pPr>
        <w:ind w:left="1140" w:right="80" w:hanging="322"/>
        <w:spacing w:after="0" w:line="236" w:lineRule="auto"/>
        <w:tabs>
          <w:tab w:leader="none" w:pos="113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8"/>
          <w:szCs w:val="18"/>
          <w:color w:val="auto"/>
        </w:rPr>
      </w:pPr>
    </w:p>
    <w:p>
      <w:pPr>
        <w:ind w:left="1140" w:right="200" w:hanging="322"/>
        <w:spacing w:after="0" w:line="242" w:lineRule="auto"/>
        <w:tabs>
          <w:tab w:leader="none" w:pos="11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8"/>
          <w:szCs w:val="18"/>
          <w:color w:val="auto"/>
        </w:rPr>
      </w:pPr>
    </w:p>
    <w:p>
      <w:pPr>
        <w:jc w:val="both"/>
        <w:ind w:left="1140" w:right="380" w:hanging="322"/>
        <w:spacing w:after="0" w:line="279" w:lineRule="auto"/>
        <w:tabs>
          <w:tab w:leader="none" w:pos="113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7"/>
          <w:szCs w:val="17"/>
          <w:color w:val="auto"/>
        </w:rPr>
      </w:pPr>
    </w:p>
    <w:p>
      <w:pPr>
        <w:ind w:left="1140" w:right="100" w:hanging="322"/>
        <w:spacing w:after="0" w:line="236" w:lineRule="auto"/>
        <w:tabs>
          <w:tab w:leader="none" w:pos="11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140" w:right="620" w:hanging="322"/>
        <w:spacing w:after="0" w:line="250" w:lineRule="auto"/>
        <w:tabs>
          <w:tab w:leader="none" w:pos="113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1140" w:right="320" w:hanging="322"/>
        <w:spacing w:after="0" w:line="250" w:lineRule="auto"/>
        <w:tabs>
          <w:tab w:leader="none" w:pos="11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October 29, 2024</w:t>
            </w:r>
          </w:p>
        </w:tc>
        <w:tc>
          <w:tcPr>
            <w:tcW w:w="25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Sujal Patel</w:t>
            </w:r>
          </w:p>
        </w:tc>
        <w:tc>
          <w:tcPr>
            <w:tcW w:w="0" w:type="dxa"/>
            <w:vAlign w:val="bottom"/>
          </w:tcPr>
          <w:p>
            <w:pPr>
              <w:spacing w:after="0"/>
              <w:rPr>
                <w:sz w:val="1"/>
                <w:szCs w:val="1"/>
                <w:color w:val="auto"/>
              </w:rPr>
            </w:pPr>
          </w:p>
        </w:tc>
      </w:tr>
      <w:tr>
        <w:trPr>
          <w:trHeight w:val="115"/>
        </w:trPr>
        <w:tc>
          <w:tcPr>
            <w:tcW w:w="3300" w:type="dxa"/>
            <w:vAlign w:val="bottom"/>
            <w:vMerge w:val="continue"/>
          </w:tcPr>
          <w:p>
            <w:pPr>
              <w:spacing w:after="0"/>
              <w:rPr>
                <w:sz w:val="10"/>
                <w:szCs w:val="10"/>
                <w:color w:val="auto"/>
              </w:rPr>
            </w:pPr>
          </w:p>
        </w:tc>
        <w:tc>
          <w:tcPr>
            <w:tcW w:w="252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Sujal Patel</w:t>
            </w: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0" w:type="dxa"/>
            <w:vAlign w:val="bottom"/>
          </w:tcPr>
          <w:p>
            <w:pPr>
              <w:spacing w:after="0"/>
              <w:rPr>
                <w:sz w:val="1"/>
                <w:szCs w:val="1"/>
                <w:color w:val="auto"/>
              </w:rPr>
            </w:pPr>
          </w:p>
        </w:tc>
      </w:tr>
      <w:tr>
        <w:trPr>
          <w:trHeight w:val="256"/>
        </w:trPr>
        <w:tc>
          <w:tcPr>
            <w:tcW w:w="33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Anna Mowry, certify that:</w:t>
      </w:r>
    </w:p>
    <w:p>
      <w:pPr>
        <w:spacing w:after="0" w:line="333"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Nautilus Biotechnology, Inc.;</w:t>
      </w:r>
    </w:p>
    <w:p>
      <w:pPr>
        <w:spacing w:after="0" w:line="103" w:lineRule="exact"/>
        <w:rPr>
          <w:rFonts w:ascii="Times New Roman" w:cs="Times New Roman" w:eastAsia="Times New Roman" w:hAnsi="Times New Roman"/>
          <w:sz w:val="18"/>
          <w:szCs w:val="18"/>
          <w:color w:val="auto"/>
        </w:rPr>
      </w:pPr>
    </w:p>
    <w:p>
      <w:pPr>
        <w:jc w:val="both"/>
        <w:ind w:left="660" w:right="120" w:hanging="328"/>
        <w:spacing w:after="0" w:line="24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jc w:val="both"/>
        <w:ind w:left="660" w:right="120" w:hanging="328"/>
        <w:spacing w:after="0" w:line="23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8"/>
          <w:szCs w:val="18"/>
          <w:color w:val="auto"/>
        </w:rPr>
      </w:pPr>
    </w:p>
    <w:p>
      <w:pPr>
        <w:ind w:left="1140" w:right="80" w:hanging="322"/>
        <w:spacing w:after="0" w:line="236" w:lineRule="auto"/>
        <w:tabs>
          <w:tab w:leader="none" w:pos="113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8"/>
          <w:szCs w:val="18"/>
          <w:color w:val="auto"/>
        </w:rPr>
      </w:pPr>
    </w:p>
    <w:p>
      <w:pPr>
        <w:ind w:left="1140" w:right="200" w:hanging="322"/>
        <w:spacing w:after="0" w:line="242" w:lineRule="auto"/>
        <w:tabs>
          <w:tab w:leader="none" w:pos="11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8"/>
          <w:szCs w:val="18"/>
          <w:color w:val="auto"/>
        </w:rPr>
      </w:pPr>
    </w:p>
    <w:p>
      <w:pPr>
        <w:jc w:val="both"/>
        <w:ind w:left="1140" w:right="380" w:hanging="322"/>
        <w:spacing w:after="0" w:line="279" w:lineRule="auto"/>
        <w:tabs>
          <w:tab w:leader="none" w:pos="113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7"/>
          <w:szCs w:val="17"/>
          <w:color w:val="auto"/>
        </w:rPr>
      </w:pPr>
    </w:p>
    <w:p>
      <w:pPr>
        <w:ind w:left="1140" w:right="100" w:hanging="322"/>
        <w:spacing w:after="0" w:line="236" w:lineRule="auto"/>
        <w:tabs>
          <w:tab w:leader="none" w:pos="11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140" w:right="620" w:hanging="322"/>
        <w:spacing w:after="0" w:line="250" w:lineRule="auto"/>
        <w:tabs>
          <w:tab w:leader="none" w:pos="113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1140" w:right="320" w:hanging="322"/>
        <w:spacing w:after="0" w:line="250" w:lineRule="auto"/>
        <w:tabs>
          <w:tab w:leader="none" w:pos="11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October 29, 2024</w:t>
            </w:r>
          </w:p>
        </w:tc>
        <w:tc>
          <w:tcPr>
            <w:tcW w:w="25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Anna Mowry</w:t>
            </w:r>
          </w:p>
        </w:tc>
        <w:tc>
          <w:tcPr>
            <w:tcW w:w="0" w:type="dxa"/>
            <w:vAlign w:val="bottom"/>
          </w:tcPr>
          <w:p>
            <w:pPr>
              <w:spacing w:after="0"/>
              <w:rPr>
                <w:sz w:val="1"/>
                <w:szCs w:val="1"/>
                <w:color w:val="auto"/>
              </w:rPr>
            </w:pPr>
          </w:p>
        </w:tc>
      </w:tr>
      <w:tr>
        <w:trPr>
          <w:trHeight w:val="115"/>
        </w:trPr>
        <w:tc>
          <w:tcPr>
            <w:tcW w:w="3300" w:type="dxa"/>
            <w:vAlign w:val="bottom"/>
            <w:vMerge w:val="continue"/>
          </w:tcPr>
          <w:p>
            <w:pPr>
              <w:spacing w:after="0"/>
              <w:rPr>
                <w:sz w:val="10"/>
                <w:szCs w:val="10"/>
                <w:color w:val="auto"/>
              </w:rPr>
            </w:pPr>
          </w:p>
        </w:tc>
        <w:tc>
          <w:tcPr>
            <w:tcW w:w="252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Anna Mowry</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203"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In connection with the Quarterly Report of Nautilus Biotechnology, Inc. (the “Company”) on Form 10-Q for the period ended September 30, 2024 as filed with the Securities and Exchange Commission on the date hereof (the “Report”), I, Sujal Patel, hereby certify, pursuant to 18 U.S.C. § 1350, as adopted pursuant to § 906 of the Sarbanes-Oxley Act of 2002, that:</w:t>
      </w:r>
    </w:p>
    <w:p>
      <w:pPr>
        <w:spacing w:after="0" w:line="319"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October 29, 2024</w:t>
            </w:r>
          </w:p>
        </w:tc>
        <w:tc>
          <w:tcPr>
            <w:tcW w:w="25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Sujal Patel</w:t>
            </w:r>
          </w:p>
        </w:tc>
        <w:tc>
          <w:tcPr>
            <w:tcW w:w="0" w:type="dxa"/>
            <w:vAlign w:val="bottom"/>
          </w:tcPr>
          <w:p>
            <w:pPr>
              <w:spacing w:after="0"/>
              <w:rPr>
                <w:sz w:val="1"/>
                <w:szCs w:val="1"/>
                <w:color w:val="auto"/>
              </w:rPr>
            </w:pPr>
          </w:p>
        </w:tc>
      </w:tr>
      <w:tr>
        <w:trPr>
          <w:trHeight w:val="115"/>
        </w:trPr>
        <w:tc>
          <w:tcPr>
            <w:tcW w:w="3300" w:type="dxa"/>
            <w:vAlign w:val="bottom"/>
            <w:vMerge w:val="continue"/>
          </w:tcPr>
          <w:p>
            <w:pPr>
              <w:spacing w:after="0"/>
              <w:rPr>
                <w:sz w:val="10"/>
                <w:szCs w:val="10"/>
                <w:color w:val="auto"/>
              </w:rPr>
            </w:pPr>
          </w:p>
        </w:tc>
        <w:tc>
          <w:tcPr>
            <w:tcW w:w="252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Sujal Patel</w:t>
            </w: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9" w:lineRule="exact"/>
        <w:rPr>
          <w:sz w:val="20"/>
          <w:szCs w:val="20"/>
          <w:color w:val="auto"/>
        </w:rPr>
      </w:pPr>
    </w:p>
    <w:p>
      <w:pPr>
        <w:jc w:val="both"/>
        <w:ind w:right="120"/>
        <w:spacing w:after="0" w:line="242" w:lineRule="auto"/>
        <w:rPr>
          <w:sz w:val="20"/>
          <w:szCs w:val="20"/>
          <w:color w:val="auto"/>
        </w:rPr>
      </w:pPr>
      <w:r>
        <w:rPr>
          <w:rFonts w:ascii="Times New Roman" w:cs="Times New Roman" w:eastAsia="Times New Roman" w:hAnsi="Times New Roman"/>
          <w:sz w:val="18"/>
          <w:szCs w:val="18"/>
          <w:color w:val="auto"/>
        </w:rPr>
        <w:t>In connection with the Quarterly Report of Nautilus Biotechnology, Inc. (the “Company”) on Form 10-Q for the period ended September 30, 2024 as filed with the Securities and Exchange Commission on the date hereof (the “Report”), I, Anna Mowry, hereby certify, pursuant to 18 U.S.C. § 1350, as adopted pursuant to § 906 of the Sarbanes-Oxley Act of 2002, that:</w:t>
      </w:r>
    </w:p>
    <w:p>
      <w:pPr>
        <w:spacing w:after="0" w:line="319"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October 29, 2024</w:t>
            </w:r>
          </w:p>
        </w:tc>
        <w:tc>
          <w:tcPr>
            <w:tcW w:w="25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Anna Mowry</w:t>
            </w:r>
          </w:p>
        </w:tc>
        <w:tc>
          <w:tcPr>
            <w:tcW w:w="0" w:type="dxa"/>
            <w:vAlign w:val="bottom"/>
          </w:tcPr>
          <w:p>
            <w:pPr>
              <w:spacing w:after="0"/>
              <w:rPr>
                <w:sz w:val="1"/>
                <w:szCs w:val="1"/>
                <w:color w:val="auto"/>
              </w:rPr>
            </w:pPr>
          </w:p>
        </w:tc>
      </w:tr>
      <w:tr>
        <w:trPr>
          <w:trHeight w:val="115"/>
        </w:trPr>
        <w:tc>
          <w:tcPr>
            <w:tcW w:w="3300" w:type="dxa"/>
            <w:vAlign w:val="bottom"/>
            <w:vMerge w:val="continue"/>
          </w:tcPr>
          <w:p>
            <w:pPr>
              <w:spacing w:after="0"/>
              <w:rPr>
                <w:sz w:val="10"/>
                <w:szCs w:val="10"/>
                <w:color w:val="auto"/>
              </w:rPr>
            </w:pPr>
          </w:p>
        </w:tc>
        <w:tc>
          <w:tcPr>
            <w:tcW w:w="252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Anna Mowry</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2221A70"/>
    <w:multiLevelType w:val="hybridMultilevel"/>
    <w:lvl w:ilvl="0">
      <w:lvlJc w:val="left"/>
      <w:lvlText w:val="x"/>
      <w:numFmt w:val="bullet"/>
      <w:start w:val="1"/>
    </w:lvl>
  </w:abstractNum>
  <w:abstractNum w:abstractNumId="1">
    <w:nsid w:val="4516DDE9"/>
    <w:multiLevelType w:val="hybridMultilevel"/>
    <w:lvl w:ilvl="0">
      <w:lvlJc w:val="left"/>
      <w:lvlText w:val="o"/>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decimal"/>
      <w:start w:val="2"/>
    </w:lvl>
  </w:abstractNum>
  <w:abstractNum w:abstractNumId="5">
    <w:nsid w:val="5577F8E1"/>
    <w:multiLevelType w:val="hybridMultilevel"/>
    <w:lvl w:ilvl="0">
      <w:lvlJc w:val="left"/>
      <w:lvlText w:val="%1."/>
      <w:numFmt w:val="decimal"/>
      <w:start w:val="3"/>
    </w:lvl>
  </w:abstractNum>
  <w:abstractNum w:abstractNumId="6">
    <w:nsid w:val="440BADFC"/>
    <w:multiLevelType w:val="hybridMultilevel"/>
    <w:lvl w:ilvl="0">
      <w:lvlJc w:val="left"/>
      <w:lvlText w:val="%1."/>
      <w:numFmt w:val="decimal"/>
      <w:start w:val="4"/>
    </w:lvl>
  </w:abstractNum>
  <w:abstractNum w:abstractNumId="7">
    <w:nsid w:val="5072367"/>
    <w:multiLevelType w:val="hybridMultilevel"/>
    <w:lvl w:ilvl="0">
      <w:lvlJc w:val="left"/>
      <w:lvlText w:val="%1."/>
      <w:numFmt w:val="decimal"/>
      <w:start w:val="5"/>
    </w:lvl>
  </w:abstractNum>
  <w:abstractNum w:abstractNumId="8">
    <w:nsid w:val="3804823E"/>
    <w:multiLevelType w:val="hybridMultilevel"/>
    <w:lvl w:ilvl="0">
      <w:lvlJc w:val="left"/>
      <w:lvlText w:val="%1."/>
      <w:numFmt w:val="decimal"/>
      <w:start w:val="6"/>
    </w:lvl>
  </w:abstractNum>
  <w:abstractNum w:abstractNumId="9">
    <w:nsid w:val="77465F01"/>
    <w:multiLevelType w:val="hybridMultilevel"/>
    <w:lvl w:ilvl="0">
      <w:lvlJc w:val="left"/>
      <w:lvlText w:val="%1."/>
      <w:numFmt w:val="decimal"/>
      <w:start w:val="7"/>
    </w:lvl>
  </w:abstractNum>
  <w:abstractNum w:abstractNumId="10">
    <w:nsid w:val="7724C67E"/>
    <w:multiLevelType w:val="hybridMultilevel"/>
    <w:lvl w:ilvl="0">
      <w:lvlJc w:val="left"/>
      <w:lvlText w:val="%1."/>
      <w:numFmt w:val="decimal"/>
      <w:start w:val="8"/>
    </w:lvl>
  </w:abstractNum>
  <w:abstractNum w:abstractNumId="11">
    <w:nsid w:val="5C482A97"/>
    <w:multiLevelType w:val="hybridMultilevel"/>
    <w:lvl w:ilvl="0">
      <w:lvlJc w:val="left"/>
      <w:lvlText w:val="%1."/>
      <w:numFmt w:val="decimal"/>
      <w:start w:val="9"/>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1"/>
      <w:numFmt w:val="decimal"/>
      <w:start w:val="104"/>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1"/>
      <w:numFmt w:val="decimal"/>
      <w:start w:val="1"/>
    </w:lvl>
    <w:lvl w:ilvl="1">
      <w:lvlJc w:val="left"/>
      <w:lvlText w:val="%2."/>
      <w:numFmt w:val="decimal"/>
      <w:start w:val="1"/>
    </w:lvl>
  </w:abstractNum>
  <w:abstractNum w:abstractNumId="46">
    <w:nsid w:val="649BB77C"/>
    <w:multiLevelType w:val="hybridMultilevel"/>
    <w:lvl w:ilvl="0">
      <w:lvlJc w:val="left"/>
      <w:lvlText w:val="(%1)"/>
      <w:numFmt w:val="decimal"/>
      <w:start w:val="30"/>
    </w:lvl>
    <w:lvl w:ilvl="1">
      <w:lvlJc w:val="left"/>
      <w:lvlText w:val="%2"/>
      <w:numFmt w:val="decimal"/>
      <w:start w:val="1"/>
    </w:lvl>
  </w:abstractNum>
  <w:abstractNum w:abstractNumId="47">
    <w:nsid w:val="275AC794"/>
    <w:multiLevelType w:val="hybridMultilevel"/>
    <w:lvl w:ilvl="0">
      <w:lvlJc w:val="left"/>
      <w:lvlText w:val="%1."/>
      <w:numFmt w:val="decimal"/>
      <w:start w:val="5"/>
    </w:lvl>
    <w:lvl w:ilvl="1">
      <w:lvlJc w:val="left"/>
      <w:lvlText w:val="%2."/>
      <w:numFmt w:val="lowerLetter"/>
      <w:start w:val="1"/>
    </w:lvl>
  </w:abstractNum>
  <w:abstractNum w:abstractNumId="48">
    <w:nsid w:val="39386575"/>
    <w:multiLevelType w:val="hybridMultilevel"/>
    <w:lvl w:ilvl="0">
      <w:lvlJc w:val="left"/>
      <w:lvlText w:val="%1."/>
      <w:numFmt w:val="decimal"/>
      <w:start w:val="10"/>
    </w:lvl>
    <w:lvl w:ilvl="1">
      <w:lvlJc w:val="left"/>
      <w:lvlText w:val="%2."/>
      <w:numFmt w:val="decimal"/>
      <w:start w:val="11"/>
    </w:lvl>
  </w:abstractNum>
  <w:abstractNum w:abstractNumId="49">
    <w:nsid w:val="1CF10FD8"/>
    <w:multiLevelType w:val="hybridMultilevel"/>
    <w:lvl w:ilvl="0">
      <w:lvlJc w:val="left"/>
      <w:lvlText w:val="%1."/>
      <w:numFmt w:val="decimal"/>
      <w:start w:val="14"/>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1."/>
      <w:numFmt w:val="decimal"/>
      <w:start w:val="4"/>
    </w:lvl>
  </w:abstractNum>
  <w:abstractNum w:abstractNumId="52">
    <w:nsid w:val="47398C89"/>
    <w:multiLevelType w:val="hybridMultilevel"/>
    <w:lvl w:ilvl="0">
      <w:lvlJc w:val="left"/>
      <w:lvlText w:val="%1."/>
      <w:numFmt w:val="decimal"/>
      <w:start w:val="6"/>
    </w:lvl>
  </w:abstractNum>
  <w:abstractNum w:abstractNumId="53">
    <w:nsid w:val="354FE9F9"/>
    <w:multiLevelType w:val="hybridMultilevel"/>
    <w:lvl w:ilvl="0">
      <w:lvlJc w:val="left"/>
      <w:lvlText w:val="%1."/>
      <w:numFmt w:val="decimal"/>
      <w:start w:val="7"/>
    </w:lvl>
  </w:abstractNum>
  <w:abstractNum w:abstractNumId="54">
    <w:nsid w:val="15B5AF5C"/>
    <w:multiLevelType w:val="hybridMultilevel"/>
    <w:lvl w:ilvl="0">
      <w:lvlJc w:val="left"/>
      <w:lvlText w:val="(%1)"/>
      <w:numFmt w:val="lowerLetter"/>
      <w:start w:val="3"/>
    </w:lvl>
  </w:abstractNum>
  <w:abstractNum w:abstractNumId="55">
    <w:nsid w:val="741226BB"/>
    <w:multiLevelType w:val="hybridMultilevel"/>
    <w:lvl w:ilvl="0">
      <w:lvlJc w:val="left"/>
      <w:lvlText w:val="(%1)"/>
      <w:numFmt w:val="lowerLetter"/>
      <w:start w:val="4"/>
    </w:lvl>
  </w:abstractNum>
  <w:abstractNum w:abstractNumId="56">
    <w:nsid w:val="D34B6A8"/>
    <w:multiLevelType w:val="hybridMultilevel"/>
    <w:lvl w:ilvl="0">
      <w:lvlJc w:val="left"/>
      <w:lvlText w:val="(%1)"/>
      <w:numFmt w:val="decimal"/>
      <w:start w:val="12"/>
    </w:lvl>
  </w:abstractNum>
  <w:abstractNum w:abstractNumId="57">
    <w:nsid w:val="10233C99"/>
    <w:multiLevelType w:val="hybridMultilevel"/>
    <w:lvl w:ilvl="0">
      <w:lvlJc w:val="left"/>
      <w:lvlText w:val="%1."/>
      <w:numFmt w:val="decimal"/>
      <w:start w:val="8"/>
    </w:lvl>
  </w:abstractNum>
  <w:abstractNum w:abstractNumId="58">
    <w:nsid w:val="3F6AB60F"/>
    <w:multiLevelType w:val="hybridMultilevel"/>
    <w:lvl w:ilvl="0">
      <w:lvlJc w:val="left"/>
      <w:lvlText w:val="%1."/>
      <w:numFmt w:val="decimal"/>
      <w:start w:val="9"/>
    </w:lvl>
  </w:abstractNum>
  <w:abstractNum w:abstractNumId="59">
    <w:nsid w:val="61574095"/>
    <w:multiLevelType w:val="hybridMultilevel"/>
    <w:lvl w:ilvl="0">
      <w:lvlJc w:val="left"/>
      <w:lvlText w:val="%1."/>
      <w:numFmt w:val="decimal"/>
      <w:start w:val="10"/>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13" Type="http://schemas.openxmlformats.org/officeDocument/2006/relationships/hyperlink" Target="https://www.sec.gov/Archives/edgar/data/1808805/000162828021011892/exhibit31-form8xkclosing.htm" TargetMode="External"/><Relationship Id="rId114" Type="http://schemas.openxmlformats.org/officeDocument/2006/relationships/hyperlink" Target="https://www.sec.gov/Archives/edgar/data/1808805/000180880523000069/exhibit32-nautilusbiotech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2024-10-29T15:21:19Z</dcterms:created>
  <dcterms:modified xsi:type="dcterms:W3CDTF">2024-10-29T15:21:19Z</dcterms:modified>
</cp:coreProperties>
</file>