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 (Amendment No. __)</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Nautilus Biotechnology,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63909J108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AH Capital Management, L.L.C.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2865 Sand Hill Road, Suite 101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Menlo Park, CA 94025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798-3900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240.13d-7(b) for other parties to whom copies are to be sent.</w:t>
      </w:r>
    </w:p>
    <w:p>
      <w:pPr>
        <w:spacing w:after="0" w:line="17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28"/>
        </w:trPr>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60" w:type="dxa"/>
            <w:vAlign w:val="bottom"/>
          </w:tcPr>
          <w:p>
            <w:pPr>
              <w:ind w:left="1300"/>
              <w:spacing w:after="0"/>
              <w:rPr>
                <w:sz w:val="20"/>
                <w:szCs w:val="20"/>
                <w:color w:val="auto"/>
              </w:rPr>
            </w:pPr>
            <w:r>
              <w:rPr>
                <w:rFonts w:ascii="Arial" w:cs="Arial" w:eastAsia="Arial" w:hAnsi="Arial"/>
                <w:sz w:val="25"/>
                <w:szCs w:val="25"/>
                <w:b w:val="1"/>
                <w:bCs w:val="1"/>
                <w:color w:val="auto"/>
              </w:rPr>
              <w:t>SCHEDULE 13D</w:t>
            </w:r>
          </w:p>
        </w:tc>
        <w:tc>
          <w:tcPr>
            <w:tcW w:w="0" w:type="dxa"/>
            <w:vAlign w:val="bottom"/>
          </w:tcPr>
          <w:p>
            <w:pPr>
              <w:spacing w:after="0"/>
              <w:rPr>
                <w:sz w:val="1"/>
                <w:szCs w:val="1"/>
                <w:color w:val="auto"/>
              </w:rPr>
            </w:pPr>
          </w:p>
        </w:tc>
      </w:tr>
      <w:tr>
        <w:trPr>
          <w:trHeight w:val="289"/>
        </w:trPr>
        <w:tc>
          <w:tcPr>
            <w:tcW w:w="64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300" w:type="dxa"/>
            <w:vAlign w:val="bottom"/>
            <w:tcBorders>
              <w:top w:val="single" w:sz="8" w:color="auto"/>
              <w:left w:val="single" w:sz="8" w:color="auto"/>
            </w:tcBorders>
            <w:gridSpan w:val="3"/>
          </w:tcPr>
          <w:p>
            <w:pPr>
              <w:ind w:left="80"/>
              <w:spacing w:after="0"/>
              <w:rPr>
                <w:sz w:val="20"/>
                <w:szCs w:val="20"/>
                <w:color w:val="auto"/>
              </w:rPr>
            </w:pPr>
            <w:r>
              <w:rPr>
                <w:rFonts w:ascii="Arial" w:cs="Arial" w:eastAsia="Arial" w:hAnsi="Arial"/>
                <w:sz w:val="23"/>
                <w:szCs w:val="23"/>
                <w:b w:val="1"/>
                <w:bCs w:val="1"/>
                <w:color w:val="auto"/>
              </w:rPr>
              <w:t>CUSIP No.</w:t>
            </w: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5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63909J108</w:t>
            </w:r>
          </w:p>
        </w:tc>
        <w:tc>
          <w:tcPr>
            <w:tcW w:w="7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380" w:type="dxa"/>
            <w:vAlign w:val="bottom"/>
            <w:tcBorders>
              <w:left w:val="single" w:sz="8" w:color="auto"/>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7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0" w:type="dxa"/>
            <w:vAlign w:val="bottom"/>
            <w:tcBorders>
              <w:bottom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tcBorders>
          </w:tcPr>
          <w:p>
            <w:pPr>
              <w:ind w:left="120"/>
              <w:spacing w:after="0" w:line="238" w:lineRule="exact"/>
              <w:rPr>
                <w:sz w:val="20"/>
                <w:szCs w:val="20"/>
                <w:color w:val="auto"/>
              </w:rPr>
            </w:pPr>
            <w:r>
              <w:rPr>
                <w:rFonts w:ascii="Arial" w:cs="Arial" w:eastAsia="Arial" w:hAnsi="Arial"/>
                <w:sz w:val="25"/>
                <w:szCs w:val="25"/>
                <w:b w:val="1"/>
                <w:bCs w:val="1"/>
                <w:color w:val="auto"/>
              </w:rPr>
              <w:t>1</w:t>
            </w: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54"/>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0600" w:type="dxa"/>
            <w:vAlign w:val="bottom"/>
            <w:tcBorders>
              <w:bottom w:val="single" w:sz="8" w:color="auto"/>
              <w:right w:val="single" w:sz="8" w:color="auto"/>
            </w:tcBorders>
            <w:gridSpan w:val="6"/>
          </w:tcPr>
          <w:p>
            <w:pPr>
              <w:ind w:left="80"/>
              <w:spacing w:after="0"/>
              <w:rPr>
                <w:sz w:val="20"/>
                <w:szCs w:val="20"/>
                <w:color w:val="auto"/>
              </w:rPr>
            </w:pPr>
            <w:r>
              <w:rPr>
                <w:rFonts w:ascii="Arial" w:cs="Arial" w:eastAsia="Arial" w:hAnsi="Arial"/>
                <w:sz w:val="18"/>
                <w:szCs w:val="18"/>
                <w:color w:val="auto"/>
              </w:rPr>
              <w:t>AH Bio Fund II, L.P. (“AH Bio II”)</w:t>
            </w: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ind w:left="120"/>
              <w:spacing w:after="0" w:line="232" w:lineRule="exact"/>
              <w:rPr>
                <w:sz w:val="20"/>
                <w:szCs w:val="20"/>
                <w:color w:val="auto"/>
              </w:rPr>
            </w:pPr>
            <w:r>
              <w:rPr>
                <w:rFonts w:ascii="Arial" w:cs="Arial" w:eastAsia="Arial" w:hAnsi="Arial"/>
                <w:sz w:val="25"/>
                <w:szCs w:val="25"/>
                <w:b w:val="1"/>
                <w:bCs w:val="1"/>
                <w:color w:val="auto"/>
              </w:rPr>
              <w:t>2</w:t>
            </w: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174"/>
        </w:trPr>
        <w:tc>
          <w:tcPr>
            <w:tcW w:w="380" w:type="dxa"/>
            <w:vAlign w:val="bottom"/>
            <w:tcBorders>
              <w:left w:val="single" w:sz="8" w:color="auto"/>
            </w:tcBorders>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660" w:type="dxa"/>
            <w:vAlign w:val="bottom"/>
          </w:tcPr>
          <w:p>
            <w:pPr>
              <w:ind w:left="400"/>
              <w:spacing w:after="0" w:line="174" w:lineRule="exact"/>
              <w:rPr>
                <w:sz w:val="20"/>
                <w:szCs w:val="20"/>
                <w:color w:val="auto"/>
              </w:rPr>
            </w:pPr>
            <w:r>
              <w:rPr>
                <w:rFonts w:ascii="Arial" w:cs="Arial" w:eastAsia="Arial" w:hAnsi="Arial"/>
                <w:sz w:val="18"/>
                <w:szCs w:val="18"/>
                <w:color w:val="auto"/>
              </w:rPr>
              <w:t>(a)</w:t>
            </w:r>
          </w:p>
        </w:tc>
        <w:tc>
          <w:tcPr>
            <w:tcW w:w="560" w:type="dxa"/>
            <w:vAlign w:val="bottom"/>
            <w:gridSpan w:val="2"/>
          </w:tcPr>
          <w:p>
            <w:pPr>
              <w:jc w:val="right"/>
              <w:ind w:right="194"/>
              <w:spacing w:after="0" w:line="175"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(b)</w:t>
            </w:r>
          </w:p>
        </w:tc>
        <w:tc>
          <w:tcPr>
            <w:tcW w:w="560" w:type="dxa"/>
            <w:vAlign w:val="bottom"/>
            <w:tcBorders>
              <w:bottom w:val="single" w:sz="8" w:color="auto"/>
            </w:tcBorders>
            <w:gridSpan w:val="2"/>
          </w:tcPr>
          <w:p>
            <w:pPr>
              <w:jc w:val="right"/>
              <w:ind w:right="234"/>
              <w:spacing w:after="0" w:line="181" w:lineRule="exact"/>
              <w:rPr>
                <w:sz w:val="20"/>
                <w:szCs w:val="20"/>
                <w:color w:val="auto"/>
              </w:rPr>
            </w:pPr>
            <w:r>
              <w:rPr>
                <w:rFonts w:ascii="MS PGothic" w:cs="MS PGothic" w:eastAsia="MS PGothic" w:hAnsi="MS PGothic"/>
                <w:sz w:val="18"/>
                <w:szCs w:val="18"/>
                <w:color w:val="auto"/>
                <w:w w:val="99"/>
              </w:rPr>
              <w:t>☒</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6"/>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25"/>
                <w:szCs w:val="25"/>
                <w:b w:val="1"/>
                <w:bCs w:val="1"/>
                <w:color w:val="auto"/>
              </w:rPr>
              <w:t>3</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bottom w:val="single" w:sz="8" w:color="auto"/>
            </w:tcBorders>
          </w:tcPr>
          <w:p>
            <w:pPr>
              <w:spacing w:after="0"/>
              <w:rPr>
                <w:sz w:val="15"/>
                <w:szCs w:val="15"/>
                <w:color w:val="auto"/>
              </w:rPr>
            </w:pPr>
          </w:p>
        </w:tc>
        <w:tc>
          <w:tcPr>
            <w:tcW w:w="260" w:type="dxa"/>
            <w:vAlign w:val="bottom"/>
            <w:tcBorders>
              <w:bottom w:val="single" w:sz="8" w:color="auto"/>
              <w:right w:val="single" w:sz="8" w:color="auto"/>
            </w:tcBorders>
          </w:tcPr>
          <w:p>
            <w:pPr>
              <w:spacing w:after="0"/>
              <w:rPr>
                <w:sz w:val="15"/>
                <w:szCs w:val="15"/>
                <w:color w:val="auto"/>
              </w:rPr>
            </w:pPr>
          </w:p>
        </w:tc>
        <w:tc>
          <w:tcPr>
            <w:tcW w:w="10600" w:type="dxa"/>
            <w:vAlign w:val="bottom"/>
            <w:tcBorders>
              <w:bottom w:val="single" w:sz="8" w:color="auto"/>
              <w:right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rPr>
              <w:t>4</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ind w:left="120"/>
              <w:spacing w:after="0" w:line="250" w:lineRule="exact"/>
              <w:rPr>
                <w:sz w:val="20"/>
                <w:szCs w:val="20"/>
                <w:color w:val="auto"/>
              </w:rPr>
            </w:pPr>
            <w:r>
              <w:rPr>
                <w:rFonts w:ascii="Arial" w:cs="Arial" w:eastAsia="Arial" w:hAnsi="Arial"/>
                <w:sz w:val="25"/>
                <w:szCs w:val="25"/>
                <w:b w:val="1"/>
                <w:bCs w:val="1"/>
                <w:color w:val="auto"/>
              </w:rPr>
              <w:t>5</w:t>
            </w:r>
          </w:p>
        </w:tc>
        <w:tc>
          <w:tcPr>
            <w:tcW w:w="260" w:type="dxa"/>
            <w:vAlign w:val="bottom"/>
            <w:tcBorders>
              <w:right w:val="single" w:sz="8" w:color="auto"/>
            </w:tcBorders>
          </w:tcPr>
          <w:p>
            <w:pPr>
              <w:spacing w:after="0"/>
              <w:rPr>
                <w:sz w:val="21"/>
                <w:szCs w:val="21"/>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56"/>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rPr>
              <w:t>6</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60" w:type="dxa"/>
            <w:vAlign w:val="bottom"/>
          </w:tcPr>
          <w:p>
            <w:pPr>
              <w:ind w:left="100"/>
              <w:spacing w:after="0" w:line="276" w:lineRule="exact"/>
              <w:rPr>
                <w:sz w:val="20"/>
                <w:szCs w:val="20"/>
                <w:color w:val="auto"/>
              </w:rPr>
            </w:pPr>
            <w:r>
              <w:rPr>
                <w:rFonts w:ascii="Arial" w:cs="Arial" w:eastAsia="Arial" w:hAnsi="Arial"/>
                <w:sz w:val="25"/>
                <w:szCs w:val="25"/>
                <w:b w:val="1"/>
                <w:bCs w:val="1"/>
                <w:color w:val="auto"/>
              </w:rPr>
              <w:t>7</w:t>
            </w:r>
          </w:p>
        </w:tc>
        <w:tc>
          <w:tcPr>
            <w:tcW w:w="20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7"/>
              </w:rPr>
              <w:t>16,008,410 shares, except that AH Equity Partners Bio II, L.L.C. (“AH Equity Bio II”), the general partner of AH Bio II,</w:t>
            </w: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tcBorders>
            <w:gridSpan w:val="3"/>
            <w:vMerge w:val="restart"/>
          </w:tcPr>
          <w:p>
            <w:pPr>
              <w:jc w:val="center"/>
              <w:ind w:left="84"/>
              <w:spacing w:after="0"/>
              <w:rPr>
                <w:sz w:val="20"/>
                <w:szCs w:val="20"/>
                <w:color w:val="auto"/>
              </w:rPr>
            </w:pPr>
            <w:r>
              <w:rPr>
                <w:rFonts w:ascii="Arial" w:cs="Arial" w:eastAsia="Arial" w:hAnsi="Arial"/>
                <w:sz w:val="18"/>
                <w:szCs w:val="18"/>
                <w:color w:val="auto"/>
                <w:w w:val="98"/>
              </w:rPr>
              <w:t>NUMBER OF</w:t>
            </w: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may be deemed to have sole power to vote these shares, and Marc Andreessen (“Andreessen”) and Benjamin Horowitz</w:t>
            </w:r>
          </w:p>
        </w:tc>
        <w:tc>
          <w:tcPr>
            <w:tcW w:w="0" w:type="dxa"/>
            <w:vAlign w:val="bottom"/>
          </w:tcPr>
          <w:p>
            <w:pPr>
              <w:spacing w:after="0"/>
              <w:rPr>
                <w:sz w:val="1"/>
                <w:szCs w:val="1"/>
                <w:color w:val="auto"/>
              </w:rPr>
            </w:pPr>
          </w:p>
        </w:tc>
      </w:tr>
      <w:tr>
        <w:trPr>
          <w:trHeight w:val="94"/>
        </w:trPr>
        <w:tc>
          <w:tcPr>
            <w:tcW w:w="1300" w:type="dxa"/>
            <w:vAlign w:val="bottom"/>
            <w:tcBorders>
              <w:left w:val="single" w:sz="8" w:color="auto"/>
            </w:tcBorders>
            <w:gridSpan w:val="3"/>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7"/>
              </w:rPr>
              <w:t>(“Horowitz”), the managing members of AH Equity Bio II, may be deemed to have shared power to vote these shares.</w:t>
            </w:r>
          </w:p>
        </w:tc>
        <w:tc>
          <w:tcPr>
            <w:tcW w:w="0" w:type="dxa"/>
            <w:vAlign w:val="bottom"/>
          </w:tcPr>
          <w:p>
            <w:pPr>
              <w:spacing w:after="0"/>
              <w:rPr>
                <w:sz w:val="1"/>
                <w:szCs w:val="1"/>
                <w:color w:val="auto"/>
              </w:rPr>
            </w:pPr>
          </w:p>
        </w:tc>
      </w:tr>
      <w:tr>
        <w:trPr>
          <w:trHeight w:val="136"/>
        </w:trPr>
        <w:tc>
          <w:tcPr>
            <w:tcW w:w="380" w:type="dxa"/>
            <w:vAlign w:val="bottom"/>
            <w:tcBorders>
              <w:left w:val="single" w:sz="8" w:color="auto"/>
            </w:tcBorders>
          </w:tcPr>
          <w:p>
            <w:pPr>
              <w:spacing w:after="0"/>
              <w:rPr>
                <w:sz w:val="11"/>
                <w:szCs w:val="11"/>
                <w:color w:val="auto"/>
              </w:rPr>
            </w:pPr>
          </w:p>
        </w:tc>
        <w:tc>
          <w:tcPr>
            <w:tcW w:w="9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4"/>
              </w:rPr>
              <w:t>SHARES</w:t>
            </w:r>
          </w:p>
        </w:tc>
        <w:tc>
          <w:tcPr>
            <w:tcW w:w="200" w:type="dxa"/>
            <w:vAlign w:val="bottom"/>
            <w:tcBorders>
              <w:right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9180" w:type="dxa"/>
            <w:vAlign w:val="bottom"/>
            <w:tcBorders>
              <w:bottom w:val="single" w:sz="8" w:color="auto"/>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80" w:type="dxa"/>
            <w:vAlign w:val="bottom"/>
            <w:tcBorders>
              <w:left w:val="single" w:sz="8" w:color="auto"/>
            </w:tcBorders>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360" w:type="dxa"/>
            <w:vAlign w:val="bottom"/>
            <w:vMerge w:val="restart"/>
          </w:tcPr>
          <w:p>
            <w:pPr>
              <w:ind w:left="100"/>
              <w:spacing w:after="0" w:line="276" w:lineRule="exact"/>
              <w:rPr>
                <w:sz w:val="20"/>
                <w:szCs w:val="20"/>
                <w:color w:val="auto"/>
              </w:rPr>
            </w:pPr>
            <w:r>
              <w:rPr>
                <w:rFonts w:ascii="Arial" w:cs="Arial" w:eastAsia="Arial" w:hAnsi="Arial"/>
                <w:sz w:val="25"/>
                <w:szCs w:val="25"/>
                <w:b w:val="1"/>
                <w:bCs w:val="1"/>
                <w:color w:val="auto"/>
              </w:rPr>
              <w:t>8</w:t>
            </w:r>
          </w:p>
        </w:tc>
        <w:tc>
          <w:tcPr>
            <w:tcW w:w="200" w:type="dxa"/>
            <w:vAlign w:val="bottom"/>
            <w:tcBorders>
              <w:right w:val="single" w:sz="8" w:color="auto"/>
            </w:tcBorders>
          </w:tcPr>
          <w:p>
            <w:pPr>
              <w:spacing w:after="0"/>
              <w:rPr>
                <w:sz w:val="5"/>
                <w:szCs w:val="5"/>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vMerge w:val="continue"/>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Borders>
              <w:left w:val="single" w:sz="8" w:color="auto"/>
            </w:tcBorders>
            <w:gridSpan w:val="3"/>
          </w:tcPr>
          <w:p>
            <w:pPr>
              <w:jc w:val="center"/>
              <w:ind w:left="84"/>
              <w:spacing w:after="0"/>
              <w:rPr>
                <w:sz w:val="20"/>
                <w:szCs w:val="20"/>
                <w:color w:val="auto"/>
              </w:rPr>
            </w:pPr>
            <w:r>
              <w:rPr>
                <w:rFonts w:ascii="Arial" w:cs="Arial" w:eastAsia="Arial" w:hAnsi="Arial"/>
                <w:sz w:val="18"/>
                <w:szCs w:val="18"/>
                <w:color w:val="auto"/>
                <w:w w:val="99"/>
              </w:rPr>
              <w:t>OWNED BY</w:t>
            </w:r>
          </w:p>
        </w:tc>
        <w:tc>
          <w:tcPr>
            <w:tcW w:w="200" w:type="dxa"/>
            <w:vAlign w:val="bottom"/>
            <w:tcBorders>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920" w:type="dxa"/>
            <w:vAlign w:val="bottom"/>
            <w:gridSpan w:val="2"/>
          </w:tcPr>
          <w:p>
            <w:pPr>
              <w:jc w:val="center"/>
              <w:ind w:right="90"/>
              <w:spacing w:after="0" w:line="182" w:lineRule="exact"/>
              <w:rPr>
                <w:sz w:val="20"/>
                <w:szCs w:val="20"/>
                <w:color w:val="auto"/>
              </w:rPr>
            </w:pPr>
            <w:r>
              <w:rPr>
                <w:rFonts w:ascii="Arial" w:cs="Arial" w:eastAsia="Arial" w:hAnsi="Arial"/>
                <w:sz w:val="18"/>
                <w:szCs w:val="18"/>
                <w:color w:val="auto"/>
                <w:w w:val="99"/>
              </w:rPr>
              <w:t>EACH</w:t>
            </w:r>
          </w:p>
        </w:tc>
        <w:tc>
          <w:tcPr>
            <w:tcW w:w="200" w:type="dxa"/>
            <w:vAlign w:val="bottom"/>
            <w:tcBorders>
              <w:right w:val="single" w:sz="8" w:color="auto"/>
            </w:tcBorders>
          </w:tcPr>
          <w:p>
            <w:pPr>
              <w:spacing w:after="0"/>
              <w:rPr>
                <w:sz w:val="15"/>
                <w:szCs w:val="15"/>
                <w:color w:val="auto"/>
              </w:rPr>
            </w:pPr>
          </w:p>
        </w:tc>
        <w:tc>
          <w:tcPr>
            <w:tcW w:w="360" w:type="dxa"/>
            <w:vAlign w:val="bottom"/>
            <w:vMerge w:val="restart"/>
          </w:tcPr>
          <w:p>
            <w:pPr>
              <w:ind w:left="100"/>
              <w:spacing w:after="0" w:line="276" w:lineRule="exact"/>
              <w:rPr>
                <w:sz w:val="20"/>
                <w:szCs w:val="20"/>
                <w:color w:val="auto"/>
              </w:rPr>
            </w:pPr>
            <w:r>
              <w:rPr>
                <w:rFonts w:ascii="Arial" w:cs="Arial" w:eastAsia="Arial" w:hAnsi="Arial"/>
                <w:sz w:val="25"/>
                <w:szCs w:val="25"/>
                <w:b w:val="1"/>
                <w:bCs w:val="1"/>
                <w:color w:val="auto"/>
              </w:rPr>
              <w:t>9</w:t>
            </w:r>
          </w:p>
        </w:tc>
        <w:tc>
          <w:tcPr>
            <w:tcW w:w="200" w:type="dxa"/>
            <w:vAlign w:val="bottom"/>
            <w:tcBorders>
              <w:right w:val="single" w:sz="8" w:color="auto"/>
            </w:tcBorders>
          </w:tcPr>
          <w:p>
            <w:pPr>
              <w:spacing w:after="0"/>
              <w:rPr>
                <w:sz w:val="15"/>
                <w:szCs w:val="15"/>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300" w:type="dxa"/>
            <w:vAlign w:val="bottom"/>
            <w:tcBorders>
              <w:left w:val="single" w:sz="8" w:color="auto"/>
            </w:tcBorders>
            <w:gridSpan w:val="3"/>
            <w:vMerge w:val="restart"/>
          </w:tcPr>
          <w:p>
            <w:pPr>
              <w:jc w:val="center"/>
              <w:ind w:left="84"/>
              <w:spacing w:after="0"/>
              <w:rPr>
                <w:sz w:val="20"/>
                <w:szCs w:val="20"/>
                <w:color w:val="auto"/>
              </w:rPr>
            </w:pPr>
            <w:r>
              <w:rPr>
                <w:rFonts w:ascii="Arial" w:cs="Arial" w:eastAsia="Arial" w:hAnsi="Arial"/>
                <w:sz w:val="18"/>
                <w:szCs w:val="18"/>
                <w:color w:val="auto"/>
                <w:w w:val="91"/>
              </w:rPr>
              <w:t>REPORTING</w:t>
            </w:r>
          </w:p>
        </w:tc>
        <w:tc>
          <w:tcPr>
            <w:tcW w:w="200" w:type="dxa"/>
            <w:vAlign w:val="bottom"/>
            <w:tcBorders>
              <w:right w:val="single" w:sz="8" w:color="auto"/>
            </w:tcBorders>
          </w:tcPr>
          <w:p>
            <w:pPr>
              <w:spacing w:after="0"/>
              <w:rPr>
                <w:sz w:val="8"/>
                <w:szCs w:val="8"/>
                <w:color w:val="auto"/>
              </w:rPr>
            </w:pPr>
          </w:p>
        </w:tc>
        <w:tc>
          <w:tcPr>
            <w:tcW w:w="360" w:type="dxa"/>
            <w:vAlign w:val="bottom"/>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00" w:type="dxa"/>
            <w:vAlign w:val="bottom"/>
            <w:tcBorders>
              <w:left w:val="single" w:sz="8" w:color="auto"/>
            </w:tcBorders>
            <w:gridSpan w:val="3"/>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16,008,410 shares, except that AH Equity Bio II, the general partner of AH Bio II, may be deemed to have sole power to</w:t>
            </w:r>
          </w:p>
        </w:tc>
        <w:tc>
          <w:tcPr>
            <w:tcW w:w="0" w:type="dxa"/>
            <w:vAlign w:val="bottom"/>
          </w:tcPr>
          <w:p>
            <w:pPr>
              <w:spacing w:after="0"/>
              <w:rPr>
                <w:sz w:val="1"/>
                <w:szCs w:val="1"/>
                <w:color w:val="auto"/>
              </w:rPr>
            </w:pPr>
          </w:p>
        </w:tc>
      </w:tr>
      <w:tr>
        <w:trPr>
          <w:trHeight w:val="94"/>
        </w:trPr>
        <w:tc>
          <w:tcPr>
            <w:tcW w:w="380" w:type="dxa"/>
            <w:vAlign w:val="bottom"/>
            <w:tcBorders>
              <w:left w:val="single" w:sz="8" w:color="auto"/>
            </w:tcBorders>
          </w:tcPr>
          <w:p>
            <w:pPr>
              <w:spacing w:after="0"/>
              <w:rPr>
                <w:sz w:val="8"/>
                <w:szCs w:val="8"/>
                <w:color w:val="auto"/>
              </w:rPr>
            </w:pPr>
          </w:p>
        </w:tc>
        <w:tc>
          <w:tcPr>
            <w:tcW w:w="9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2"/>
              </w:rPr>
              <w:t>PERSON</w:t>
            </w:r>
          </w:p>
        </w:tc>
        <w:tc>
          <w:tcPr>
            <w:tcW w:w="2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80" w:type="dxa"/>
            <w:vAlign w:val="bottom"/>
            <w:tcBorders>
              <w:left w:val="single" w:sz="8" w:color="auto"/>
            </w:tcBorders>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1"/>
              </w:rPr>
              <w:t>dispose of these shares, and Andreessen and Horowitz, the managing members of AH Equity Bio II, may be deemed to have</w:t>
            </w:r>
          </w:p>
        </w:tc>
        <w:tc>
          <w:tcPr>
            <w:tcW w:w="0" w:type="dxa"/>
            <w:vAlign w:val="bottom"/>
          </w:tcPr>
          <w:p>
            <w:pPr>
              <w:spacing w:after="0"/>
              <w:rPr>
                <w:sz w:val="1"/>
                <w:szCs w:val="1"/>
                <w:color w:val="auto"/>
              </w:rPr>
            </w:pPr>
          </w:p>
        </w:tc>
      </w:tr>
      <w:tr>
        <w:trPr>
          <w:trHeight w:val="95"/>
        </w:trPr>
        <w:tc>
          <w:tcPr>
            <w:tcW w:w="380" w:type="dxa"/>
            <w:vAlign w:val="bottom"/>
            <w:tcBorders>
              <w:left w:val="single" w:sz="8" w:color="auto"/>
            </w:tcBorders>
          </w:tcPr>
          <w:p>
            <w:pPr>
              <w:spacing w:after="0"/>
              <w:rPr>
                <w:sz w:val="8"/>
                <w:szCs w:val="8"/>
                <w:color w:val="auto"/>
              </w:rPr>
            </w:pPr>
          </w:p>
        </w:tc>
        <w:tc>
          <w:tcPr>
            <w:tcW w:w="9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9"/>
              </w:rPr>
              <w:t>WITH</w:t>
            </w:r>
          </w:p>
        </w:tc>
        <w:tc>
          <w:tcPr>
            <w:tcW w:w="2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80" w:type="dxa"/>
            <w:vAlign w:val="bottom"/>
            <w:tcBorders>
              <w:left w:val="single" w:sz="8" w:color="auto"/>
            </w:tcBorders>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shared power to dispose of these shares.</w:t>
            </w:r>
          </w:p>
        </w:tc>
        <w:tc>
          <w:tcPr>
            <w:tcW w:w="0" w:type="dxa"/>
            <w:vAlign w:val="bottom"/>
          </w:tcPr>
          <w:p>
            <w:pPr>
              <w:spacing w:after="0"/>
              <w:rPr>
                <w:sz w:val="1"/>
                <w:szCs w:val="1"/>
                <w:color w:val="auto"/>
              </w:rPr>
            </w:pPr>
          </w:p>
        </w:tc>
      </w:tr>
      <w:tr>
        <w:trPr>
          <w:trHeight w:val="94"/>
        </w:trPr>
        <w:tc>
          <w:tcPr>
            <w:tcW w:w="380" w:type="dxa"/>
            <w:vAlign w:val="bottom"/>
            <w:tcBorders>
              <w:lef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9180" w:type="dxa"/>
            <w:vAlign w:val="bottom"/>
            <w:tcBorders>
              <w:bottom w:val="single" w:sz="8" w:color="auto"/>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60" w:type="dxa"/>
            <w:vAlign w:val="bottom"/>
          </w:tcPr>
          <w:p>
            <w:pPr>
              <w:ind w:left="100"/>
              <w:spacing w:after="0" w:line="276" w:lineRule="exact"/>
              <w:rPr>
                <w:sz w:val="20"/>
                <w:szCs w:val="20"/>
                <w:color w:val="auto"/>
              </w:rPr>
            </w:pPr>
            <w:r>
              <w:rPr>
                <w:rFonts w:ascii="Arial" w:cs="Arial" w:eastAsia="Arial" w:hAnsi="Arial"/>
                <w:sz w:val="25"/>
                <w:szCs w:val="25"/>
                <w:b w:val="1"/>
                <w:bCs w:val="1"/>
                <w:color w:val="auto"/>
                <w:w w:val="86"/>
              </w:rPr>
              <w:t>10</w:t>
            </w:r>
          </w:p>
        </w:tc>
        <w:tc>
          <w:tcPr>
            <w:tcW w:w="20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See response to row 9.</w:t>
            </w: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w w:val="86"/>
              </w:rPr>
              <w:t>11</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8"/>
                <w:szCs w:val="18"/>
                <w:color w:val="auto"/>
                <w:w w:val="97"/>
              </w:rPr>
              <w:t>16,008,410</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ind w:left="120"/>
              <w:spacing w:after="0" w:line="250" w:lineRule="exact"/>
              <w:rPr>
                <w:sz w:val="20"/>
                <w:szCs w:val="20"/>
                <w:color w:val="auto"/>
              </w:rPr>
            </w:pPr>
            <w:r>
              <w:rPr>
                <w:rFonts w:ascii="Arial" w:cs="Arial" w:eastAsia="Arial" w:hAnsi="Arial"/>
                <w:sz w:val="25"/>
                <w:szCs w:val="25"/>
                <w:b w:val="1"/>
                <w:bCs w:val="1"/>
                <w:color w:val="auto"/>
                <w:w w:val="86"/>
              </w:rPr>
              <w:t>12</w:t>
            </w:r>
          </w:p>
        </w:tc>
        <w:tc>
          <w:tcPr>
            <w:tcW w:w="260" w:type="dxa"/>
            <w:vAlign w:val="bottom"/>
            <w:tcBorders>
              <w:right w:val="single" w:sz="8" w:color="auto"/>
            </w:tcBorders>
          </w:tcPr>
          <w:p>
            <w:pPr>
              <w:spacing w:after="0"/>
              <w:rPr>
                <w:sz w:val="21"/>
                <w:szCs w:val="21"/>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57"/>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80" w:type="dxa"/>
            <w:vAlign w:val="bottom"/>
            <w:tcBorders>
              <w:left w:val="single" w:sz="8" w:color="auto"/>
            </w:tcBorders>
          </w:tcPr>
          <w:p>
            <w:pPr>
              <w:ind w:left="120"/>
              <w:spacing w:after="0" w:line="280" w:lineRule="exact"/>
              <w:rPr>
                <w:sz w:val="20"/>
                <w:szCs w:val="20"/>
                <w:color w:val="auto"/>
              </w:rPr>
            </w:pPr>
            <w:r>
              <w:rPr>
                <w:rFonts w:ascii="Arial" w:cs="Arial" w:eastAsia="Arial" w:hAnsi="Arial"/>
                <w:sz w:val="25"/>
                <w:szCs w:val="25"/>
                <w:b w:val="1"/>
                <w:bCs w:val="1"/>
                <w:color w:val="auto"/>
                <w:w w:val="86"/>
              </w:rPr>
              <w:t>13</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67"/>
        </w:trPr>
        <w:tc>
          <w:tcPr>
            <w:tcW w:w="380" w:type="dxa"/>
            <w:vAlign w:val="bottom"/>
            <w:tcBorders>
              <w:left w:val="single" w:sz="8" w:color="auto"/>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tcBorders>
          </w:tcPr>
          <w:p>
            <w:pPr>
              <w:ind w:left="80"/>
              <w:spacing w:after="0" w:line="267" w:lineRule="exact"/>
              <w:rPr>
                <w:sz w:val="20"/>
                <w:szCs w:val="20"/>
                <w:color w:val="auto"/>
              </w:rPr>
            </w:pPr>
            <w:r>
              <w:rPr>
                <w:rFonts w:ascii="Arial" w:cs="Arial" w:eastAsia="Arial" w:hAnsi="Arial"/>
                <w:sz w:val="18"/>
                <w:szCs w:val="18"/>
                <w:color w:val="auto"/>
                <w:w w:val="90"/>
              </w:rPr>
              <w:t>12.9%</w:t>
            </w:r>
            <w:r>
              <w:rPr>
                <w:rFonts w:ascii="Arial" w:cs="Arial" w:eastAsia="Arial" w:hAnsi="Arial"/>
                <w:sz w:val="29"/>
                <w:szCs w:val="29"/>
                <w:color w:val="auto"/>
                <w:w w:val="90"/>
                <w:vertAlign w:val="superscript"/>
              </w:rPr>
              <w:t>1</w:t>
            </w:r>
          </w:p>
        </w:tc>
        <w:tc>
          <w:tcPr>
            <w:tcW w:w="2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78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w w:val="86"/>
              </w:rPr>
              <w:t>14</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firstLine="8"/>
        <w:spacing w:after="0" w:line="207" w:lineRule="auto"/>
        <w:tabs>
          <w:tab w:leader="none" w:pos="112" w:val="left"/>
        </w:tabs>
        <w:numPr>
          <w:ilvl w:val="0"/>
          <w:numId w:val="1"/>
        </w:numPr>
        <w:rPr>
          <w:rFonts w:ascii="Arial" w:cs="Arial" w:eastAsia="Arial" w:hAnsi="Arial"/>
          <w:sz w:val="28"/>
          <w:szCs w:val="28"/>
          <w:color w:val="auto"/>
          <w:vertAlign w:val="superscript"/>
        </w:rPr>
      </w:pPr>
      <w:r>
        <w:rPr>
          <w:rFonts w:ascii="Arial" w:cs="Arial" w:eastAsia="Arial" w:hAnsi="Arial"/>
          <w:sz w:val="17"/>
          <w:szCs w:val="17"/>
          <w:color w:val="auto"/>
        </w:rPr>
        <w:t>Based on 124,045,255 shares of the Issuer’s Common Stock outstanding as of June 9, 2021, as disclosed in the Issuer’s Current Report on Form 8-K filed on June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Page 2</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462"/>
        </w:trPr>
        <w:tc>
          <w:tcPr>
            <w:tcW w:w="1320" w:type="dxa"/>
            <w:vAlign w:val="bottom"/>
            <w:tcBorders>
              <w:top w:val="single" w:sz="8" w:color="auto"/>
              <w:left w:val="single" w:sz="8" w:color="auto"/>
            </w:tcBorders>
            <w:gridSpan w:val="3"/>
          </w:tcPr>
          <w:p>
            <w:pPr>
              <w:ind w:left="80"/>
              <w:spacing w:after="0"/>
              <w:rPr>
                <w:sz w:val="20"/>
                <w:szCs w:val="20"/>
                <w:color w:val="auto"/>
              </w:rPr>
            </w:pPr>
            <w:r>
              <w:rPr>
                <w:rFonts w:ascii="Arial" w:cs="Arial" w:eastAsia="Arial" w:hAnsi="Arial"/>
                <w:sz w:val="23"/>
                <w:szCs w:val="23"/>
                <w:b w:val="1"/>
                <w:bCs w:val="1"/>
                <w:color w:val="auto"/>
              </w:rPr>
              <w:t>CUSIP No.</w:t>
            </w: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5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63909J108</w:t>
            </w:r>
          </w:p>
        </w:tc>
        <w:tc>
          <w:tcPr>
            <w:tcW w:w="7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380" w:type="dxa"/>
            <w:vAlign w:val="bottom"/>
            <w:tcBorders>
              <w:left w:val="single" w:sz="8" w:color="auto"/>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7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0" w:type="dxa"/>
            <w:vAlign w:val="bottom"/>
            <w:tcBorders>
              <w:bottom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tcBorders>
          </w:tcPr>
          <w:p>
            <w:pPr>
              <w:ind w:left="120"/>
              <w:spacing w:after="0" w:line="238" w:lineRule="exact"/>
              <w:rPr>
                <w:sz w:val="20"/>
                <w:szCs w:val="20"/>
                <w:color w:val="auto"/>
              </w:rPr>
            </w:pPr>
            <w:r>
              <w:rPr>
                <w:rFonts w:ascii="Arial" w:cs="Arial" w:eastAsia="Arial" w:hAnsi="Arial"/>
                <w:sz w:val="25"/>
                <w:szCs w:val="25"/>
                <w:b w:val="1"/>
                <w:bCs w:val="1"/>
                <w:color w:val="auto"/>
              </w:rPr>
              <w:t>1</w:t>
            </w: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54"/>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0600" w:type="dxa"/>
            <w:vAlign w:val="bottom"/>
            <w:tcBorders>
              <w:bottom w:val="single" w:sz="8" w:color="auto"/>
              <w:right w:val="single" w:sz="8" w:color="auto"/>
            </w:tcBorders>
            <w:gridSpan w:val="6"/>
          </w:tcPr>
          <w:p>
            <w:pPr>
              <w:ind w:left="80"/>
              <w:spacing w:after="0"/>
              <w:rPr>
                <w:sz w:val="20"/>
                <w:szCs w:val="20"/>
                <w:color w:val="auto"/>
              </w:rPr>
            </w:pPr>
            <w:r>
              <w:rPr>
                <w:rFonts w:ascii="Arial" w:cs="Arial" w:eastAsia="Arial" w:hAnsi="Arial"/>
                <w:sz w:val="18"/>
                <w:szCs w:val="18"/>
                <w:color w:val="auto"/>
              </w:rPr>
              <w:t>AH Bio Fund II-B, L.P. (“AH Bio II-B”)</w:t>
            </w: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ind w:left="120"/>
              <w:spacing w:after="0" w:line="232" w:lineRule="exact"/>
              <w:rPr>
                <w:sz w:val="20"/>
                <w:szCs w:val="20"/>
                <w:color w:val="auto"/>
              </w:rPr>
            </w:pPr>
            <w:r>
              <w:rPr>
                <w:rFonts w:ascii="Arial" w:cs="Arial" w:eastAsia="Arial" w:hAnsi="Arial"/>
                <w:sz w:val="25"/>
                <w:szCs w:val="25"/>
                <w:b w:val="1"/>
                <w:bCs w:val="1"/>
                <w:color w:val="auto"/>
              </w:rPr>
              <w:t>2</w:t>
            </w: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174"/>
        </w:trPr>
        <w:tc>
          <w:tcPr>
            <w:tcW w:w="380" w:type="dxa"/>
            <w:vAlign w:val="bottom"/>
            <w:tcBorders>
              <w:left w:val="single" w:sz="8" w:color="auto"/>
            </w:tcBorders>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680" w:type="dxa"/>
            <w:vAlign w:val="bottom"/>
          </w:tcPr>
          <w:p>
            <w:pPr>
              <w:ind w:left="400"/>
              <w:spacing w:after="0" w:line="174" w:lineRule="exact"/>
              <w:rPr>
                <w:sz w:val="20"/>
                <w:szCs w:val="20"/>
                <w:color w:val="auto"/>
              </w:rPr>
            </w:pPr>
            <w:r>
              <w:rPr>
                <w:rFonts w:ascii="Arial" w:cs="Arial" w:eastAsia="Arial" w:hAnsi="Arial"/>
                <w:sz w:val="18"/>
                <w:szCs w:val="18"/>
                <w:color w:val="auto"/>
              </w:rPr>
              <w:t>(a)</w:t>
            </w:r>
          </w:p>
        </w:tc>
        <w:tc>
          <w:tcPr>
            <w:tcW w:w="540" w:type="dxa"/>
            <w:vAlign w:val="bottom"/>
            <w:gridSpan w:val="2"/>
          </w:tcPr>
          <w:p>
            <w:pPr>
              <w:spacing w:after="0" w:line="175"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(b)</w:t>
            </w:r>
          </w:p>
        </w:tc>
        <w:tc>
          <w:tcPr>
            <w:tcW w:w="540" w:type="dxa"/>
            <w:vAlign w:val="bottom"/>
            <w:tcBorders>
              <w:bottom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6"/>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25"/>
                <w:szCs w:val="25"/>
                <w:b w:val="1"/>
                <w:bCs w:val="1"/>
                <w:color w:val="auto"/>
              </w:rPr>
              <w:t>3</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81"/>
        </w:trPr>
        <w:tc>
          <w:tcPr>
            <w:tcW w:w="380" w:type="dxa"/>
            <w:vAlign w:val="bottom"/>
            <w:tcBorders>
              <w:left w:val="single" w:sz="8" w:color="auto"/>
              <w:bottom w:val="single" w:sz="8" w:color="auto"/>
            </w:tcBorders>
          </w:tcPr>
          <w:p>
            <w:pPr>
              <w:spacing w:after="0"/>
              <w:rPr>
                <w:sz w:val="15"/>
                <w:szCs w:val="15"/>
                <w:color w:val="auto"/>
              </w:rPr>
            </w:pPr>
          </w:p>
        </w:tc>
        <w:tc>
          <w:tcPr>
            <w:tcW w:w="260" w:type="dxa"/>
            <w:vAlign w:val="bottom"/>
            <w:tcBorders>
              <w:bottom w:val="single" w:sz="8" w:color="auto"/>
              <w:right w:val="single" w:sz="8" w:color="auto"/>
            </w:tcBorders>
          </w:tcPr>
          <w:p>
            <w:pPr>
              <w:spacing w:after="0"/>
              <w:rPr>
                <w:sz w:val="15"/>
                <w:szCs w:val="15"/>
                <w:color w:val="auto"/>
              </w:rPr>
            </w:pPr>
          </w:p>
        </w:tc>
        <w:tc>
          <w:tcPr>
            <w:tcW w:w="10600" w:type="dxa"/>
            <w:vAlign w:val="bottom"/>
            <w:tcBorders>
              <w:bottom w:val="single" w:sz="8" w:color="auto"/>
              <w:right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rPr>
              <w:t>4</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ind w:left="120"/>
              <w:spacing w:after="0" w:line="250" w:lineRule="exact"/>
              <w:rPr>
                <w:sz w:val="20"/>
                <w:szCs w:val="20"/>
                <w:color w:val="auto"/>
              </w:rPr>
            </w:pPr>
            <w:r>
              <w:rPr>
                <w:rFonts w:ascii="Arial" w:cs="Arial" w:eastAsia="Arial" w:hAnsi="Arial"/>
                <w:sz w:val="25"/>
                <w:szCs w:val="25"/>
                <w:b w:val="1"/>
                <w:bCs w:val="1"/>
                <w:color w:val="auto"/>
              </w:rPr>
              <w:t>5</w:t>
            </w:r>
          </w:p>
        </w:tc>
        <w:tc>
          <w:tcPr>
            <w:tcW w:w="260" w:type="dxa"/>
            <w:vAlign w:val="bottom"/>
            <w:tcBorders>
              <w:right w:val="single" w:sz="8" w:color="auto"/>
            </w:tcBorders>
          </w:tcPr>
          <w:p>
            <w:pPr>
              <w:spacing w:after="0"/>
              <w:rPr>
                <w:sz w:val="21"/>
                <w:szCs w:val="21"/>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57"/>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rPr>
              <w:t>6</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360" w:type="dxa"/>
            <w:vAlign w:val="bottom"/>
          </w:tcPr>
          <w:p>
            <w:pPr>
              <w:ind w:left="100"/>
              <w:spacing w:after="0" w:line="276" w:lineRule="exact"/>
              <w:rPr>
                <w:sz w:val="20"/>
                <w:szCs w:val="20"/>
                <w:color w:val="auto"/>
              </w:rPr>
            </w:pPr>
            <w:r>
              <w:rPr>
                <w:rFonts w:ascii="Arial" w:cs="Arial" w:eastAsia="Arial" w:hAnsi="Arial"/>
                <w:sz w:val="25"/>
                <w:szCs w:val="25"/>
                <w:b w:val="1"/>
                <w:bCs w:val="1"/>
                <w:color w:val="auto"/>
              </w:rPr>
              <w:t>7</w:t>
            </w:r>
          </w:p>
        </w:tc>
        <w:tc>
          <w:tcPr>
            <w:tcW w:w="20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289,596 shares, except that AH Equity Bio II, the general partner of AH Bio II-B, may be deemed to have sole power to</w:t>
            </w: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tcBorders>
            <w:gridSpan w:val="3"/>
            <w:vMerge w:val="restart"/>
          </w:tcPr>
          <w:p>
            <w:pPr>
              <w:jc w:val="center"/>
              <w:ind w:left="64"/>
              <w:spacing w:after="0"/>
              <w:rPr>
                <w:sz w:val="20"/>
                <w:szCs w:val="20"/>
                <w:color w:val="auto"/>
              </w:rPr>
            </w:pPr>
            <w:r>
              <w:rPr>
                <w:rFonts w:ascii="Arial" w:cs="Arial" w:eastAsia="Arial" w:hAnsi="Arial"/>
                <w:sz w:val="18"/>
                <w:szCs w:val="18"/>
                <w:color w:val="auto"/>
                <w:w w:val="98"/>
              </w:rPr>
              <w:t>NUMBER OF</w:t>
            </w:r>
          </w:p>
        </w:tc>
        <w:tc>
          <w:tcPr>
            <w:tcW w:w="1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vote these shares, and Andreessen and Horowitz, the managing members of AH Equity Bio II, may be deemed to have</w:t>
            </w:r>
          </w:p>
        </w:tc>
        <w:tc>
          <w:tcPr>
            <w:tcW w:w="0" w:type="dxa"/>
            <w:vAlign w:val="bottom"/>
          </w:tcPr>
          <w:p>
            <w:pPr>
              <w:spacing w:after="0"/>
              <w:rPr>
                <w:sz w:val="1"/>
                <w:szCs w:val="1"/>
                <w:color w:val="auto"/>
              </w:rPr>
            </w:pPr>
          </w:p>
        </w:tc>
      </w:tr>
      <w:tr>
        <w:trPr>
          <w:trHeight w:val="95"/>
        </w:trPr>
        <w:tc>
          <w:tcPr>
            <w:tcW w:w="1320" w:type="dxa"/>
            <w:vAlign w:val="bottom"/>
            <w:tcBorders>
              <w:left w:val="single" w:sz="8" w:color="auto"/>
            </w:tcBorders>
            <w:gridSpan w:val="3"/>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shared power to vote these shares.</w:t>
            </w:r>
          </w:p>
        </w:tc>
        <w:tc>
          <w:tcPr>
            <w:tcW w:w="0" w:type="dxa"/>
            <w:vAlign w:val="bottom"/>
          </w:tcPr>
          <w:p>
            <w:pPr>
              <w:spacing w:after="0"/>
              <w:rPr>
                <w:sz w:val="1"/>
                <w:szCs w:val="1"/>
                <w:color w:val="auto"/>
              </w:rPr>
            </w:pPr>
          </w:p>
        </w:tc>
      </w:tr>
      <w:tr>
        <w:trPr>
          <w:trHeight w:val="136"/>
        </w:trPr>
        <w:tc>
          <w:tcPr>
            <w:tcW w:w="380" w:type="dxa"/>
            <w:vAlign w:val="bottom"/>
            <w:tcBorders>
              <w:left w:val="single" w:sz="8" w:color="auto"/>
            </w:tcBorders>
          </w:tcPr>
          <w:p>
            <w:pPr>
              <w:spacing w:after="0"/>
              <w:rPr>
                <w:sz w:val="11"/>
                <w:szCs w:val="11"/>
                <w:color w:val="auto"/>
              </w:rPr>
            </w:pPr>
          </w:p>
        </w:tc>
        <w:tc>
          <w:tcPr>
            <w:tcW w:w="940" w:type="dxa"/>
            <w:vAlign w:val="bottom"/>
            <w:gridSpan w:val="2"/>
            <w:vMerge w:val="restart"/>
          </w:tcPr>
          <w:p>
            <w:pPr>
              <w:jc w:val="center"/>
              <w:ind w:right="110"/>
              <w:spacing w:after="0"/>
              <w:rPr>
                <w:sz w:val="20"/>
                <w:szCs w:val="20"/>
                <w:color w:val="auto"/>
              </w:rPr>
            </w:pPr>
            <w:r>
              <w:rPr>
                <w:rFonts w:ascii="Arial" w:cs="Arial" w:eastAsia="Arial" w:hAnsi="Arial"/>
                <w:sz w:val="18"/>
                <w:szCs w:val="18"/>
                <w:color w:val="auto"/>
                <w:w w:val="94"/>
              </w:rPr>
              <w:t>SHARES</w:t>
            </w:r>
          </w:p>
        </w:tc>
        <w:tc>
          <w:tcPr>
            <w:tcW w:w="180" w:type="dxa"/>
            <w:vAlign w:val="bottom"/>
            <w:tcBorders>
              <w:right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9180" w:type="dxa"/>
            <w:vAlign w:val="bottom"/>
            <w:tcBorders>
              <w:bottom w:val="single" w:sz="8" w:color="auto"/>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80" w:type="dxa"/>
            <w:vAlign w:val="bottom"/>
            <w:tcBorders>
              <w:left w:val="single" w:sz="8" w:color="auto"/>
            </w:tcBorders>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360" w:type="dxa"/>
            <w:vAlign w:val="bottom"/>
            <w:vMerge w:val="restart"/>
          </w:tcPr>
          <w:p>
            <w:pPr>
              <w:ind w:left="100"/>
              <w:spacing w:after="0" w:line="276" w:lineRule="exact"/>
              <w:rPr>
                <w:sz w:val="20"/>
                <w:szCs w:val="20"/>
                <w:color w:val="auto"/>
              </w:rPr>
            </w:pPr>
            <w:r>
              <w:rPr>
                <w:rFonts w:ascii="Arial" w:cs="Arial" w:eastAsia="Arial" w:hAnsi="Arial"/>
                <w:sz w:val="25"/>
                <w:szCs w:val="25"/>
                <w:b w:val="1"/>
                <w:bCs w:val="1"/>
                <w:color w:val="auto"/>
              </w:rPr>
              <w:t>8</w:t>
            </w:r>
          </w:p>
        </w:tc>
        <w:tc>
          <w:tcPr>
            <w:tcW w:w="200" w:type="dxa"/>
            <w:vAlign w:val="bottom"/>
            <w:tcBorders>
              <w:right w:val="single" w:sz="8" w:color="auto"/>
            </w:tcBorders>
          </w:tcPr>
          <w:p>
            <w:pPr>
              <w:spacing w:after="0"/>
              <w:rPr>
                <w:sz w:val="5"/>
                <w:szCs w:val="5"/>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vMerge w:val="continue"/>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Borders>
              <w:left w:val="single" w:sz="8" w:color="auto"/>
            </w:tcBorders>
            <w:gridSpan w:val="3"/>
          </w:tcPr>
          <w:p>
            <w:pPr>
              <w:jc w:val="center"/>
              <w:ind w:left="64"/>
              <w:spacing w:after="0"/>
              <w:rPr>
                <w:sz w:val="20"/>
                <w:szCs w:val="20"/>
                <w:color w:val="auto"/>
              </w:rPr>
            </w:pPr>
            <w:r>
              <w:rPr>
                <w:rFonts w:ascii="Arial" w:cs="Arial" w:eastAsia="Arial" w:hAnsi="Arial"/>
                <w:sz w:val="18"/>
                <w:szCs w:val="18"/>
                <w:color w:val="auto"/>
                <w:w w:val="99"/>
              </w:rPr>
              <w:t>OWNED BY</w:t>
            </w:r>
          </w:p>
        </w:tc>
        <w:tc>
          <w:tcPr>
            <w:tcW w:w="180" w:type="dxa"/>
            <w:vAlign w:val="bottom"/>
            <w:tcBorders>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940" w:type="dxa"/>
            <w:vAlign w:val="bottom"/>
            <w:gridSpan w:val="2"/>
          </w:tcPr>
          <w:p>
            <w:pPr>
              <w:jc w:val="center"/>
              <w:ind w:right="110"/>
              <w:spacing w:after="0" w:line="182" w:lineRule="exact"/>
              <w:rPr>
                <w:sz w:val="20"/>
                <w:szCs w:val="20"/>
                <w:color w:val="auto"/>
              </w:rPr>
            </w:pPr>
            <w:r>
              <w:rPr>
                <w:rFonts w:ascii="Arial" w:cs="Arial" w:eastAsia="Arial" w:hAnsi="Arial"/>
                <w:sz w:val="18"/>
                <w:szCs w:val="18"/>
                <w:color w:val="auto"/>
                <w:w w:val="99"/>
              </w:rPr>
              <w:t>EACH</w:t>
            </w:r>
          </w:p>
        </w:tc>
        <w:tc>
          <w:tcPr>
            <w:tcW w:w="180" w:type="dxa"/>
            <w:vAlign w:val="bottom"/>
            <w:tcBorders>
              <w:right w:val="single" w:sz="8" w:color="auto"/>
            </w:tcBorders>
          </w:tcPr>
          <w:p>
            <w:pPr>
              <w:spacing w:after="0"/>
              <w:rPr>
                <w:sz w:val="15"/>
                <w:szCs w:val="15"/>
                <w:color w:val="auto"/>
              </w:rPr>
            </w:pPr>
          </w:p>
        </w:tc>
        <w:tc>
          <w:tcPr>
            <w:tcW w:w="360" w:type="dxa"/>
            <w:vAlign w:val="bottom"/>
            <w:vMerge w:val="restart"/>
          </w:tcPr>
          <w:p>
            <w:pPr>
              <w:ind w:left="100"/>
              <w:spacing w:after="0" w:line="276" w:lineRule="exact"/>
              <w:rPr>
                <w:sz w:val="20"/>
                <w:szCs w:val="20"/>
                <w:color w:val="auto"/>
              </w:rPr>
            </w:pPr>
            <w:r>
              <w:rPr>
                <w:rFonts w:ascii="Arial" w:cs="Arial" w:eastAsia="Arial" w:hAnsi="Arial"/>
                <w:sz w:val="25"/>
                <w:szCs w:val="25"/>
                <w:b w:val="1"/>
                <w:bCs w:val="1"/>
                <w:color w:val="auto"/>
              </w:rPr>
              <w:t>9</w:t>
            </w:r>
          </w:p>
        </w:tc>
        <w:tc>
          <w:tcPr>
            <w:tcW w:w="200" w:type="dxa"/>
            <w:vAlign w:val="bottom"/>
            <w:tcBorders>
              <w:right w:val="single" w:sz="8" w:color="auto"/>
            </w:tcBorders>
          </w:tcPr>
          <w:p>
            <w:pPr>
              <w:spacing w:after="0"/>
              <w:rPr>
                <w:sz w:val="15"/>
                <w:szCs w:val="15"/>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1320" w:type="dxa"/>
            <w:vAlign w:val="bottom"/>
            <w:tcBorders>
              <w:left w:val="single" w:sz="8" w:color="auto"/>
            </w:tcBorders>
            <w:gridSpan w:val="3"/>
            <w:vMerge w:val="restart"/>
          </w:tcPr>
          <w:p>
            <w:pPr>
              <w:jc w:val="center"/>
              <w:ind w:left="64"/>
              <w:spacing w:after="0"/>
              <w:rPr>
                <w:sz w:val="20"/>
                <w:szCs w:val="20"/>
                <w:color w:val="auto"/>
              </w:rPr>
            </w:pPr>
            <w:r>
              <w:rPr>
                <w:rFonts w:ascii="Arial" w:cs="Arial" w:eastAsia="Arial" w:hAnsi="Arial"/>
                <w:sz w:val="18"/>
                <w:szCs w:val="18"/>
                <w:color w:val="auto"/>
                <w:w w:val="91"/>
              </w:rPr>
              <w:t>REPORTING</w:t>
            </w:r>
          </w:p>
        </w:tc>
        <w:tc>
          <w:tcPr>
            <w:tcW w:w="180" w:type="dxa"/>
            <w:vAlign w:val="bottom"/>
            <w:tcBorders>
              <w:right w:val="single" w:sz="8" w:color="auto"/>
            </w:tcBorders>
          </w:tcPr>
          <w:p>
            <w:pPr>
              <w:spacing w:after="0"/>
              <w:rPr>
                <w:sz w:val="8"/>
                <w:szCs w:val="8"/>
                <w:color w:val="auto"/>
              </w:rPr>
            </w:pPr>
          </w:p>
        </w:tc>
        <w:tc>
          <w:tcPr>
            <w:tcW w:w="360" w:type="dxa"/>
            <w:vAlign w:val="bottom"/>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20" w:type="dxa"/>
            <w:vAlign w:val="bottom"/>
            <w:tcBorders>
              <w:left w:val="single" w:sz="8" w:color="auto"/>
            </w:tcBorders>
            <w:gridSpan w:val="3"/>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289,596 shares, except that AH Equity Bio II, the general partner of AH Bio II-B, may be deemed to have sole power to</w:t>
            </w:r>
          </w:p>
        </w:tc>
        <w:tc>
          <w:tcPr>
            <w:tcW w:w="0" w:type="dxa"/>
            <w:vAlign w:val="bottom"/>
          </w:tcPr>
          <w:p>
            <w:pPr>
              <w:spacing w:after="0"/>
              <w:rPr>
                <w:sz w:val="1"/>
                <w:szCs w:val="1"/>
                <w:color w:val="auto"/>
              </w:rPr>
            </w:pPr>
          </w:p>
        </w:tc>
      </w:tr>
      <w:tr>
        <w:trPr>
          <w:trHeight w:val="95"/>
        </w:trPr>
        <w:tc>
          <w:tcPr>
            <w:tcW w:w="380" w:type="dxa"/>
            <w:vAlign w:val="bottom"/>
            <w:tcBorders>
              <w:left w:val="single" w:sz="8" w:color="auto"/>
            </w:tcBorders>
          </w:tcPr>
          <w:p>
            <w:pPr>
              <w:spacing w:after="0"/>
              <w:rPr>
                <w:sz w:val="8"/>
                <w:szCs w:val="8"/>
                <w:color w:val="auto"/>
              </w:rPr>
            </w:pPr>
          </w:p>
        </w:tc>
        <w:tc>
          <w:tcPr>
            <w:tcW w:w="940" w:type="dxa"/>
            <w:vAlign w:val="bottom"/>
            <w:gridSpan w:val="2"/>
            <w:vMerge w:val="restart"/>
          </w:tcPr>
          <w:p>
            <w:pPr>
              <w:jc w:val="center"/>
              <w:ind w:right="110"/>
              <w:spacing w:after="0"/>
              <w:rPr>
                <w:sz w:val="20"/>
                <w:szCs w:val="20"/>
                <w:color w:val="auto"/>
              </w:rPr>
            </w:pPr>
            <w:r>
              <w:rPr>
                <w:rFonts w:ascii="Arial" w:cs="Arial" w:eastAsia="Arial" w:hAnsi="Arial"/>
                <w:sz w:val="18"/>
                <w:szCs w:val="18"/>
                <w:color w:val="auto"/>
                <w:w w:val="92"/>
              </w:rPr>
              <w:t>PERSON</w:t>
            </w:r>
          </w:p>
        </w:tc>
        <w:tc>
          <w:tcPr>
            <w:tcW w:w="18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80" w:type="dxa"/>
            <w:vAlign w:val="bottom"/>
            <w:tcBorders>
              <w:left w:val="single" w:sz="8" w:color="auto"/>
            </w:tcBorders>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1"/>
              </w:rPr>
              <w:t>dispose of these shares, and Andreessen and Horowitz, the managing members of AH Equity Bio II, may be deemed to have</w:t>
            </w:r>
          </w:p>
        </w:tc>
        <w:tc>
          <w:tcPr>
            <w:tcW w:w="0" w:type="dxa"/>
            <w:vAlign w:val="bottom"/>
          </w:tcPr>
          <w:p>
            <w:pPr>
              <w:spacing w:after="0"/>
              <w:rPr>
                <w:sz w:val="1"/>
                <w:szCs w:val="1"/>
                <w:color w:val="auto"/>
              </w:rPr>
            </w:pPr>
          </w:p>
        </w:tc>
      </w:tr>
      <w:tr>
        <w:trPr>
          <w:trHeight w:val="95"/>
        </w:trPr>
        <w:tc>
          <w:tcPr>
            <w:tcW w:w="380" w:type="dxa"/>
            <w:vAlign w:val="bottom"/>
            <w:tcBorders>
              <w:left w:val="single" w:sz="8" w:color="auto"/>
            </w:tcBorders>
          </w:tcPr>
          <w:p>
            <w:pPr>
              <w:spacing w:after="0"/>
              <w:rPr>
                <w:sz w:val="8"/>
                <w:szCs w:val="8"/>
                <w:color w:val="auto"/>
              </w:rPr>
            </w:pPr>
          </w:p>
        </w:tc>
        <w:tc>
          <w:tcPr>
            <w:tcW w:w="940" w:type="dxa"/>
            <w:vAlign w:val="bottom"/>
            <w:gridSpan w:val="2"/>
            <w:vMerge w:val="restart"/>
          </w:tcPr>
          <w:p>
            <w:pPr>
              <w:jc w:val="center"/>
              <w:ind w:right="110"/>
              <w:spacing w:after="0"/>
              <w:rPr>
                <w:sz w:val="20"/>
                <w:szCs w:val="20"/>
                <w:color w:val="auto"/>
              </w:rPr>
            </w:pPr>
            <w:r>
              <w:rPr>
                <w:rFonts w:ascii="Arial" w:cs="Arial" w:eastAsia="Arial" w:hAnsi="Arial"/>
                <w:sz w:val="18"/>
                <w:szCs w:val="18"/>
                <w:color w:val="auto"/>
                <w:w w:val="99"/>
              </w:rPr>
              <w:t>WITH</w:t>
            </w:r>
          </w:p>
        </w:tc>
        <w:tc>
          <w:tcPr>
            <w:tcW w:w="18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80" w:type="dxa"/>
            <w:vAlign w:val="bottom"/>
            <w:tcBorders>
              <w:left w:val="single" w:sz="8" w:color="auto"/>
            </w:tcBorders>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shared power to dispose of these shares.</w:t>
            </w:r>
          </w:p>
        </w:tc>
        <w:tc>
          <w:tcPr>
            <w:tcW w:w="0" w:type="dxa"/>
            <w:vAlign w:val="bottom"/>
          </w:tcPr>
          <w:p>
            <w:pPr>
              <w:spacing w:after="0"/>
              <w:rPr>
                <w:sz w:val="1"/>
                <w:szCs w:val="1"/>
                <w:color w:val="auto"/>
              </w:rPr>
            </w:pPr>
          </w:p>
        </w:tc>
      </w:tr>
      <w:tr>
        <w:trPr>
          <w:trHeight w:val="95"/>
        </w:trPr>
        <w:tc>
          <w:tcPr>
            <w:tcW w:w="380" w:type="dxa"/>
            <w:vAlign w:val="bottom"/>
            <w:tcBorders>
              <w:lef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9180" w:type="dxa"/>
            <w:vAlign w:val="bottom"/>
            <w:tcBorders>
              <w:bottom w:val="single" w:sz="8" w:color="auto"/>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360" w:type="dxa"/>
            <w:vAlign w:val="bottom"/>
          </w:tcPr>
          <w:p>
            <w:pPr>
              <w:ind w:left="100"/>
              <w:spacing w:after="0" w:line="276" w:lineRule="exact"/>
              <w:rPr>
                <w:sz w:val="20"/>
                <w:szCs w:val="20"/>
                <w:color w:val="auto"/>
              </w:rPr>
            </w:pPr>
            <w:r>
              <w:rPr>
                <w:rFonts w:ascii="Arial" w:cs="Arial" w:eastAsia="Arial" w:hAnsi="Arial"/>
                <w:sz w:val="25"/>
                <w:szCs w:val="25"/>
                <w:b w:val="1"/>
                <w:bCs w:val="1"/>
                <w:color w:val="auto"/>
                <w:w w:val="86"/>
              </w:rPr>
              <w:t>10</w:t>
            </w:r>
          </w:p>
        </w:tc>
        <w:tc>
          <w:tcPr>
            <w:tcW w:w="20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See response to row 9.</w:t>
            </w: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w w:val="86"/>
              </w:rPr>
              <w:t>11</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9"/>
              </w:rPr>
              <w:t>289,596</w:t>
            </w: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ind w:left="120"/>
              <w:spacing w:after="0" w:line="250" w:lineRule="exact"/>
              <w:rPr>
                <w:sz w:val="20"/>
                <w:szCs w:val="20"/>
                <w:color w:val="auto"/>
              </w:rPr>
            </w:pPr>
            <w:r>
              <w:rPr>
                <w:rFonts w:ascii="Arial" w:cs="Arial" w:eastAsia="Arial" w:hAnsi="Arial"/>
                <w:sz w:val="25"/>
                <w:szCs w:val="25"/>
                <w:b w:val="1"/>
                <w:bCs w:val="1"/>
                <w:color w:val="auto"/>
                <w:w w:val="86"/>
              </w:rPr>
              <w:t>12</w:t>
            </w:r>
          </w:p>
        </w:tc>
        <w:tc>
          <w:tcPr>
            <w:tcW w:w="260" w:type="dxa"/>
            <w:vAlign w:val="bottom"/>
            <w:tcBorders>
              <w:right w:val="single" w:sz="8" w:color="auto"/>
            </w:tcBorders>
          </w:tcPr>
          <w:p>
            <w:pPr>
              <w:spacing w:after="0"/>
              <w:rPr>
                <w:sz w:val="21"/>
                <w:szCs w:val="21"/>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56"/>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80" w:type="dxa"/>
            <w:vAlign w:val="bottom"/>
            <w:tcBorders>
              <w:left w:val="single" w:sz="8" w:color="auto"/>
            </w:tcBorders>
          </w:tcPr>
          <w:p>
            <w:pPr>
              <w:ind w:left="120"/>
              <w:spacing w:after="0" w:line="280" w:lineRule="exact"/>
              <w:rPr>
                <w:sz w:val="20"/>
                <w:szCs w:val="20"/>
                <w:color w:val="auto"/>
              </w:rPr>
            </w:pPr>
            <w:r>
              <w:rPr>
                <w:rFonts w:ascii="Arial" w:cs="Arial" w:eastAsia="Arial" w:hAnsi="Arial"/>
                <w:sz w:val="25"/>
                <w:szCs w:val="25"/>
                <w:b w:val="1"/>
                <w:bCs w:val="1"/>
                <w:color w:val="auto"/>
                <w:w w:val="86"/>
              </w:rPr>
              <w:t>13</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67"/>
        </w:trPr>
        <w:tc>
          <w:tcPr>
            <w:tcW w:w="380" w:type="dxa"/>
            <w:vAlign w:val="bottom"/>
            <w:tcBorders>
              <w:left w:val="single" w:sz="8" w:color="auto"/>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680" w:type="dxa"/>
            <w:vAlign w:val="bottom"/>
            <w:tcBorders>
              <w:bottom w:val="single" w:sz="8" w:color="auto"/>
            </w:tcBorders>
          </w:tcPr>
          <w:p>
            <w:pPr>
              <w:ind w:left="80"/>
              <w:spacing w:after="0" w:line="267" w:lineRule="exact"/>
              <w:rPr>
                <w:sz w:val="20"/>
                <w:szCs w:val="20"/>
                <w:color w:val="auto"/>
              </w:rPr>
            </w:pPr>
            <w:r>
              <w:rPr>
                <w:rFonts w:ascii="Arial" w:cs="Arial" w:eastAsia="Arial" w:hAnsi="Arial"/>
                <w:sz w:val="18"/>
                <w:szCs w:val="18"/>
                <w:color w:val="auto"/>
              </w:rPr>
              <w:t>0.2%</w:t>
            </w:r>
            <w:r>
              <w:rPr>
                <w:rFonts w:ascii="Arial" w:cs="Arial" w:eastAsia="Arial" w:hAnsi="Arial"/>
                <w:sz w:val="29"/>
                <w:szCs w:val="29"/>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78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w w:val="86"/>
              </w:rPr>
              <w:t>14</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firstLine="8"/>
        <w:spacing w:after="0" w:line="207" w:lineRule="auto"/>
        <w:tabs>
          <w:tab w:leader="none" w:pos="112"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color w:val="auto"/>
        </w:rPr>
        <w:t>Based on 124,045,255 shares of the Issuer’s Common Stock outstanding as of June 9, 2021, as disclosed in the Issuer’s Current Report on Form 8-K filed on June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Page 3</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462"/>
        </w:trPr>
        <w:tc>
          <w:tcPr>
            <w:tcW w:w="1300" w:type="dxa"/>
            <w:vAlign w:val="bottom"/>
            <w:tcBorders>
              <w:top w:val="single" w:sz="8" w:color="auto"/>
              <w:left w:val="single" w:sz="8" w:color="auto"/>
            </w:tcBorders>
            <w:gridSpan w:val="3"/>
          </w:tcPr>
          <w:p>
            <w:pPr>
              <w:ind w:left="80"/>
              <w:spacing w:after="0"/>
              <w:rPr>
                <w:sz w:val="20"/>
                <w:szCs w:val="20"/>
                <w:color w:val="auto"/>
              </w:rPr>
            </w:pPr>
            <w:r>
              <w:rPr>
                <w:rFonts w:ascii="Arial" w:cs="Arial" w:eastAsia="Arial" w:hAnsi="Arial"/>
                <w:sz w:val="23"/>
                <w:szCs w:val="23"/>
                <w:b w:val="1"/>
                <w:bCs w:val="1"/>
                <w:color w:val="auto"/>
              </w:rPr>
              <w:t>CUSIP No.</w:t>
            </w: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5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63909J108</w:t>
            </w:r>
          </w:p>
        </w:tc>
        <w:tc>
          <w:tcPr>
            <w:tcW w:w="7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380" w:type="dxa"/>
            <w:vAlign w:val="bottom"/>
            <w:tcBorders>
              <w:left w:val="single" w:sz="8" w:color="auto"/>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7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0" w:type="dxa"/>
            <w:vAlign w:val="bottom"/>
            <w:tcBorders>
              <w:bottom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tcBorders>
          </w:tcPr>
          <w:p>
            <w:pPr>
              <w:ind w:left="120"/>
              <w:spacing w:after="0" w:line="238" w:lineRule="exact"/>
              <w:rPr>
                <w:sz w:val="20"/>
                <w:szCs w:val="20"/>
                <w:color w:val="auto"/>
              </w:rPr>
            </w:pPr>
            <w:r>
              <w:rPr>
                <w:rFonts w:ascii="Arial" w:cs="Arial" w:eastAsia="Arial" w:hAnsi="Arial"/>
                <w:sz w:val="25"/>
                <w:szCs w:val="25"/>
                <w:b w:val="1"/>
                <w:bCs w:val="1"/>
                <w:color w:val="auto"/>
              </w:rPr>
              <w:t>1</w:t>
            </w: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54"/>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0600" w:type="dxa"/>
            <w:vAlign w:val="bottom"/>
            <w:tcBorders>
              <w:bottom w:val="single" w:sz="8" w:color="auto"/>
              <w:right w:val="single" w:sz="8" w:color="auto"/>
            </w:tcBorders>
            <w:gridSpan w:val="6"/>
          </w:tcPr>
          <w:p>
            <w:pPr>
              <w:ind w:left="80"/>
              <w:spacing w:after="0"/>
              <w:rPr>
                <w:sz w:val="20"/>
                <w:szCs w:val="20"/>
                <w:color w:val="auto"/>
              </w:rPr>
            </w:pPr>
            <w:r>
              <w:rPr>
                <w:rFonts w:ascii="Arial" w:cs="Arial" w:eastAsia="Arial" w:hAnsi="Arial"/>
                <w:sz w:val="18"/>
                <w:szCs w:val="18"/>
                <w:color w:val="auto"/>
              </w:rPr>
              <w:t>AH Equity Partners Bio II, L.L.C. (“AH Equity Bio II”)</w:t>
            </w: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ind w:left="120"/>
              <w:spacing w:after="0" w:line="232" w:lineRule="exact"/>
              <w:rPr>
                <w:sz w:val="20"/>
                <w:szCs w:val="20"/>
                <w:color w:val="auto"/>
              </w:rPr>
            </w:pPr>
            <w:r>
              <w:rPr>
                <w:rFonts w:ascii="Arial" w:cs="Arial" w:eastAsia="Arial" w:hAnsi="Arial"/>
                <w:sz w:val="25"/>
                <w:szCs w:val="25"/>
                <w:b w:val="1"/>
                <w:bCs w:val="1"/>
                <w:color w:val="auto"/>
              </w:rPr>
              <w:t>2</w:t>
            </w: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174"/>
        </w:trPr>
        <w:tc>
          <w:tcPr>
            <w:tcW w:w="380" w:type="dxa"/>
            <w:vAlign w:val="bottom"/>
            <w:tcBorders>
              <w:left w:val="single" w:sz="8" w:color="auto"/>
            </w:tcBorders>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660" w:type="dxa"/>
            <w:vAlign w:val="bottom"/>
          </w:tcPr>
          <w:p>
            <w:pPr>
              <w:ind w:left="400"/>
              <w:spacing w:after="0" w:line="174" w:lineRule="exact"/>
              <w:rPr>
                <w:sz w:val="20"/>
                <w:szCs w:val="20"/>
                <w:color w:val="auto"/>
              </w:rPr>
            </w:pPr>
            <w:r>
              <w:rPr>
                <w:rFonts w:ascii="Arial" w:cs="Arial" w:eastAsia="Arial" w:hAnsi="Arial"/>
                <w:sz w:val="18"/>
                <w:szCs w:val="18"/>
                <w:color w:val="auto"/>
              </w:rPr>
              <w:t>(a)</w:t>
            </w:r>
          </w:p>
        </w:tc>
        <w:tc>
          <w:tcPr>
            <w:tcW w:w="560" w:type="dxa"/>
            <w:vAlign w:val="bottom"/>
            <w:gridSpan w:val="2"/>
          </w:tcPr>
          <w:p>
            <w:pPr>
              <w:ind w:left="20"/>
              <w:spacing w:after="0" w:line="175"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(b)</w:t>
            </w:r>
          </w:p>
        </w:tc>
        <w:tc>
          <w:tcPr>
            <w:tcW w:w="56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6"/>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25"/>
                <w:szCs w:val="25"/>
                <w:b w:val="1"/>
                <w:bCs w:val="1"/>
                <w:color w:val="auto"/>
              </w:rPr>
              <w:t>3</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bottom w:val="single" w:sz="8" w:color="auto"/>
            </w:tcBorders>
          </w:tcPr>
          <w:p>
            <w:pPr>
              <w:spacing w:after="0"/>
              <w:rPr>
                <w:sz w:val="15"/>
                <w:szCs w:val="15"/>
                <w:color w:val="auto"/>
              </w:rPr>
            </w:pPr>
          </w:p>
        </w:tc>
        <w:tc>
          <w:tcPr>
            <w:tcW w:w="260" w:type="dxa"/>
            <w:vAlign w:val="bottom"/>
            <w:tcBorders>
              <w:bottom w:val="single" w:sz="8" w:color="auto"/>
              <w:right w:val="single" w:sz="8" w:color="auto"/>
            </w:tcBorders>
          </w:tcPr>
          <w:p>
            <w:pPr>
              <w:spacing w:after="0"/>
              <w:rPr>
                <w:sz w:val="15"/>
                <w:szCs w:val="15"/>
                <w:color w:val="auto"/>
              </w:rPr>
            </w:pPr>
          </w:p>
        </w:tc>
        <w:tc>
          <w:tcPr>
            <w:tcW w:w="10600" w:type="dxa"/>
            <w:vAlign w:val="bottom"/>
            <w:tcBorders>
              <w:bottom w:val="single" w:sz="8" w:color="auto"/>
              <w:right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rPr>
              <w:t>4</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AF</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ind w:left="120"/>
              <w:spacing w:after="0" w:line="250" w:lineRule="exact"/>
              <w:rPr>
                <w:sz w:val="20"/>
                <w:szCs w:val="20"/>
                <w:color w:val="auto"/>
              </w:rPr>
            </w:pPr>
            <w:r>
              <w:rPr>
                <w:rFonts w:ascii="Arial" w:cs="Arial" w:eastAsia="Arial" w:hAnsi="Arial"/>
                <w:sz w:val="25"/>
                <w:szCs w:val="25"/>
                <w:b w:val="1"/>
                <w:bCs w:val="1"/>
                <w:color w:val="auto"/>
              </w:rPr>
              <w:t>5</w:t>
            </w:r>
          </w:p>
        </w:tc>
        <w:tc>
          <w:tcPr>
            <w:tcW w:w="260" w:type="dxa"/>
            <w:vAlign w:val="bottom"/>
            <w:tcBorders>
              <w:right w:val="single" w:sz="8" w:color="auto"/>
            </w:tcBorders>
          </w:tcPr>
          <w:p>
            <w:pPr>
              <w:spacing w:after="0"/>
              <w:rPr>
                <w:sz w:val="21"/>
                <w:szCs w:val="21"/>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56"/>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rPr>
              <w:t>6</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60" w:type="dxa"/>
            <w:vAlign w:val="bottom"/>
          </w:tcPr>
          <w:p>
            <w:pPr>
              <w:ind w:left="100"/>
              <w:spacing w:after="0" w:line="276" w:lineRule="exact"/>
              <w:rPr>
                <w:sz w:val="20"/>
                <w:szCs w:val="20"/>
                <w:color w:val="auto"/>
              </w:rPr>
            </w:pPr>
            <w:r>
              <w:rPr>
                <w:rFonts w:ascii="Arial" w:cs="Arial" w:eastAsia="Arial" w:hAnsi="Arial"/>
                <w:sz w:val="25"/>
                <w:szCs w:val="25"/>
                <w:b w:val="1"/>
                <w:bCs w:val="1"/>
                <w:color w:val="auto"/>
              </w:rPr>
              <w:t>7</w:t>
            </w:r>
          </w:p>
        </w:tc>
        <w:tc>
          <w:tcPr>
            <w:tcW w:w="20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16,298,006 shares, of which 16,008,410 are directly owned by AH Bio II and 289,596 are directly owned by AH Bio II-B.</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8"/>
              </w:rPr>
              <w:t>AH Equity Bio II, the general partner of AH Bio II and AH Bio II-B, may be deemed to have sole power to vote these</w:t>
            </w: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tcBorders>
            <w:gridSpan w:val="3"/>
            <w:vMerge w:val="restart"/>
          </w:tcPr>
          <w:p>
            <w:pPr>
              <w:jc w:val="center"/>
              <w:ind w:left="84"/>
              <w:spacing w:after="0"/>
              <w:rPr>
                <w:sz w:val="20"/>
                <w:szCs w:val="20"/>
                <w:color w:val="auto"/>
              </w:rPr>
            </w:pPr>
            <w:r>
              <w:rPr>
                <w:rFonts w:ascii="Arial" w:cs="Arial" w:eastAsia="Arial" w:hAnsi="Arial"/>
                <w:sz w:val="18"/>
                <w:szCs w:val="18"/>
                <w:color w:val="auto"/>
                <w:w w:val="98"/>
              </w:rPr>
              <w:t>NUMBER OF</w:t>
            </w: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1"/>
              </w:rPr>
              <w:t>shares, and Andreessen and Horowitz, the managing members of AH Equity Bio II, may be deemed to have shared power to</w:t>
            </w:r>
          </w:p>
        </w:tc>
        <w:tc>
          <w:tcPr>
            <w:tcW w:w="0" w:type="dxa"/>
            <w:vAlign w:val="bottom"/>
          </w:tcPr>
          <w:p>
            <w:pPr>
              <w:spacing w:after="0"/>
              <w:rPr>
                <w:sz w:val="1"/>
                <w:szCs w:val="1"/>
                <w:color w:val="auto"/>
              </w:rPr>
            </w:pPr>
          </w:p>
        </w:tc>
      </w:tr>
      <w:tr>
        <w:trPr>
          <w:trHeight w:val="95"/>
        </w:trPr>
        <w:tc>
          <w:tcPr>
            <w:tcW w:w="1300" w:type="dxa"/>
            <w:vAlign w:val="bottom"/>
            <w:tcBorders>
              <w:left w:val="single" w:sz="8" w:color="auto"/>
            </w:tcBorders>
            <w:gridSpan w:val="3"/>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vote these shares.</w:t>
            </w:r>
          </w:p>
        </w:tc>
        <w:tc>
          <w:tcPr>
            <w:tcW w:w="0" w:type="dxa"/>
            <w:vAlign w:val="bottom"/>
          </w:tcPr>
          <w:p>
            <w:pPr>
              <w:spacing w:after="0"/>
              <w:rPr>
                <w:sz w:val="1"/>
                <w:szCs w:val="1"/>
                <w:color w:val="auto"/>
              </w:rPr>
            </w:pPr>
          </w:p>
        </w:tc>
      </w:tr>
      <w:tr>
        <w:trPr>
          <w:trHeight w:val="136"/>
        </w:trPr>
        <w:tc>
          <w:tcPr>
            <w:tcW w:w="380" w:type="dxa"/>
            <w:vAlign w:val="bottom"/>
            <w:tcBorders>
              <w:left w:val="single" w:sz="8" w:color="auto"/>
            </w:tcBorders>
          </w:tcPr>
          <w:p>
            <w:pPr>
              <w:spacing w:after="0"/>
              <w:rPr>
                <w:sz w:val="11"/>
                <w:szCs w:val="11"/>
                <w:color w:val="auto"/>
              </w:rPr>
            </w:pPr>
          </w:p>
        </w:tc>
        <w:tc>
          <w:tcPr>
            <w:tcW w:w="9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4"/>
              </w:rPr>
              <w:t>SHARES</w:t>
            </w:r>
          </w:p>
        </w:tc>
        <w:tc>
          <w:tcPr>
            <w:tcW w:w="200" w:type="dxa"/>
            <w:vAlign w:val="bottom"/>
            <w:tcBorders>
              <w:right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9180" w:type="dxa"/>
            <w:vAlign w:val="bottom"/>
            <w:tcBorders>
              <w:bottom w:val="single" w:sz="8" w:color="auto"/>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80" w:type="dxa"/>
            <w:vAlign w:val="bottom"/>
            <w:tcBorders>
              <w:left w:val="single" w:sz="8" w:color="auto"/>
            </w:tcBorders>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360" w:type="dxa"/>
            <w:vAlign w:val="bottom"/>
            <w:vMerge w:val="restart"/>
          </w:tcPr>
          <w:p>
            <w:pPr>
              <w:ind w:left="100"/>
              <w:spacing w:after="0" w:line="276" w:lineRule="exact"/>
              <w:rPr>
                <w:sz w:val="20"/>
                <w:szCs w:val="20"/>
                <w:color w:val="auto"/>
              </w:rPr>
            </w:pPr>
            <w:r>
              <w:rPr>
                <w:rFonts w:ascii="Arial" w:cs="Arial" w:eastAsia="Arial" w:hAnsi="Arial"/>
                <w:sz w:val="25"/>
                <w:szCs w:val="25"/>
                <w:b w:val="1"/>
                <w:bCs w:val="1"/>
                <w:color w:val="auto"/>
              </w:rPr>
              <w:t>8</w:t>
            </w:r>
          </w:p>
        </w:tc>
        <w:tc>
          <w:tcPr>
            <w:tcW w:w="200" w:type="dxa"/>
            <w:vAlign w:val="bottom"/>
            <w:tcBorders>
              <w:right w:val="single" w:sz="8" w:color="auto"/>
            </w:tcBorders>
          </w:tcPr>
          <w:p>
            <w:pPr>
              <w:spacing w:after="0"/>
              <w:rPr>
                <w:sz w:val="5"/>
                <w:szCs w:val="5"/>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vMerge w:val="continue"/>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Borders>
              <w:left w:val="single" w:sz="8" w:color="auto"/>
            </w:tcBorders>
            <w:gridSpan w:val="3"/>
          </w:tcPr>
          <w:p>
            <w:pPr>
              <w:jc w:val="center"/>
              <w:ind w:left="84"/>
              <w:spacing w:after="0"/>
              <w:rPr>
                <w:sz w:val="20"/>
                <w:szCs w:val="20"/>
                <w:color w:val="auto"/>
              </w:rPr>
            </w:pPr>
            <w:r>
              <w:rPr>
                <w:rFonts w:ascii="Arial" w:cs="Arial" w:eastAsia="Arial" w:hAnsi="Arial"/>
                <w:sz w:val="18"/>
                <w:szCs w:val="18"/>
                <w:color w:val="auto"/>
                <w:w w:val="99"/>
              </w:rPr>
              <w:t>OWNED BY</w:t>
            </w:r>
          </w:p>
        </w:tc>
        <w:tc>
          <w:tcPr>
            <w:tcW w:w="200" w:type="dxa"/>
            <w:vAlign w:val="bottom"/>
            <w:tcBorders>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920" w:type="dxa"/>
            <w:vAlign w:val="bottom"/>
            <w:gridSpan w:val="2"/>
          </w:tcPr>
          <w:p>
            <w:pPr>
              <w:jc w:val="center"/>
              <w:ind w:right="90"/>
              <w:spacing w:after="0" w:line="182" w:lineRule="exact"/>
              <w:rPr>
                <w:sz w:val="20"/>
                <w:szCs w:val="20"/>
                <w:color w:val="auto"/>
              </w:rPr>
            </w:pPr>
            <w:r>
              <w:rPr>
                <w:rFonts w:ascii="Arial" w:cs="Arial" w:eastAsia="Arial" w:hAnsi="Arial"/>
                <w:sz w:val="18"/>
                <w:szCs w:val="18"/>
                <w:color w:val="auto"/>
                <w:w w:val="99"/>
              </w:rPr>
              <w:t>EACH</w:t>
            </w:r>
          </w:p>
        </w:tc>
        <w:tc>
          <w:tcPr>
            <w:tcW w:w="200" w:type="dxa"/>
            <w:vAlign w:val="bottom"/>
            <w:tcBorders>
              <w:right w:val="single" w:sz="8" w:color="auto"/>
            </w:tcBorders>
          </w:tcPr>
          <w:p>
            <w:pPr>
              <w:spacing w:after="0"/>
              <w:rPr>
                <w:sz w:val="15"/>
                <w:szCs w:val="15"/>
                <w:color w:val="auto"/>
              </w:rPr>
            </w:pPr>
          </w:p>
        </w:tc>
        <w:tc>
          <w:tcPr>
            <w:tcW w:w="360" w:type="dxa"/>
            <w:vAlign w:val="bottom"/>
            <w:vMerge w:val="restart"/>
          </w:tcPr>
          <w:p>
            <w:pPr>
              <w:ind w:left="100"/>
              <w:spacing w:after="0" w:line="276" w:lineRule="exact"/>
              <w:rPr>
                <w:sz w:val="20"/>
                <w:szCs w:val="20"/>
                <w:color w:val="auto"/>
              </w:rPr>
            </w:pPr>
            <w:r>
              <w:rPr>
                <w:rFonts w:ascii="Arial" w:cs="Arial" w:eastAsia="Arial" w:hAnsi="Arial"/>
                <w:sz w:val="25"/>
                <w:szCs w:val="25"/>
                <w:b w:val="1"/>
                <w:bCs w:val="1"/>
                <w:color w:val="auto"/>
              </w:rPr>
              <w:t>9</w:t>
            </w:r>
          </w:p>
        </w:tc>
        <w:tc>
          <w:tcPr>
            <w:tcW w:w="200" w:type="dxa"/>
            <w:vAlign w:val="bottom"/>
            <w:tcBorders>
              <w:right w:val="single" w:sz="8" w:color="auto"/>
            </w:tcBorders>
          </w:tcPr>
          <w:p>
            <w:pPr>
              <w:spacing w:after="0"/>
              <w:rPr>
                <w:sz w:val="15"/>
                <w:szCs w:val="15"/>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300" w:type="dxa"/>
            <w:vAlign w:val="bottom"/>
            <w:tcBorders>
              <w:left w:val="single" w:sz="8" w:color="auto"/>
            </w:tcBorders>
            <w:gridSpan w:val="3"/>
            <w:vMerge w:val="restart"/>
          </w:tcPr>
          <w:p>
            <w:pPr>
              <w:jc w:val="center"/>
              <w:ind w:left="84"/>
              <w:spacing w:after="0"/>
              <w:rPr>
                <w:sz w:val="20"/>
                <w:szCs w:val="20"/>
                <w:color w:val="auto"/>
              </w:rPr>
            </w:pPr>
            <w:r>
              <w:rPr>
                <w:rFonts w:ascii="Arial" w:cs="Arial" w:eastAsia="Arial" w:hAnsi="Arial"/>
                <w:sz w:val="18"/>
                <w:szCs w:val="18"/>
                <w:color w:val="auto"/>
                <w:w w:val="91"/>
              </w:rPr>
              <w:t>REPORTING</w:t>
            </w:r>
          </w:p>
        </w:tc>
        <w:tc>
          <w:tcPr>
            <w:tcW w:w="200" w:type="dxa"/>
            <w:vAlign w:val="bottom"/>
            <w:tcBorders>
              <w:right w:val="single" w:sz="8" w:color="auto"/>
            </w:tcBorders>
          </w:tcPr>
          <w:p>
            <w:pPr>
              <w:spacing w:after="0"/>
              <w:rPr>
                <w:sz w:val="8"/>
                <w:szCs w:val="8"/>
                <w:color w:val="auto"/>
              </w:rPr>
            </w:pPr>
          </w:p>
        </w:tc>
        <w:tc>
          <w:tcPr>
            <w:tcW w:w="360" w:type="dxa"/>
            <w:vAlign w:val="bottom"/>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300" w:type="dxa"/>
            <w:vAlign w:val="bottom"/>
            <w:tcBorders>
              <w:left w:val="single" w:sz="8" w:color="auto"/>
            </w:tcBorders>
            <w:gridSpan w:val="3"/>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16,298,006 shares, of which 16,008,410 are directly owned by AH Bio II and 289,596 are directly owned by AH Bio II-B.</w:t>
            </w:r>
          </w:p>
        </w:tc>
        <w:tc>
          <w:tcPr>
            <w:tcW w:w="0" w:type="dxa"/>
            <w:vAlign w:val="bottom"/>
          </w:tcPr>
          <w:p>
            <w:pPr>
              <w:spacing w:after="0"/>
              <w:rPr>
                <w:sz w:val="1"/>
                <w:szCs w:val="1"/>
                <w:color w:val="auto"/>
              </w:rPr>
            </w:pPr>
          </w:p>
        </w:tc>
      </w:tr>
      <w:tr>
        <w:trPr>
          <w:trHeight w:val="95"/>
        </w:trPr>
        <w:tc>
          <w:tcPr>
            <w:tcW w:w="380" w:type="dxa"/>
            <w:vAlign w:val="bottom"/>
            <w:tcBorders>
              <w:left w:val="single" w:sz="8" w:color="auto"/>
            </w:tcBorders>
          </w:tcPr>
          <w:p>
            <w:pPr>
              <w:spacing w:after="0"/>
              <w:rPr>
                <w:sz w:val="8"/>
                <w:szCs w:val="8"/>
                <w:color w:val="auto"/>
              </w:rPr>
            </w:pPr>
          </w:p>
        </w:tc>
        <w:tc>
          <w:tcPr>
            <w:tcW w:w="9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2"/>
              </w:rPr>
              <w:t>PERSON</w:t>
            </w:r>
          </w:p>
        </w:tc>
        <w:tc>
          <w:tcPr>
            <w:tcW w:w="2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80" w:type="dxa"/>
            <w:vAlign w:val="bottom"/>
            <w:tcBorders>
              <w:left w:val="single" w:sz="8" w:color="auto"/>
            </w:tcBorders>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AH Equity Bio II, the general partner of AH Bio and AH Bio II-B, may be deemed to have sole power to dispose of these</w:t>
            </w:r>
          </w:p>
        </w:tc>
        <w:tc>
          <w:tcPr>
            <w:tcW w:w="0" w:type="dxa"/>
            <w:vAlign w:val="bottom"/>
          </w:tcPr>
          <w:p>
            <w:pPr>
              <w:spacing w:after="0"/>
              <w:rPr>
                <w:sz w:val="1"/>
                <w:szCs w:val="1"/>
                <w:color w:val="auto"/>
              </w:rPr>
            </w:pPr>
          </w:p>
        </w:tc>
      </w:tr>
      <w:tr>
        <w:trPr>
          <w:trHeight w:val="94"/>
        </w:trPr>
        <w:tc>
          <w:tcPr>
            <w:tcW w:w="380" w:type="dxa"/>
            <w:vAlign w:val="bottom"/>
            <w:tcBorders>
              <w:left w:val="single" w:sz="8" w:color="auto"/>
            </w:tcBorders>
          </w:tcPr>
          <w:p>
            <w:pPr>
              <w:spacing w:after="0"/>
              <w:rPr>
                <w:sz w:val="8"/>
                <w:szCs w:val="8"/>
                <w:color w:val="auto"/>
              </w:rPr>
            </w:pPr>
          </w:p>
        </w:tc>
        <w:tc>
          <w:tcPr>
            <w:tcW w:w="9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9"/>
              </w:rPr>
              <w:t>WITH</w:t>
            </w:r>
          </w:p>
        </w:tc>
        <w:tc>
          <w:tcPr>
            <w:tcW w:w="2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80" w:type="dxa"/>
            <w:vAlign w:val="bottom"/>
            <w:tcBorders>
              <w:left w:val="single" w:sz="8" w:color="auto"/>
            </w:tcBorders>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1"/>
              </w:rPr>
              <w:t>shares, and Andreessen and Horowitz, the managing members of AH Equity Bio II, may be deemed to have shared power to</w:t>
            </w: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91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dispose of these shares.</w:t>
            </w: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60" w:type="dxa"/>
            <w:vAlign w:val="bottom"/>
          </w:tcPr>
          <w:p>
            <w:pPr>
              <w:ind w:left="100"/>
              <w:spacing w:after="0" w:line="276" w:lineRule="exact"/>
              <w:rPr>
                <w:sz w:val="20"/>
                <w:szCs w:val="20"/>
                <w:color w:val="auto"/>
              </w:rPr>
            </w:pPr>
            <w:r>
              <w:rPr>
                <w:rFonts w:ascii="Arial" w:cs="Arial" w:eastAsia="Arial" w:hAnsi="Arial"/>
                <w:sz w:val="25"/>
                <w:szCs w:val="25"/>
                <w:b w:val="1"/>
                <w:bCs w:val="1"/>
                <w:color w:val="auto"/>
                <w:w w:val="86"/>
              </w:rPr>
              <w:t>10</w:t>
            </w:r>
          </w:p>
        </w:tc>
        <w:tc>
          <w:tcPr>
            <w:tcW w:w="20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See response to row 9.</w:t>
            </w: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w w:val="86"/>
              </w:rPr>
              <w:t>11</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16,298,006</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ind w:left="120"/>
              <w:spacing w:after="0" w:line="250" w:lineRule="exact"/>
              <w:rPr>
                <w:sz w:val="20"/>
                <w:szCs w:val="20"/>
                <w:color w:val="auto"/>
              </w:rPr>
            </w:pPr>
            <w:r>
              <w:rPr>
                <w:rFonts w:ascii="Arial" w:cs="Arial" w:eastAsia="Arial" w:hAnsi="Arial"/>
                <w:sz w:val="25"/>
                <w:szCs w:val="25"/>
                <w:b w:val="1"/>
                <w:bCs w:val="1"/>
                <w:color w:val="auto"/>
                <w:w w:val="86"/>
              </w:rPr>
              <w:t>12</w:t>
            </w:r>
          </w:p>
        </w:tc>
        <w:tc>
          <w:tcPr>
            <w:tcW w:w="260" w:type="dxa"/>
            <w:vAlign w:val="bottom"/>
            <w:tcBorders>
              <w:right w:val="single" w:sz="8" w:color="auto"/>
            </w:tcBorders>
          </w:tcPr>
          <w:p>
            <w:pPr>
              <w:spacing w:after="0"/>
              <w:rPr>
                <w:sz w:val="21"/>
                <w:szCs w:val="21"/>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57"/>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80" w:type="dxa"/>
            <w:vAlign w:val="bottom"/>
            <w:tcBorders>
              <w:left w:val="single" w:sz="8" w:color="auto"/>
            </w:tcBorders>
          </w:tcPr>
          <w:p>
            <w:pPr>
              <w:ind w:left="120"/>
              <w:spacing w:after="0" w:line="280" w:lineRule="exact"/>
              <w:rPr>
                <w:sz w:val="20"/>
                <w:szCs w:val="20"/>
                <w:color w:val="auto"/>
              </w:rPr>
            </w:pPr>
            <w:r>
              <w:rPr>
                <w:rFonts w:ascii="Arial" w:cs="Arial" w:eastAsia="Arial" w:hAnsi="Arial"/>
                <w:sz w:val="25"/>
                <w:szCs w:val="25"/>
                <w:b w:val="1"/>
                <w:bCs w:val="1"/>
                <w:color w:val="auto"/>
                <w:w w:val="86"/>
              </w:rPr>
              <w:t>13</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67"/>
        </w:trPr>
        <w:tc>
          <w:tcPr>
            <w:tcW w:w="380" w:type="dxa"/>
            <w:vAlign w:val="bottom"/>
            <w:tcBorders>
              <w:left w:val="single" w:sz="8" w:color="auto"/>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tcBorders>
          </w:tcPr>
          <w:p>
            <w:pPr>
              <w:ind w:left="80"/>
              <w:spacing w:after="0" w:line="267" w:lineRule="exact"/>
              <w:rPr>
                <w:sz w:val="20"/>
                <w:szCs w:val="20"/>
                <w:color w:val="auto"/>
              </w:rPr>
            </w:pPr>
            <w:r>
              <w:rPr>
                <w:rFonts w:ascii="Arial" w:cs="Arial" w:eastAsia="Arial" w:hAnsi="Arial"/>
                <w:sz w:val="18"/>
                <w:szCs w:val="18"/>
                <w:color w:val="auto"/>
                <w:w w:val="90"/>
              </w:rPr>
              <w:t>13.1%</w:t>
            </w:r>
            <w:r>
              <w:rPr>
                <w:rFonts w:ascii="Arial" w:cs="Arial" w:eastAsia="Arial" w:hAnsi="Arial"/>
                <w:sz w:val="29"/>
                <w:szCs w:val="29"/>
                <w:color w:val="auto"/>
                <w:w w:val="90"/>
                <w:vertAlign w:val="superscript"/>
              </w:rPr>
              <w:t>1</w:t>
            </w:r>
          </w:p>
        </w:tc>
        <w:tc>
          <w:tcPr>
            <w:tcW w:w="2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78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w w:val="86"/>
              </w:rPr>
              <w:t>14</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firstLine="8"/>
        <w:spacing w:after="0" w:line="207" w:lineRule="auto"/>
        <w:tabs>
          <w:tab w:leader="none" w:pos="112"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Based on 124,045,255 shares of the Issuer’s Common Stock outstanding as of June 9, 2021, as disclosed in the Issuer’s Current Report on Form 8-K filed on June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Page 4</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462"/>
        </w:trPr>
        <w:tc>
          <w:tcPr>
            <w:tcW w:w="1300" w:type="dxa"/>
            <w:vAlign w:val="bottom"/>
            <w:tcBorders>
              <w:top w:val="single" w:sz="8" w:color="auto"/>
              <w:left w:val="single" w:sz="8" w:color="auto"/>
            </w:tcBorders>
            <w:gridSpan w:val="3"/>
          </w:tcPr>
          <w:p>
            <w:pPr>
              <w:ind w:left="80"/>
              <w:spacing w:after="0"/>
              <w:rPr>
                <w:sz w:val="20"/>
                <w:szCs w:val="20"/>
                <w:color w:val="auto"/>
              </w:rPr>
            </w:pPr>
            <w:r>
              <w:rPr>
                <w:rFonts w:ascii="Arial" w:cs="Arial" w:eastAsia="Arial" w:hAnsi="Arial"/>
                <w:sz w:val="23"/>
                <w:szCs w:val="23"/>
                <w:b w:val="1"/>
                <w:bCs w:val="1"/>
                <w:color w:val="auto"/>
              </w:rPr>
              <w:t>CUSIP No.</w:t>
            </w: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5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63909J108</w:t>
            </w:r>
          </w:p>
        </w:tc>
        <w:tc>
          <w:tcPr>
            <w:tcW w:w="7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380" w:type="dxa"/>
            <w:vAlign w:val="bottom"/>
            <w:tcBorders>
              <w:left w:val="single" w:sz="8" w:color="auto"/>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7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0" w:type="dxa"/>
            <w:vAlign w:val="bottom"/>
            <w:tcBorders>
              <w:bottom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tcBorders>
          </w:tcPr>
          <w:p>
            <w:pPr>
              <w:ind w:left="120"/>
              <w:spacing w:after="0" w:line="238" w:lineRule="exact"/>
              <w:rPr>
                <w:sz w:val="20"/>
                <w:szCs w:val="20"/>
                <w:color w:val="auto"/>
              </w:rPr>
            </w:pPr>
            <w:r>
              <w:rPr>
                <w:rFonts w:ascii="Arial" w:cs="Arial" w:eastAsia="Arial" w:hAnsi="Arial"/>
                <w:sz w:val="25"/>
                <w:szCs w:val="25"/>
                <w:b w:val="1"/>
                <w:bCs w:val="1"/>
                <w:color w:val="auto"/>
              </w:rPr>
              <w:t>1</w:t>
            </w: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54"/>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0600" w:type="dxa"/>
            <w:vAlign w:val="bottom"/>
            <w:tcBorders>
              <w:bottom w:val="single" w:sz="8" w:color="auto"/>
              <w:right w:val="single" w:sz="8" w:color="auto"/>
            </w:tcBorders>
            <w:gridSpan w:val="6"/>
          </w:tcPr>
          <w:p>
            <w:pPr>
              <w:ind w:left="80"/>
              <w:spacing w:after="0"/>
              <w:rPr>
                <w:sz w:val="20"/>
                <w:szCs w:val="20"/>
                <w:color w:val="auto"/>
              </w:rPr>
            </w:pPr>
            <w:r>
              <w:rPr>
                <w:rFonts w:ascii="Arial" w:cs="Arial" w:eastAsia="Arial" w:hAnsi="Arial"/>
                <w:sz w:val="18"/>
                <w:szCs w:val="18"/>
                <w:color w:val="auto"/>
              </w:rPr>
              <w:t>Andreessen Horowitz LSV Fund II, L.P. (“AH LSV II”)</w:t>
            </w: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ind w:left="120"/>
              <w:spacing w:after="0" w:line="232" w:lineRule="exact"/>
              <w:rPr>
                <w:sz w:val="20"/>
                <w:szCs w:val="20"/>
                <w:color w:val="auto"/>
              </w:rPr>
            </w:pPr>
            <w:r>
              <w:rPr>
                <w:rFonts w:ascii="Arial" w:cs="Arial" w:eastAsia="Arial" w:hAnsi="Arial"/>
                <w:sz w:val="25"/>
                <w:szCs w:val="25"/>
                <w:b w:val="1"/>
                <w:bCs w:val="1"/>
                <w:color w:val="auto"/>
              </w:rPr>
              <w:t>2</w:t>
            </w: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174"/>
        </w:trPr>
        <w:tc>
          <w:tcPr>
            <w:tcW w:w="380" w:type="dxa"/>
            <w:vAlign w:val="bottom"/>
            <w:tcBorders>
              <w:left w:val="single" w:sz="8" w:color="auto"/>
            </w:tcBorders>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660" w:type="dxa"/>
            <w:vAlign w:val="bottom"/>
          </w:tcPr>
          <w:p>
            <w:pPr>
              <w:ind w:left="400"/>
              <w:spacing w:after="0" w:line="174" w:lineRule="exact"/>
              <w:rPr>
                <w:sz w:val="20"/>
                <w:szCs w:val="20"/>
                <w:color w:val="auto"/>
              </w:rPr>
            </w:pPr>
            <w:r>
              <w:rPr>
                <w:rFonts w:ascii="Arial" w:cs="Arial" w:eastAsia="Arial" w:hAnsi="Arial"/>
                <w:sz w:val="18"/>
                <w:szCs w:val="18"/>
                <w:color w:val="auto"/>
              </w:rPr>
              <w:t>(a)</w:t>
            </w:r>
          </w:p>
        </w:tc>
        <w:tc>
          <w:tcPr>
            <w:tcW w:w="560" w:type="dxa"/>
            <w:vAlign w:val="bottom"/>
            <w:gridSpan w:val="2"/>
          </w:tcPr>
          <w:p>
            <w:pPr>
              <w:ind w:left="20"/>
              <w:spacing w:after="0" w:line="175"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(b)</w:t>
            </w:r>
          </w:p>
        </w:tc>
        <w:tc>
          <w:tcPr>
            <w:tcW w:w="56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6"/>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25"/>
                <w:szCs w:val="25"/>
                <w:b w:val="1"/>
                <w:bCs w:val="1"/>
                <w:color w:val="auto"/>
              </w:rPr>
              <w:t>3</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81"/>
        </w:trPr>
        <w:tc>
          <w:tcPr>
            <w:tcW w:w="380" w:type="dxa"/>
            <w:vAlign w:val="bottom"/>
            <w:tcBorders>
              <w:left w:val="single" w:sz="8" w:color="auto"/>
              <w:bottom w:val="single" w:sz="8" w:color="auto"/>
            </w:tcBorders>
          </w:tcPr>
          <w:p>
            <w:pPr>
              <w:spacing w:after="0"/>
              <w:rPr>
                <w:sz w:val="15"/>
                <w:szCs w:val="15"/>
                <w:color w:val="auto"/>
              </w:rPr>
            </w:pPr>
          </w:p>
        </w:tc>
        <w:tc>
          <w:tcPr>
            <w:tcW w:w="260" w:type="dxa"/>
            <w:vAlign w:val="bottom"/>
            <w:tcBorders>
              <w:bottom w:val="single" w:sz="8" w:color="auto"/>
              <w:right w:val="single" w:sz="8" w:color="auto"/>
            </w:tcBorders>
          </w:tcPr>
          <w:p>
            <w:pPr>
              <w:spacing w:after="0"/>
              <w:rPr>
                <w:sz w:val="15"/>
                <w:szCs w:val="15"/>
                <w:color w:val="auto"/>
              </w:rPr>
            </w:pPr>
          </w:p>
        </w:tc>
        <w:tc>
          <w:tcPr>
            <w:tcW w:w="10600" w:type="dxa"/>
            <w:vAlign w:val="bottom"/>
            <w:tcBorders>
              <w:bottom w:val="single" w:sz="8" w:color="auto"/>
              <w:right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rPr>
              <w:t>4</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ind w:left="120"/>
              <w:spacing w:after="0" w:line="250" w:lineRule="exact"/>
              <w:rPr>
                <w:sz w:val="20"/>
                <w:szCs w:val="20"/>
                <w:color w:val="auto"/>
              </w:rPr>
            </w:pPr>
            <w:r>
              <w:rPr>
                <w:rFonts w:ascii="Arial" w:cs="Arial" w:eastAsia="Arial" w:hAnsi="Arial"/>
                <w:sz w:val="25"/>
                <w:szCs w:val="25"/>
                <w:b w:val="1"/>
                <w:bCs w:val="1"/>
                <w:color w:val="auto"/>
              </w:rPr>
              <w:t>5</w:t>
            </w:r>
          </w:p>
        </w:tc>
        <w:tc>
          <w:tcPr>
            <w:tcW w:w="260" w:type="dxa"/>
            <w:vAlign w:val="bottom"/>
            <w:tcBorders>
              <w:right w:val="single" w:sz="8" w:color="auto"/>
            </w:tcBorders>
          </w:tcPr>
          <w:p>
            <w:pPr>
              <w:spacing w:after="0"/>
              <w:rPr>
                <w:sz w:val="21"/>
                <w:szCs w:val="21"/>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57"/>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rPr>
              <w:t>6</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60" w:type="dxa"/>
            <w:vAlign w:val="bottom"/>
          </w:tcPr>
          <w:p>
            <w:pPr>
              <w:ind w:left="100"/>
              <w:spacing w:after="0" w:line="276" w:lineRule="exact"/>
              <w:rPr>
                <w:sz w:val="20"/>
                <w:szCs w:val="20"/>
                <w:color w:val="auto"/>
              </w:rPr>
            </w:pPr>
            <w:r>
              <w:rPr>
                <w:rFonts w:ascii="Arial" w:cs="Arial" w:eastAsia="Arial" w:hAnsi="Arial"/>
                <w:sz w:val="25"/>
                <w:szCs w:val="25"/>
                <w:b w:val="1"/>
                <w:bCs w:val="1"/>
                <w:color w:val="auto"/>
              </w:rPr>
              <w:t>7</w:t>
            </w:r>
          </w:p>
        </w:tc>
        <w:tc>
          <w:tcPr>
            <w:tcW w:w="20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6"/>
              </w:rPr>
              <w:t>1,208,123 shares, except that AH Equity Partners LSV II, L.L.C. (“AH Equity LSV II”), the general partner of AH LSV II,</w:t>
            </w: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tcBorders>
            <w:gridSpan w:val="3"/>
            <w:vMerge w:val="restart"/>
          </w:tcPr>
          <w:p>
            <w:pPr>
              <w:jc w:val="center"/>
              <w:ind w:left="84"/>
              <w:spacing w:after="0"/>
              <w:rPr>
                <w:sz w:val="20"/>
                <w:szCs w:val="20"/>
                <w:color w:val="auto"/>
              </w:rPr>
            </w:pPr>
            <w:r>
              <w:rPr>
                <w:rFonts w:ascii="Arial" w:cs="Arial" w:eastAsia="Arial" w:hAnsi="Arial"/>
                <w:sz w:val="18"/>
                <w:szCs w:val="18"/>
                <w:color w:val="auto"/>
                <w:w w:val="98"/>
              </w:rPr>
              <w:t>NUMBER OF</w:t>
            </w: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may be deemed to have sole power to vote these shares, and Andreessen and Horowitz, the managing members of AH</w:t>
            </w:r>
          </w:p>
        </w:tc>
        <w:tc>
          <w:tcPr>
            <w:tcW w:w="0" w:type="dxa"/>
            <w:vAlign w:val="bottom"/>
          </w:tcPr>
          <w:p>
            <w:pPr>
              <w:spacing w:after="0"/>
              <w:rPr>
                <w:sz w:val="1"/>
                <w:szCs w:val="1"/>
                <w:color w:val="auto"/>
              </w:rPr>
            </w:pPr>
          </w:p>
        </w:tc>
      </w:tr>
      <w:tr>
        <w:trPr>
          <w:trHeight w:val="95"/>
        </w:trPr>
        <w:tc>
          <w:tcPr>
            <w:tcW w:w="1300" w:type="dxa"/>
            <w:vAlign w:val="bottom"/>
            <w:tcBorders>
              <w:left w:val="single" w:sz="8" w:color="auto"/>
            </w:tcBorders>
            <w:gridSpan w:val="3"/>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Equity LSV II, may be deemed to have shared power to vote these shares.</w:t>
            </w:r>
          </w:p>
        </w:tc>
        <w:tc>
          <w:tcPr>
            <w:tcW w:w="0" w:type="dxa"/>
            <w:vAlign w:val="bottom"/>
          </w:tcPr>
          <w:p>
            <w:pPr>
              <w:spacing w:after="0"/>
              <w:rPr>
                <w:sz w:val="1"/>
                <w:szCs w:val="1"/>
                <w:color w:val="auto"/>
              </w:rPr>
            </w:pPr>
          </w:p>
        </w:tc>
      </w:tr>
      <w:tr>
        <w:trPr>
          <w:trHeight w:val="136"/>
        </w:trPr>
        <w:tc>
          <w:tcPr>
            <w:tcW w:w="380" w:type="dxa"/>
            <w:vAlign w:val="bottom"/>
            <w:tcBorders>
              <w:left w:val="single" w:sz="8" w:color="auto"/>
            </w:tcBorders>
          </w:tcPr>
          <w:p>
            <w:pPr>
              <w:spacing w:after="0"/>
              <w:rPr>
                <w:sz w:val="11"/>
                <w:szCs w:val="11"/>
                <w:color w:val="auto"/>
              </w:rPr>
            </w:pPr>
          </w:p>
        </w:tc>
        <w:tc>
          <w:tcPr>
            <w:tcW w:w="9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4"/>
              </w:rPr>
              <w:t>SHARES</w:t>
            </w:r>
          </w:p>
        </w:tc>
        <w:tc>
          <w:tcPr>
            <w:tcW w:w="200" w:type="dxa"/>
            <w:vAlign w:val="bottom"/>
            <w:tcBorders>
              <w:right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9180" w:type="dxa"/>
            <w:vAlign w:val="bottom"/>
            <w:tcBorders>
              <w:bottom w:val="single" w:sz="8" w:color="auto"/>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80" w:type="dxa"/>
            <w:vAlign w:val="bottom"/>
            <w:tcBorders>
              <w:left w:val="single" w:sz="8" w:color="auto"/>
            </w:tcBorders>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360" w:type="dxa"/>
            <w:vAlign w:val="bottom"/>
            <w:vMerge w:val="restart"/>
          </w:tcPr>
          <w:p>
            <w:pPr>
              <w:ind w:left="100"/>
              <w:spacing w:after="0" w:line="276" w:lineRule="exact"/>
              <w:rPr>
                <w:sz w:val="20"/>
                <w:szCs w:val="20"/>
                <w:color w:val="auto"/>
              </w:rPr>
            </w:pPr>
            <w:r>
              <w:rPr>
                <w:rFonts w:ascii="Arial" w:cs="Arial" w:eastAsia="Arial" w:hAnsi="Arial"/>
                <w:sz w:val="25"/>
                <w:szCs w:val="25"/>
                <w:b w:val="1"/>
                <w:bCs w:val="1"/>
                <w:color w:val="auto"/>
              </w:rPr>
              <w:t>8</w:t>
            </w:r>
          </w:p>
        </w:tc>
        <w:tc>
          <w:tcPr>
            <w:tcW w:w="200" w:type="dxa"/>
            <w:vAlign w:val="bottom"/>
            <w:tcBorders>
              <w:right w:val="single" w:sz="8" w:color="auto"/>
            </w:tcBorders>
          </w:tcPr>
          <w:p>
            <w:pPr>
              <w:spacing w:after="0"/>
              <w:rPr>
                <w:sz w:val="5"/>
                <w:szCs w:val="5"/>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vMerge w:val="continue"/>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Borders>
              <w:left w:val="single" w:sz="8" w:color="auto"/>
            </w:tcBorders>
            <w:gridSpan w:val="3"/>
          </w:tcPr>
          <w:p>
            <w:pPr>
              <w:jc w:val="center"/>
              <w:ind w:left="84"/>
              <w:spacing w:after="0"/>
              <w:rPr>
                <w:sz w:val="20"/>
                <w:szCs w:val="20"/>
                <w:color w:val="auto"/>
              </w:rPr>
            </w:pPr>
            <w:r>
              <w:rPr>
                <w:rFonts w:ascii="Arial" w:cs="Arial" w:eastAsia="Arial" w:hAnsi="Arial"/>
                <w:sz w:val="18"/>
                <w:szCs w:val="18"/>
                <w:color w:val="auto"/>
                <w:w w:val="99"/>
              </w:rPr>
              <w:t>OWNED BY</w:t>
            </w:r>
          </w:p>
        </w:tc>
        <w:tc>
          <w:tcPr>
            <w:tcW w:w="200" w:type="dxa"/>
            <w:vAlign w:val="bottom"/>
            <w:tcBorders>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920" w:type="dxa"/>
            <w:vAlign w:val="bottom"/>
            <w:gridSpan w:val="2"/>
          </w:tcPr>
          <w:p>
            <w:pPr>
              <w:jc w:val="center"/>
              <w:ind w:right="90"/>
              <w:spacing w:after="0" w:line="182" w:lineRule="exact"/>
              <w:rPr>
                <w:sz w:val="20"/>
                <w:szCs w:val="20"/>
                <w:color w:val="auto"/>
              </w:rPr>
            </w:pPr>
            <w:r>
              <w:rPr>
                <w:rFonts w:ascii="Arial" w:cs="Arial" w:eastAsia="Arial" w:hAnsi="Arial"/>
                <w:sz w:val="18"/>
                <w:szCs w:val="18"/>
                <w:color w:val="auto"/>
                <w:w w:val="99"/>
              </w:rPr>
              <w:t>EACH</w:t>
            </w:r>
          </w:p>
        </w:tc>
        <w:tc>
          <w:tcPr>
            <w:tcW w:w="200" w:type="dxa"/>
            <w:vAlign w:val="bottom"/>
            <w:tcBorders>
              <w:right w:val="single" w:sz="8" w:color="auto"/>
            </w:tcBorders>
          </w:tcPr>
          <w:p>
            <w:pPr>
              <w:spacing w:after="0"/>
              <w:rPr>
                <w:sz w:val="15"/>
                <w:szCs w:val="15"/>
                <w:color w:val="auto"/>
              </w:rPr>
            </w:pPr>
          </w:p>
        </w:tc>
        <w:tc>
          <w:tcPr>
            <w:tcW w:w="360" w:type="dxa"/>
            <w:vAlign w:val="bottom"/>
            <w:vMerge w:val="restart"/>
          </w:tcPr>
          <w:p>
            <w:pPr>
              <w:ind w:left="100"/>
              <w:spacing w:after="0" w:line="276" w:lineRule="exact"/>
              <w:rPr>
                <w:sz w:val="20"/>
                <w:szCs w:val="20"/>
                <w:color w:val="auto"/>
              </w:rPr>
            </w:pPr>
            <w:r>
              <w:rPr>
                <w:rFonts w:ascii="Arial" w:cs="Arial" w:eastAsia="Arial" w:hAnsi="Arial"/>
                <w:sz w:val="25"/>
                <w:szCs w:val="25"/>
                <w:b w:val="1"/>
                <w:bCs w:val="1"/>
                <w:color w:val="auto"/>
              </w:rPr>
              <w:t>9</w:t>
            </w:r>
          </w:p>
        </w:tc>
        <w:tc>
          <w:tcPr>
            <w:tcW w:w="200" w:type="dxa"/>
            <w:vAlign w:val="bottom"/>
            <w:tcBorders>
              <w:right w:val="single" w:sz="8" w:color="auto"/>
            </w:tcBorders>
          </w:tcPr>
          <w:p>
            <w:pPr>
              <w:spacing w:after="0"/>
              <w:rPr>
                <w:sz w:val="15"/>
                <w:szCs w:val="15"/>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1300" w:type="dxa"/>
            <w:vAlign w:val="bottom"/>
            <w:tcBorders>
              <w:left w:val="single" w:sz="8" w:color="auto"/>
            </w:tcBorders>
            <w:gridSpan w:val="3"/>
            <w:vMerge w:val="restart"/>
          </w:tcPr>
          <w:p>
            <w:pPr>
              <w:jc w:val="center"/>
              <w:ind w:left="84"/>
              <w:spacing w:after="0"/>
              <w:rPr>
                <w:sz w:val="20"/>
                <w:szCs w:val="20"/>
                <w:color w:val="auto"/>
              </w:rPr>
            </w:pPr>
            <w:r>
              <w:rPr>
                <w:rFonts w:ascii="Arial" w:cs="Arial" w:eastAsia="Arial" w:hAnsi="Arial"/>
                <w:sz w:val="18"/>
                <w:szCs w:val="18"/>
                <w:color w:val="auto"/>
                <w:w w:val="91"/>
              </w:rPr>
              <w:t>REPORTING</w:t>
            </w:r>
          </w:p>
        </w:tc>
        <w:tc>
          <w:tcPr>
            <w:tcW w:w="200" w:type="dxa"/>
            <w:vAlign w:val="bottom"/>
            <w:tcBorders>
              <w:right w:val="single" w:sz="8" w:color="auto"/>
            </w:tcBorders>
          </w:tcPr>
          <w:p>
            <w:pPr>
              <w:spacing w:after="0"/>
              <w:rPr>
                <w:sz w:val="8"/>
                <w:szCs w:val="8"/>
                <w:color w:val="auto"/>
              </w:rPr>
            </w:pPr>
          </w:p>
        </w:tc>
        <w:tc>
          <w:tcPr>
            <w:tcW w:w="360" w:type="dxa"/>
            <w:vAlign w:val="bottom"/>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00" w:type="dxa"/>
            <w:vAlign w:val="bottom"/>
            <w:tcBorders>
              <w:left w:val="single" w:sz="8" w:color="auto"/>
            </w:tcBorders>
            <w:gridSpan w:val="3"/>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4"/>
              </w:rPr>
              <w:t>1,208,123 shares, except that AH Equity LSV II, the general partner of AH LSV II, may be deemed to have sole power to</w:t>
            </w:r>
          </w:p>
        </w:tc>
        <w:tc>
          <w:tcPr>
            <w:tcW w:w="0" w:type="dxa"/>
            <w:vAlign w:val="bottom"/>
          </w:tcPr>
          <w:p>
            <w:pPr>
              <w:spacing w:after="0"/>
              <w:rPr>
                <w:sz w:val="1"/>
                <w:szCs w:val="1"/>
                <w:color w:val="auto"/>
              </w:rPr>
            </w:pPr>
          </w:p>
        </w:tc>
      </w:tr>
      <w:tr>
        <w:trPr>
          <w:trHeight w:val="95"/>
        </w:trPr>
        <w:tc>
          <w:tcPr>
            <w:tcW w:w="380" w:type="dxa"/>
            <w:vAlign w:val="bottom"/>
            <w:tcBorders>
              <w:left w:val="single" w:sz="8" w:color="auto"/>
            </w:tcBorders>
          </w:tcPr>
          <w:p>
            <w:pPr>
              <w:spacing w:after="0"/>
              <w:rPr>
                <w:sz w:val="8"/>
                <w:szCs w:val="8"/>
                <w:color w:val="auto"/>
              </w:rPr>
            </w:pPr>
          </w:p>
        </w:tc>
        <w:tc>
          <w:tcPr>
            <w:tcW w:w="9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2"/>
              </w:rPr>
              <w:t>PERSON</w:t>
            </w:r>
          </w:p>
        </w:tc>
        <w:tc>
          <w:tcPr>
            <w:tcW w:w="2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80" w:type="dxa"/>
            <w:vAlign w:val="bottom"/>
            <w:tcBorders>
              <w:left w:val="single" w:sz="8" w:color="auto"/>
            </w:tcBorders>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4"/>
              </w:rPr>
              <w:t>dispose of these shares, and Andreessen and Horowitz, the managing members of AH Equity LSV II, may be deemed to</w:t>
            </w:r>
          </w:p>
        </w:tc>
        <w:tc>
          <w:tcPr>
            <w:tcW w:w="0" w:type="dxa"/>
            <w:vAlign w:val="bottom"/>
          </w:tcPr>
          <w:p>
            <w:pPr>
              <w:spacing w:after="0"/>
              <w:rPr>
                <w:sz w:val="1"/>
                <w:szCs w:val="1"/>
                <w:color w:val="auto"/>
              </w:rPr>
            </w:pPr>
          </w:p>
        </w:tc>
      </w:tr>
      <w:tr>
        <w:trPr>
          <w:trHeight w:val="95"/>
        </w:trPr>
        <w:tc>
          <w:tcPr>
            <w:tcW w:w="380" w:type="dxa"/>
            <w:vAlign w:val="bottom"/>
            <w:tcBorders>
              <w:left w:val="single" w:sz="8" w:color="auto"/>
            </w:tcBorders>
          </w:tcPr>
          <w:p>
            <w:pPr>
              <w:spacing w:after="0"/>
              <w:rPr>
                <w:sz w:val="8"/>
                <w:szCs w:val="8"/>
                <w:color w:val="auto"/>
              </w:rPr>
            </w:pPr>
          </w:p>
        </w:tc>
        <w:tc>
          <w:tcPr>
            <w:tcW w:w="9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9"/>
              </w:rPr>
              <w:t>WITH</w:t>
            </w:r>
          </w:p>
        </w:tc>
        <w:tc>
          <w:tcPr>
            <w:tcW w:w="2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80" w:type="dxa"/>
            <w:vAlign w:val="bottom"/>
            <w:tcBorders>
              <w:left w:val="single" w:sz="8" w:color="auto"/>
            </w:tcBorders>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have shared power to dispose of these shares.</w:t>
            </w:r>
          </w:p>
        </w:tc>
        <w:tc>
          <w:tcPr>
            <w:tcW w:w="0" w:type="dxa"/>
            <w:vAlign w:val="bottom"/>
          </w:tcPr>
          <w:p>
            <w:pPr>
              <w:spacing w:after="0"/>
              <w:rPr>
                <w:sz w:val="1"/>
                <w:szCs w:val="1"/>
                <w:color w:val="auto"/>
              </w:rPr>
            </w:pPr>
          </w:p>
        </w:tc>
      </w:tr>
      <w:tr>
        <w:trPr>
          <w:trHeight w:val="95"/>
        </w:trPr>
        <w:tc>
          <w:tcPr>
            <w:tcW w:w="380" w:type="dxa"/>
            <w:vAlign w:val="bottom"/>
            <w:tcBorders>
              <w:lef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9180" w:type="dxa"/>
            <w:vAlign w:val="bottom"/>
            <w:tcBorders>
              <w:bottom w:val="single" w:sz="8" w:color="auto"/>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60" w:type="dxa"/>
            <w:vAlign w:val="bottom"/>
          </w:tcPr>
          <w:p>
            <w:pPr>
              <w:ind w:left="100"/>
              <w:spacing w:after="0" w:line="276" w:lineRule="exact"/>
              <w:rPr>
                <w:sz w:val="20"/>
                <w:szCs w:val="20"/>
                <w:color w:val="auto"/>
              </w:rPr>
            </w:pPr>
            <w:r>
              <w:rPr>
                <w:rFonts w:ascii="Arial" w:cs="Arial" w:eastAsia="Arial" w:hAnsi="Arial"/>
                <w:sz w:val="25"/>
                <w:szCs w:val="25"/>
                <w:b w:val="1"/>
                <w:bCs w:val="1"/>
                <w:color w:val="auto"/>
                <w:w w:val="86"/>
              </w:rPr>
              <w:t>10</w:t>
            </w:r>
          </w:p>
        </w:tc>
        <w:tc>
          <w:tcPr>
            <w:tcW w:w="20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See response to row 9.</w:t>
            </w: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w w:val="86"/>
              </w:rPr>
              <w:t>11</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2"/>
              </w:rPr>
              <w:t>1,208,123</w:t>
            </w: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ind w:left="120"/>
              <w:spacing w:after="0" w:line="250" w:lineRule="exact"/>
              <w:rPr>
                <w:sz w:val="20"/>
                <w:szCs w:val="20"/>
                <w:color w:val="auto"/>
              </w:rPr>
            </w:pPr>
            <w:r>
              <w:rPr>
                <w:rFonts w:ascii="Arial" w:cs="Arial" w:eastAsia="Arial" w:hAnsi="Arial"/>
                <w:sz w:val="25"/>
                <w:szCs w:val="25"/>
                <w:b w:val="1"/>
                <w:bCs w:val="1"/>
                <w:color w:val="auto"/>
                <w:w w:val="86"/>
              </w:rPr>
              <w:t>12</w:t>
            </w:r>
          </w:p>
        </w:tc>
        <w:tc>
          <w:tcPr>
            <w:tcW w:w="260" w:type="dxa"/>
            <w:vAlign w:val="bottom"/>
            <w:tcBorders>
              <w:right w:val="single" w:sz="8" w:color="auto"/>
            </w:tcBorders>
          </w:tcPr>
          <w:p>
            <w:pPr>
              <w:spacing w:after="0"/>
              <w:rPr>
                <w:sz w:val="21"/>
                <w:szCs w:val="21"/>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56"/>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80" w:type="dxa"/>
            <w:vAlign w:val="bottom"/>
            <w:tcBorders>
              <w:left w:val="single" w:sz="8" w:color="auto"/>
            </w:tcBorders>
          </w:tcPr>
          <w:p>
            <w:pPr>
              <w:ind w:left="120"/>
              <w:spacing w:after="0" w:line="280" w:lineRule="exact"/>
              <w:rPr>
                <w:sz w:val="20"/>
                <w:szCs w:val="20"/>
                <w:color w:val="auto"/>
              </w:rPr>
            </w:pPr>
            <w:r>
              <w:rPr>
                <w:rFonts w:ascii="Arial" w:cs="Arial" w:eastAsia="Arial" w:hAnsi="Arial"/>
                <w:sz w:val="25"/>
                <w:szCs w:val="25"/>
                <w:b w:val="1"/>
                <w:bCs w:val="1"/>
                <w:color w:val="auto"/>
                <w:w w:val="86"/>
              </w:rPr>
              <w:t>13</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67"/>
        </w:trPr>
        <w:tc>
          <w:tcPr>
            <w:tcW w:w="380" w:type="dxa"/>
            <w:vAlign w:val="bottom"/>
            <w:tcBorders>
              <w:left w:val="single" w:sz="8" w:color="auto"/>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tcBorders>
          </w:tcPr>
          <w:p>
            <w:pPr>
              <w:ind w:left="80"/>
              <w:spacing w:after="0" w:line="267" w:lineRule="exact"/>
              <w:rPr>
                <w:sz w:val="20"/>
                <w:szCs w:val="20"/>
                <w:color w:val="auto"/>
              </w:rPr>
            </w:pPr>
            <w:r>
              <w:rPr>
                <w:rFonts w:ascii="Arial" w:cs="Arial" w:eastAsia="Arial" w:hAnsi="Arial"/>
                <w:sz w:val="18"/>
                <w:szCs w:val="18"/>
                <w:color w:val="auto"/>
              </w:rPr>
              <w:t>1.0%</w:t>
            </w:r>
            <w:r>
              <w:rPr>
                <w:rFonts w:ascii="Arial" w:cs="Arial" w:eastAsia="Arial" w:hAnsi="Arial"/>
                <w:sz w:val="29"/>
                <w:szCs w:val="29"/>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78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w w:val="86"/>
              </w:rPr>
              <w:t>14</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firstLine="8"/>
        <w:spacing w:after="0" w:line="207" w:lineRule="auto"/>
        <w:tabs>
          <w:tab w:leader="none" w:pos="112"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Based on 124,045,255 shares of the Issuer’s Common Stock outstanding as of June 9, 2021, as disclosed in the Issuer’s Current Report on Form 8-K filed on June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Page 5</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462"/>
        </w:trPr>
        <w:tc>
          <w:tcPr>
            <w:tcW w:w="1300" w:type="dxa"/>
            <w:vAlign w:val="bottom"/>
            <w:tcBorders>
              <w:top w:val="single" w:sz="8" w:color="auto"/>
              <w:left w:val="single" w:sz="8" w:color="auto"/>
            </w:tcBorders>
            <w:gridSpan w:val="3"/>
          </w:tcPr>
          <w:p>
            <w:pPr>
              <w:ind w:left="80"/>
              <w:spacing w:after="0"/>
              <w:rPr>
                <w:sz w:val="20"/>
                <w:szCs w:val="20"/>
                <w:color w:val="auto"/>
              </w:rPr>
            </w:pPr>
            <w:r>
              <w:rPr>
                <w:rFonts w:ascii="Arial" w:cs="Arial" w:eastAsia="Arial" w:hAnsi="Arial"/>
                <w:sz w:val="23"/>
                <w:szCs w:val="23"/>
                <w:b w:val="1"/>
                <w:bCs w:val="1"/>
                <w:color w:val="auto"/>
              </w:rPr>
              <w:t>CUSIP No.</w:t>
            </w: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5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63909J108</w:t>
            </w:r>
          </w:p>
        </w:tc>
        <w:tc>
          <w:tcPr>
            <w:tcW w:w="7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380" w:type="dxa"/>
            <w:vAlign w:val="bottom"/>
            <w:tcBorders>
              <w:left w:val="single" w:sz="8" w:color="auto"/>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7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0" w:type="dxa"/>
            <w:vAlign w:val="bottom"/>
            <w:tcBorders>
              <w:bottom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tcBorders>
          </w:tcPr>
          <w:p>
            <w:pPr>
              <w:ind w:left="120"/>
              <w:spacing w:after="0" w:line="238" w:lineRule="exact"/>
              <w:rPr>
                <w:sz w:val="20"/>
                <w:szCs w:val="20"/>
                <w:color w:val="auto"/>
              </w:rPr>
            </w:pPr>
            <w:r>
              <w:rPr>
                <w:rFonts w:ascii="Arial" w:cs="Arial" w:eastAsia="Arial" w:hAnsi="Arial"/>
                <w:sz w:val="25"/>
                <w:szCs w:val="25"/>
                <w:b w:val="1"/>
                <w:bCs w:val="1"/>
                <w:color w:val="auto"/>
              </w:rPr>
              <w:t>1</w:t>
            </w: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54"/>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0600" w:type="dxa"/>
            <w:vAlign w:val="bottom"/>
            <w:tcBorders>
              <w:bottom w:val="single" w:sz="8" w:color="auto"/>
              <w:right w:val="single" w:sz="8" w:color="auto"/>
            </w:tcBorders>
            <w:gridSpan w:val="6"/>
          </w:tcPr>
          <w:p>
            <w:pPr>
              <w:ind w:left="80"/>
              <w:spacing w:after="0"/>
              <w:rPr>
                <w:sz w:val="20"/>
                <w:szCs w:val="20"/>
                <w:color w:val="auto"/>
              </w:rPr>
            </w:pPr>
            <w:r>
              <w:rPr>
                <w:rFonts w:ascii="Arial" w:cs="Arial" w:eastAsia="Arial" w:hAnsi="Arial"/>
                <w:sz w:val="18"/>
                <w:szCs w:val="18"/>
                <w:color w:val="auto"/>
              </w:rPr>
              <w:t>Andreessen Horowitz LSV Fund II-B, L.P. (“AH LSV II-B”)</w:t>
            </w: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ind w:left="120"/>
              <w:spacing w:after="0" w:line="232" w:lineRule="exact"/>
              <w:rPr>
                <w:sz w:val="20"/>
                <w:szCs w:val="20"/>
                <w:color w:val="auto"/>
              </w:rPr>
            </w:pPr>
            <w:r>
              <w:rPr>
                <w:rFonts w:ascii="Arial" w:cs="Arial" w:eastAsia="Arial" w:hAnsi="Arial"/>
                <w:sz w:val="25"/>
                <w:szCs w:val="25"/>
                <w:b w:val="1"/>
                <w:bCs w:val="1"/>
                <w:color w:val="auto"/>
              </w:rPr>
              <w:t>2</w:t>
            </w: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174"/>
        </w:trPr>
        <w:tc>
          <w:tcPr>
            <w:tcW w:w="380" w:type="dxa"/>
            <w:vAlign w:val="bottom"/>
            <w:tcBorders>
              <w:left w:val="single" w:sz="8" w:color="auto"/>
            </w:tcBorders>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660" w:type="dxa"/>
            <w:vAlign w:val="bottom"/>
          </w:tcPr>
          <w:p>
            <w:pPr>
              <w:ind w:left="400"/>
              <w:spacing w:after="0" w:line="174" w:lineRule="exact"/>
              <w:rPr>
                <w:sz w:val="20"/>
                <w:szCs w:val="20"/>
                <w:color w:val="auto"/>
              </w:rPr>
            </w:pPr>
            <w:r>
              <w:rPr>
                <w:rFonts w:ascii="Arial" w:cs="Arial" w:eastAsia="Arial" w:hAnsi="Arial"/>
                <w:sz w:val="18"/>
                <w:szCs w:val="18"/>
                <w:color w:val="auto"/>
              </w:rPr>
              <w:t>(a)</w:t>
            </w:r>
          </w:p>
        </w:tc>
        <w:tc>
          <w:tcPr>
            <w:tcW w:w="560" w:type="dxa"/>
            <w:vAlign w:val="bottom"/>
            <w:gridSpan w:val="2"/>
          </w:tcPr>
          <w:p>
            <w:pPr>
              <w:ind w:left="20"/>
              <w:spacing w:after="0" w:line="175"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(b)</w:t>
            </w:r>
          </w:p>
        </w:tc>
        <w:tc>
          <w:tcPr>
            <w:tcW w:w="56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6"/>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25"/>
                <w:szCs w:val="25"/>
                <w:b w:val="1"/>
                <w:bCs w:val="1"/>
                <w:color w:val="auto"/>
              </w:rPr>
              <w:t>3</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bottom w:val="single" w:sz="8" w:color="auto"/>
            </w:tcBorders>
          </w:tcPr>
          <w:p>
            <w:pPr>
              <w:spacing w:after="0"/>
              <w:rPr>
                <w:sz w:val="15"/>
                <w:szCs w:val="15"/>
                <w:color w:val="auto"/>
              </w:rPr>
            </w:pPr>
          </w:p>
        </w:tc>
        <w:tc>
          <w:tcPr>
            <w:tcW w:w="260" w:type="dxa"/>
            <w:vAlign w:val="bottom"/>
            <w:tcBorders>
              <w:bottom w:val="single" w:sz="8" w:color="auto"/>
              <w:right w:val="single" w:sz="8" w:color="auto"/>
            </w:tcBorders>
          </w:tcPr>
          <w:p>
            <w:pPr>
              <w:spacing w:after="0"/>
              <w:rPr>
                <w:sz w:val="15"/>
                <w:szCs w:val="15"/>
                <w:color w:val="auto"/>
              </w:rPr>
            </w:pPr>
          </w:p>
        </w:tc>
        <w:tc>
          <w:tcPr>
            <w:tcW w:w="10600" w:type="dxa"/>
            <w:vAlign w:val="bottom"/>
            <w:tcBorders>
              <w:bottom w:val="single" w:sz="8" w:color="auto"/>
              <w:right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rPr>
              <w:t>4</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ind w:left="120"/>
              <w:spacing w:after="0" w:line="250" w:lineRule="exact"/>
              <w:rPr>
                <w:sz w:val="20"/>
                <w:szCs w:val="20"/>
                <w:color w:val="auto"/>
              </w:rPr>
            </w:pPr>
            <w:r>
              <w:rPr>
                <w:rFonts w:ascii="Arial" w:cs="Arial" w:eastAsia="Arial" w:hAnsi="Arial"/>
                <w:sz w:val="25"/>
                <w:szCs w:val="25"/>
                <w:b w:val="1"/>
                <w:bCs w:val="1"/>
                <w:color w:val="auto"/>
              </w:rPr>
              <w:t>5</w:t>
            </w:r>
          </w:p>
        </w:tc>
        <w:tc>
          <w:tcPr>
            <w:tcW w:w="260" w:type="dxa"/>
            <w:vAlign w:val="bottom"/>
            <w:tcBorders>
              <w:right w:val="single" w:sz="8" w:color="auto"/>
            </w:tcBorders>
          </w:tcPr>
          <w:p>
            <w:pPr>
              <w:spacing w:after="0"/>
              <w:rPr>
                <w:sz w:val="21"/>
                <w:szCs w:val="21"/>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56"/>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rPr>
              <w:t>6</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60" w:type="dxa"/>
            <w:vAlign w:val="bottom"/>
          </w:tcPr>
          <w:p>
            <w:pPr>
              <w:ind w:left="100"/>
              <w:spacing w:after="0" w:line="276" w:lineRule="exact"/>
              <w:rPr>
                <w:sz w:val="20"/>
                <w:szCs w:val="20"/>
                <w:color w:val="auto"/>
              </w:rPr>
            </w:pPr>
            <w:r>
              <w:rPr>
                <w:rFonts w:ascii="Arial" w:cs="Arial" w:eastAsia="Arial" w:hAnsi="Arial"/>
                <w:sz w:val="25"/>
                <w:szCs w:val="25"/>
                <w:b w:val="1"/>
                <w:bCs w:val="1"/>
                <w:color w:val="auto"/>
              </w:rPr>
              <w:t>7</w:t>
            </w:r>
          </w:p>
        </w:tc>
        <w:tc>
          <w:tcPr>
            <w:tcW w:w="20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26,975 shares, except that AH Equity LSV II, the general partner of AH LSV II-B, may be deemed to have sole power to</w:t>
            </w: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tcBorders>
            <w:gridSpan w:val="3"/>
            <w:vMerge w:val="restart"/>
          </w:tcPr>
          <w:p>
            <w:pPr>
              <w:jc w:val="center"/>
              <w:ind w:left="84"/>
              <w:spacing w:after="0"/>
              <w:rPr>
                <w:sz w:val="20"/>
                <w:szCs w:val="20"/>
                <w:color w:val="auto"/>
              </w:rPr>
            </w:pPr>
            <w:r>
              <w:rPr>
                <w:rFonts w:ascii="Arial" w:cs="Arial" w:eastAsia="Arial" w:hAnsi="Arial"/>
                <w:sz w:val="18"/>
                <w:szCs w:val="18"/>
                <w:color w:val="auto"/>
                <w:w w:val="98"/>
              </w:rPr>
              <w:t>NUMBER OF</w:t>
            </w: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4"/>
              </w:rPr>
              <w:t>vote these shares, and Andreessen and Horowitz, the managing members of AH Equity LSV II, may be deemed to have</w:t>
            </w:r>
          </w:p>
        </w:tc>
        <w:tc>
          <w:tcPr>
            <w:tcW w:w="0" w:type="dxa"/>
            <w:vAlign w:val="bottom"/>
          </w:tcPr>
          <w:p>
            <w:pPr>
              <w:spacing w:after="0"/>
              <w:rPr>
                <w:sz w:val="1"/>
                <w:szCs w:val="1"/>
                <w:color w:val="auto"/>
              </w:rPr>
            </w:pPr>
          </w:p>
        </w:tc>
      </w:tr>
      <w:tr>
        <w:trPr>
          <w:trHeight w:val="95"/>
        </w:trPr>
        <w:tc>
          <w:tcPr>
            <w:tcW w:w="1300" w:type="dxa"/>
            <w:vAlign w:val="bottom"/>
            <w:tcBorders>
              <w:left w:val="single" w:sz="8" w:color="auto"/>
            </w:tcBorders>
            <w:gridSpan w:val="3"/>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shared power to vote these shares.</w:t>
            </w:r>
          </w:p>
        </w:tc>
        <w:tc>
          <w:tcPr>
            <w:tcW w:w="0" w:type="dxa"/>
            <w:vAlign w:val="bottom"/>
          </w:tcPr>
          <w:p>
            <w:pPr>
              <w:spacing w:after="0"/>
              <w:rPr>
                <w:sz w:val="1"/>
                <w:szCs w:val="1"/>
                <w:color w:val="auto"/>
              </w:rPr>
            </w:pPr>
          </w:p>
        </w:tc>
      </w:tr>
      <w:tr>
        <w:trPr>
          <w:trHeight w:val="136"/>
        </w:trPr>
        <w:tc>
          <w:tcPr>
            <w:tcW w:w="380" w:type="dxa"/>
            <w:vAlign w:val="bottom"/>
            <w:tcBorders>
              <w:left w:val="single" w:sz="8" w:color="auto"/>
            </w:tcBorders>
          </w:tcPr>
          <w:p>
            <w:pPr>
              <w:spacing w:after="0"/>
              <w:rPr>
                <w:sz w:val="11"/>
                <w:szCs w:val="11"/>
                <w:color w:val="auto"/>
              </w:rPr>
            </w:pPr>
          </w:p>
        </w:tc>
        <w:tc>
          <w:tcPr>
            <w:tcW w:w="9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4"/>
              </w:rPr>
              <w:t>SHARES</w:t>
            </w:r>
          </w:p>
        </w:tc>
        <w:tc>
          <w:tcPr>
            <w:tcW w:w="200" w:type="dxa"/>
            <w:vAlign w:val="bottom"/>
            <w:tcBorders>
              <w:right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9180" w:type="dxa"/>
            <w:vAlign w:val="bottom"/>
            <w:tcBorders>
              <w:bottom w:val="single" w:sz="8" w:color="auto"/>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80" w:type="dxa"/>
            <w:vAlign w:val="bottom"/>
            <w:tcBorders>
              <w:left w:val="single" w:sz="8" w:color="auto"/>
            </w:tcBorders>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360" w:type="dxa"/>
            <w:vAlign w:val="bottom"/>
            <w:vMerge w:val="restart"/>
          </w:tcPr>
          <w:p>
            <w:pPr>
              <w:ind w:left="100"/>
              <w:spacing w:after="0" w:line="276" w:lineRule="exact"/>
              <w:rPr>
                <w:sz w:val="20"/>
                <w:szCs w:val="20"/>
                <w:color w:val="auto"/>
              </w:rPr>
            </w:pPr>
            <w:r>
              <w:rPr>
                <w:rFonts w:ascii="Arial" w:cs="Arial" w:eastAsia="Arial" w:hAnsi="Arial"/>
                <w:sz w:val="25"/>
                <w:szCs w:val="25"/>
                <w:b w:val="1"/>
                <w:bCs w:val="1"/>
                <w:color w:val="auto"/>
              </w:rPr>
              <w:t>8</w:t>
            </w:r>
          </w:p>
        </w:tc>
        <w:tc>
          <w:tcPr>
            <w:tcW w:w="200" w:type="dxa"/>
            <w:vAlign w:val="bottom"/>
            <w:tcBorders>
              <w:right w:val="single" w:sz="8" w:color="auto"/>
            </w:tcBorders>
          </w:tcPr>
          <w:p>
            <w:pPr>
              <w:spacing w:after="0"/>
              <w:rPr>
                <w:sz w:val="5"/>
                <w:szCs w:val="5"/>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vMerge w:val="continue"/>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Borders>
              <w:left w:val="single" w:sz="8" w:color="auto"/>
            </w:tcBorders>
            <w:gridSpan w:val="3"/>
          </w:tcPr>
          <w:p>
            <w:pPr>
              <w:jc w:val="center"/>
              <w:ind w:left="84"/>
              <w:spacing w:after="0"/>
              <w:rPr>
                <w:sz w:val="20"/>
                <w:szCs w:val="20"/>
                <w:color w:val="auto"/>
              </w:rPr>
            </w:pPr>
            <w:r>
              <w:rPr>
                <w:rFonts w:ascii="Arial" w:cs="Arial" w:eastAsia="Arial" w:hAnsi="Arial"/>
                <w:sz w:val="18"/>
                <w:szCs w:val="18"/>
                <w:color w:val="auto"/>
                <w:w w:val="99"/>
              </w:rPr>
              <w:t>OWNED BY</w:t>
            </w:r>
          </w:p>
        </w:tc>
        <w:tc>
          <w:tcPr>
            <w:tcW w:w="200" w:type="dxa"/>
            <w:vAlign w:val="bottom"/>
            <w:tcBorders>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920" w:type="dxa"/>
            <w:vAlign w:val="bottom"/>
            <w:gridSpan w:val="2"/>
          </w:tcPr>
          <w:p>
            <w:pPr>
              <w:jc w:val="center"/>
              <w:ind w:right="90"/>
              <w:spacing w:after="0" w:line="182" w:lineRule="exact"/>
              <w:rPr>
                <w:sz w:val="20"/>
                <w:szCs w:val="20"/>
                <w:color w:val="auto"/>
              </w:rPr>
            </w:pPr>
            <w:r>
              <w:rPr>
                <w:rFonts w:ascii="Arial" w:cs="Arial" w:eastAsia="Arial" w:hAnsi="Arial"/>
                <w:sz w:val="18"/>
                <w:szCs w:val="18"/>
                <w:color w:val="auto"/>
                <w:w w:val="99"/>
              </w:rPr>
              <w:t>EACH</w:t>
            </w:r>
          </w:p>
        </w:tc>
        <w:tc>
          <w:tcPr>
            <w:tcW w:w="200" w:type="dxa"/>
            <w:vAlign w:val="bottom"/>
            <w:tcBorders>
              <w:right w:val="single" w:sz="8" w:color="auto"/>
            </w:tcBorders>
          </w:tcPr>
          <w:p>
            <w:pPr>
              <w:spacing w:after="0"/>
              <w:rPr>
                <w:sz w:val="15"/>
                <w:szCs w:val="15"/>
                <w:color w:val="auto"/>
              </w:rPr>
            </w:pPr>
          </w:p>
        </w:tc>
        <w:tc>
          <w:tcPr>
            <w:tcW w:w="360" w:type="dxa"/>
            <w:vAlign w:val="bottom"/>
            <w:vMerge w:val="restart"/>
          </w:tcPr>
          <w:p>
            <w:pPr>
              <w:ind w:left="100"/>
              <w:spacing w:after="0" w:line="276" w:lineRule="exact"/>
              <w:rPr>
                <w:sz w:val="20"/>
                <w:szCs w:val="20"/>
                <w:color w:val="auto"/>
              </w:rPr>
            </w:pPr>
            <w:r>
              <w:rPr>
                <w:rFonts w:ascii="Arial" w:cs="Arial" w:eastAsia="Arial" w:hAnsi="Arial"/>
                <w:sz w:val="25"/>
                <w:szCs w:val="25"/>
                <w:b w:val="1"/>
                <w:bCs w:val="1"/>
                <w:color w:val="auto"/>
              </w:rPr>
              <w:t>9</w:t>
            </w:r>
          </w:p>
        </w:tc>
        <w:tc>
          <w:tcPr>
            <w:tcW w:w="200" w:type="dxa"/>
            <w:vAlign w:val="bottom"/>
            <w:tcBorders>
              <w:right w:val="single" w:sz="8" w:color="auto"/>
            </w:tcBorders>
          </w:tcPr>
          <w:p>
            <w:pPr>
              <w:spacing w:after="0"/>
              <w:rPr>
                <w:sz w:val="15"/>
                <w:szCs w:val="15"/>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1300" w:type="dxa"/>
            <w:vAlign w:val="bottom"/>
            <w:tcBorders>
              <w:left w:val="single" w:sz="8" w:color="auto"/>
            </w:tcBorders>
            <w:gridSpan w:val="3"/>
            <w:vMerge w:val="restart"/>
          </w:tcPr>
          <w:p>
            <w:pPr>
              <w:jc w:val="center"/>
              <w:ind w:left="84"/>
              <w:spacing w:after="0"/>
              <w:rPr>
                <w:sz w:val="20"/>
                <w:szCs w:val="20"/>
                <w:color w:val="auto"/>
              </w:rPr>
            </w:pPr>
            <w:r>
              <w:rPr>
                <w:rFonts w:ascii="Arial" w:cs="Arial" w:eastAsia="Arial" w:hAnsi="Arial"/>
                <w:sz w:val="18"/>
                <w:szCs w:val="18"/>
                <w:color w:val="auto"/>
                <w:w w:val="91"/>
              </w:rPr>
              <w:t>REPORTING</w:t>
            </w:r>
          </w:p>
        </w:tc>
        <w:tc>
          <w:tcPr>
            <w:tcW w:w="200" w:type="dxa"/>
            <w:vAlign w:val="bottom"/>
            <w:tcBorders>
              <w:right w:val="single" w:sz="8" w:color="auto"/>
            </w:tcBorders>
          </w:tcPr>
          <w:p>
            <w:pPr>
              <w:spacing w:after="0"/>
              <w:rPr>
                <w:sz w:val="8"/>
                <w:szCs w:val="8"/>
                <w:color w:val="auto"/>
              </w:rPr>
            </w:pPr>
          </w:p>
        </w:tc>
        <w:tc>
          <w:tcPr>
            <w:tcW w:w="360" w:type="dxa"/>
            <w:vAlign w:val="bottom"/>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00" w:type="dxa"/>
            <w:vAlign w:val="bottom"/>
            <w:tcBorders>
              <w:left w:val="single" w:sz="8" w:color="auto"/>
            </w:tcBorders>
            <w:gridSpan w:val="3"/>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26,975 shares, except that AH Equity LSV II, the general partner of AH LSV II-B, may be deemed to have sole power to</w:t>
            </w:r>
          </w:p>
        </w:tc>
        <w:tc>
          <w:tcPr>
            <w:tcW w:w="0" w:type="dxa"/>
            <w:vAlign w:val="bottom"/>
          </w:tcPr>
          <w:p>
            <w:pPr>
              <w:spacing w:after="0"/>
              <w:rPr>
                <w:sz w:val="1"/>
                <w:szCs w:val="1"/>
                <w:color w:val="auto"/>
              </w:rPr>
            </w:pPr>
          </w:p>
        </w:tc>
      </w:tr>
      <w:tr>
        <w:trPr>
          <w:trHeight w:val="95"/>
        </w:trPr>
        <w:tc>
          <w:tcPr>
            <w:tcW w:w="380" w:type="dxa"/>
            <w:vAlign w:val="bottom"/>
            <w:tcBorders>
              <w:left w:val="single" w:sz="8" w:color="auto"/>
            </w:tcBorders>
          </w:tcPr>
          <w:p>
            <w:pPr>
              <w:spacing w:after="0"/>
              <w:rPr>
                <w:sz w:val="8"/>
                <w:szCs w:val="8"/>
                <w:color w:val="auto"/>
              </w:rPr>
            </w:pPr>
          </w:p>
        </w:tc>
        <w:tc>
          <w:tcPr>
            <w:tcW w:w="9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2"/>
              </w:rPr>
              <w:t>PERSON</w:t>
            </w:r>
          </w:p>
        </w:tc>
        <w:tc>
          <w:tcPr>
            <w:tcW w:w="2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80" w:type="dxa"/>
            <w:vAlign w:val="bottom"/>
            <w:tcBorders>
              <w:left w:val="single" w:sz="8" w:color="auto"/>
            </w:tcBorders>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4"/>
              </w:rPr>
              <w:t>dispose of these shares, and Andreessen and Horowitz, the managing members of AH Equity LSV II, may be deemed to</w:t>
            </w:r>
          </w:p>
        </w:tc>
        <w:tc>
          <w:tcPr>
            <w:tcW w:w="0" w:type="dxa"/>
            <w:vAlign w:val="bottom"/>
          </w:tcPr>
          <w:p>
            <w:pPr>
              <w:spacing w:after="0"/>
              <w:rPr>
                <w:sz w:val="1"/>
                <w:szCs w:val="1"/>
                <w:color w:val="auto"/>
              </w:rPr>
            </w:pPr>
          </w:p>
        </w:tc>
      </w:tr>
      <w:tr>
        <w:trPr>
          <w:trHeight w:val="95"/>
        </w:trPr>
        <w:tc>
          <w:tcPr>
            <w:tcW w:w="380" w:type="dxa"/>
            <w:vAlign w:val="bottom"/>
            <w:tcBorders>
              <w:left w:val="single" w:sz="8" w:color="auto"/>
            </w:tcBorders>
          </w:tcPr>
          <w:p>
            <w:pPr>
              <w:spacing w:after="0"/>
              <w:rPr>
                <w:sz w:val="8"/>
                <w:szCs w:val="8"/>
                <w:color w:val="auto"/>
              </w:rPr>
            </w:pPr>
          </w:p>
        </w:tc>
        <w:tc>
          <w:tcPr>
            <w:tcW w:w="9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9"/>
              </w:rPr>
              <w:t>WITH</w:t>
            </w:r>
          </w:p>
        </w:tc>
        <w:tc>
          <w:tcPr>
            <w:tcW w:w="2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80" w:type="dxa"/>
            <w:vAlign w:val="bottom"/>
            <w:tcBorders>
              <w:left w:val="single" w:sz="8" w:color="auto"/>
            </w:tcBorders>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have shared power to dispose of these shares.</w:t>
            </w:r>
          </w:p>
        </w:tc>
        <w:tc>
          <w:tcPr>
            <w:tcW w:w="0" w:type="dxa"/>
            <w:vAlign w:val="bottom"/>
          </w:tcPr>
          <w:p>
            <w:pPr>
              <w:spacing w:after="0"/>
              <w:rPr>
                <w:sz w:val="1"/>
                <w:szCs w:val="1"/>
                <w:color w:val="auto"/>
              </w:rPr>
            </w:pPr>
          </w:p>
        </w:tc>
      </w:tr>
      <w:tr>
        <w:trPr>
          <w:trHeight w:val="95"/>
        </w:trPr>
        <w:tc>
          <w:tcPr>
            <w:tcW w:w="380" w:type="dxa"/>
            <w:vAlign w:val="bottom"/>
            <w:tcBorders>
              <w:lef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9180" w:type="dxa"/>
            <w:vAlign w:val="bottom"/>
            <w:tcBorders>
              <w:bottom w:val="single" w:sz="8" w:color="auto"/>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60" w:type="dxa"/>
            <w:vAlign w:val="bottom"/>
          </w:tcPr>
          <w:p>
            <w:pPr>
              <w:ind w:left="100"/>
              <w:spacing w:after="0" w:line="276" w:lineRule="exact"/>
              <w:rPr>
                <w:sz w:val="20"/>
                <w:szCs w:val="20"/>
                <w:color w:val="auto"/>
              </w:rPr>
            </w:pPr>
            <w:r>
              <w:rPr>
                <w:rFonts w:ascii="Arial" w:cs="Arial" w:eastAsia="Arial" w:hAnsi="Arial"/>
                <w:sz w:val="25"/>
                <w:szCs w:val="25"/>
                <w:b w:val="1"/>
                <w:bCs w:val="1"/>
                <w:color w:val="auto"/>
                <w:w w:val="86"/>
              </w:rPr>
              <w:t>10</w:t>
            </w:r>
          </w:p>
        </w:tc>
        <w:tc>
          <w:tcPr>
            <w:tcW w:w="20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See response to row 9.</w:t>
            </w: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w w:val="86"/>
              </w:rPr>
              <w:t>11</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26,975</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ind w:left="120"/>
              <w:spacing w:after="0" w:line="250" w:lineRule="exact"/>
              <w:rPr>
                <w:sz w:val="20"/>
                <w:szCs w:val="20"/>
                <w:color w:val="auto"/>
              </w:rPr>
            </w:pPr>
            <w:r>
              <w:rPr>
                <w:rFonts w:ascii="Arial" w:cs="Arial" w:eastAsia="Arial" w:hAnsi="Arial"/>
                <w:sz w:val="25"/>
                <w:szCs w:val="25"/>
                <w:b w:val="1"/>
                <w:bCs w:val="1"/>
                <w:color w:val="auto"/>
                <w:w w:val="86"/>
              </w:rPr>
              <w:t>12</w:t>
            </w:r>
          </w:p>
        </w:tc>
        <w:tc>
          <w:tcPr>
            <w:tcW w:w="260" w:type="dxa"/>
            <w:vAlign w:val="bottom"/>
            <w:tcBorders>
              <w:right w:val="single" w:sz="8" w:color="auto"/>
            </w:tcBorders>
          </w:tcPr>
          <w:p>
            <w:pPr>
              <w:spacing w:after="0"/>
              <w:rPr>
                <w:sz w:val="21"/>
                <w:szCs w:val="21"/>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56"/>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80" w:type="dxa"/>
            <w:vAlign w:val="bottom"/>
            <w:tcBorders>
              <w:left w:val="single" w:sz="8" w:color="auto"/>
            </w:tcBorders>
          </w:tcPr>
          <w:p>
            <w:pPr>
              <w:ind w:left="120"/>
              <w:spacing w:after="0" w:line="280" w:lineRule="exact"/>
              <w:rPr>
                <w:sz w:val="20"/>
                <w:szCs w:val="20"/>
                <w:color w:val="auto"/>
              </w:rPr>
            </w:pPr>
            <w:r>
              <w:rPr>
                <w:rFonts w:ascii="Arial" w:cs="Arial" w:eastAsia="Arial" w:hAnsi="Arial"/>
                <w:sz w:val="25"/>
                <w:szCs w:val="25"/>
                <w:b w:val="1"/>
                <w:bCs w:val="1"/>
                <w:color w:val="auto"/>
                <w:w w:val="86"/>
              </w:rPr>
              <w:t>13</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67"/>
        </w:trPr>
        <w:tc>
          <w:tcPr>
            <w:tcW w:w="380" w:type="dxa"/>
            <w:vAlign w:val="bottom"/>
            <w:tcBorders>
              <w:left w:val="single" w:sz="8" w:color="auto"/>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tcBorders>
          </w:tcPr>
          <w:p>
            <w:pPr>
              <w:ind w:left="80"/>
              <w:spacing w:after="0" w:line="267" w:lineRule="exact"/>
              <w:rPr>
                <w:sz w:val="20"/>
                <w:szCs w:val="20"/>
                <w:color w:val="auto"/>
              </w:rPr>
            </w:pPr>
            <w:r>
              <w:rPr>
                <w:rFonts w:ascii="Arial" w:cs="Arial" w:eastAsia="Arial" w:hAnsi="Arial"/>
                <w:sz w:val="18"/>
                <w:szCs w:val="18"/>
                <w:color w:val="auto"/>
              </w:rPr>
              <w:t>0.1%</w:t>
            </w:r>
            <w:r>
              <w:rPr>
                <w:rFonts w:ascii="Arial" w:cs="Arial" w:eastAsia="Arial" w:hAnsi="Arial"/>
                <w:sz w:val="29"/>
                <w:szCs w:val="29"/>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78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w w:val="86"/>
              </w:rPr>
              <w:t>14</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firstLine="8"/>
        <w:spacing w:after="0" w:line="207" w:lineRule="auto"/>
        <w:tabs>
          <w:tab w:leader="none" w:pos="112"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Based on 124,045,255 shares of the Issuer’s Common Stock outstanding as of June 9, 2021, as disclosed in the Issuer’s Current Report on Form 8-K filed on June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Page 6</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461"/>
        </w:trPr>
        <w:tc>
          <w:tcPr>
            <w:tcW w:w="1320" w:type="dxa"/>
            <w:vAlign w:val="bottom"/>
            <w:tcBorders>
              <w:top w:val="single" w:sz="8" w:color="auto"/>
              <w:left w:val="single" w:sz="8" w:color="auto"/>
            </w:tcBorders>
            <w:gridSpan w:val="3"/>
          </w:tcPr>
          <w:p>
            <w:pPr>
              <w:ind w:left="80"/>
              <w:spacing w:after="0"/>
              <w:rPr>
                <w:sz w:val="20"/>
                <w:szCs w:val="20"/>
                <w:color w:val="auto"/>
              </w:rPr>
            </w:pPr>
            <w:r>
              <w:rPr>
                <w:rFonts w:ascii="Arial" w:cs="Arial" w:eastAsia="Arial" w:hAnsi="Arial"/>
                <w:sz w:val="23"/>
                <w:szCs w:val="23"/>
                <w:b w:val="1"/>
                <w:bCs w:val="1"/>
                <w:color w:val="auto"/>
              </w:rPr>
              <w:t>CUSIP No.</w:t>
            </w: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5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63909J108</w:t>
            </w:r>
          </w:p>
        </w:tc>
        <w:tc>
          <w:tcPr>
            <w:tcW w:w="7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380" w:type="dxa"/>
            <w:vAlign w:val="bottom"/>
            <w:tcBorders>
              <w:left w:val="single" w:sz="8" w:color="auto"/>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7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0" w:type="dxa"/>
            <w:vAlign w:val="bottom"/>
            <w:tcBorders>
              <w:bottom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tcBorders>
          </w:tcPr>
          <w:p>
            <w:pPr>
              <w:ind w:left="120"/>
              <w:spacing w:after="0" w:line="238" w:lineRule="exact"/>
              <w:rPr>
                <w:sz w:val="20"/>
                <w:szCs w:val="20"/>
                <w:color w:val="auto"/>
              </w:rPr>
            </w:pPr>
            <w:r>
              <w:rPr>
                <w:rFonts w:ascii="Arial" w:cs="Arial" w:eastAsia="Arial" w:hAnsi="Arial"/>
                <w:sz w:val="25"/>
                <w:szCs w:val="25"/>
                <w:b w:val="1"/>
                <w:bCs w:val="1"/>
                <w:color w:val="auto"/>
              </w:rPr>
              <w:t>1</w:t>
            </w: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54"/>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0600" w:type="dxa"/>
            <w:vAlign w:val="bottom"/>
            <w:tcBorders>
              <w:bottom w:val="single" w:sz="8" w:color="auto"/>
              <w:right w:val="single" w:sz="8" w:color="auto"/>
            </w:tcBorders>
            <w:gridSpan w:val="6"/>
          </w:tcPr>
          <w:p>
            <w:pPr>
              <w:ind w:left="80"/>
              <w:spacing w:after="0"/>
              <w:rPr>
                <w:sz w:val="20"/>
                <w:szCs w:val="20"/>
                <w:color w:val="auto"/>
              </w:rPr>
            </w:pPr>
            <w:r>
              <w:rPr>
                <w:rFonts w:ascii="Arial" w:cs="Arial" w:eastAsia="Arial" w:hAnsi="Arial"/>
                <w:sz w:val="18"/>
                <w:szCs w:val="18"/>
                <w:color w:val="auto"/>
              </w:rPr>
              <w:t>Andreessen Horowitz LSV Fund II-Q, L.P. (“AH LSV II-Q”)</w:t>
            </w: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ind w:left="120"/>
              <w:spacing w:after="0" w:line="232" w:lineRule="exact"/>
              <w:rPr>
                <w:sz w:val="20"/>
                <w:szCs w:val="20"/>
                <w:color w:val="auto"/>
              </w:rPr>
            </w:pPr>
            <w:r>
              <w:rPr>
                <w:rFonts w:ascii="Arial" w:cs="Arial" w:eastAsia="Arial" w:hAnsi="Arial"/>
                <w:sz w:val="25"/>
                <w:szCs w:val="25"/>
                <w:b w:val="1"/>
                <w:bCs w:val="1"/>
                <w:color w:val="auto"/>
              </w:rPr>
              <w:t>2</w:t>
            </w: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174"/>
        </w:trPr>
        <w:tc>
          <w:tcPr>
            <w:tcW w:w="380" w:type="dxa"/>
            <w:vAlign w:val="bottom"/>
            <w:tcBorders>
              <w:left w:val="single" w:sz="8" w:color="auto"/>
            </w:tcBorders>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680" w:type="dxa"/>
            <w:vAlign w:val="bottom"/>
          </w:tcPr>
          <w:p>
            <w:pPr>
              <w:ind w:left="400"/>
              <w:spacing w:after="0" w:line="174" w:lineRule="exact"/>
              <w:rPr>
                <w:sz w:val="20"/>
                <w:szCs w:val="20"/>
                <w:color w:val="auto"/>
              </w:rPr>
            </w:pPr>
            <w:r>
              <w:rPr>
                <w:rFonts w:ascii="Arial" w:cs="Arial" w:eastAsia="Arial" w:hAnsi="Arial"/>
                <w:sz w:val="18"/>
                <w:szCs w:val="18"/>
                <w:color w:val="auto"/>
              </w:rPr>
              <w:t>(a)</w:t>
            </w:r>
          </w:p>
        </w:tc>
        <w:tc>
          <w:tcPr>
            <w:tcW w:w="540" w:type="dxa"/>
            <w:vAlign w:val="bottom"/>
            <w:gridSpan w:val="2"/>
          </w:tcPr>
          <w:p>
            <w:pPr>
              <w:spacing w:after="0" w:line="175"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(b)</w:t>
            </w:r>
          </w:p>
        </w:tc>
        <w:tc>
          <w:tcPr>
            <w:tcW w:w="540" w:type="dxa"/>
            <w:vAlign w:val="bottom"/>
            <w:tcBorders>
              <w:bottom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6"/>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25"/>
                <w:szCs w:val="25"/>
                <w:b w:val="1"/>
                <w:bCs w:val="1"/>
                <w:color w:val="auto"/>
              </w:rPr>
              <w:t>3</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bottom w:val="single" w:sz="8" w:color="auto"/>
            </w:tcBorders>
          </w:tcPr>
          <w:p>
            <w:pPr>
              <w:spacing w:after="0"/>
              <w:rPr>
                <w:sz w:val="15"/>
                <w:szCs w:val="15"/>
                <w:color w:val="auto"/>
              </w:rPr>
            </w:pPr>
          </w:p>
        </w:tc>
        <w:tc>
          <w:tcPr>
            <w:tcW w:w="260" w:type="dxa"/>
            <w:vAlign w:val="bottom"/>
            <w:tcBorders>
              <w:bottom w:val="single" w:sz="8" w:color="auto"/>
              <w:right w:val="single" w:sz="8" w:color="auto"/>
            </w:tcBorders>
          </w:tcPr>
          <w:p>
            <w:pPr>
              <w:spacing w:after="0"/>
              <w:rPr>
                <w:sz w:val="15"/>
                <w:szCs w:val="15"/>
                <w:color w:val="auto"/>
              </w:rPr>
            </w:pPr>
          </w:p>
        </w:tc>
        <w:tc>
          <w:tcPr>
            <w:tcW w:w="10600" w:type="dxa"/>
            <w:vAlign w:val="bottom"/>
            <w:tcBorders>
              <w:bottom w:val="single" w:sz="8" w:color="auto"/>
              <w:right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rPr>
              <w:t>4</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ind w:left="120"/>
              <w:spacing w:after="0" w:line="250" w:lineRule="exact"/>
              <w:rPr>
                <w:sz w:val="20"/>
                <w:szCs w:val="20"/>
                <w:color w:val="auto"/>
              </w:rPr>
            </w:pPr>
            <w:r>
              <w:rPr>
                <w:rFonts w:ascii="Arial" w:cs="Arial" w:eastAsia="Arial" w:hAnsi="Arial"/>
                <w:sz w:val="25"/>
                <w:szCs w:val="25"/>
                <w:b w:val="1"/>
                <w:bCs w:val="1"/>
                <w:color w:val="auto"/>
              </w:rPr>
              <w:t>5</w:t>
            </w:r>
          </w:p>
        </w:tc>
        <w:tc>
          <w:tcPr>
            <w:tcW w:w="260" w:type="dxa"/>
            <w:vAlign w:val="bottom"/>
            <w:tcBorders>
              <w:right w:val="single" w:sz="8" w:color="auto"/>
            </w:tcBorders>
          </w:tcPr>
          <w:p>
            <w:pPr>
              <w:spacing w:after="0"/>
              <w:rPr>
                <w:sz w:val="21"/>
                <w:szCs w:val="21"/>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56"/>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rPr>
              <w:t>6</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360" w:type="dxa"/>
            <w:vAlign w:val="bottom"/>
          </w:tcPr>
          <w:p>
            <w:pPr>
              <w:ind w:left="100"/>
              <w:spacing w:after="0" w:line="276" w:lineRule="exact"/>
              <w:rPr>
                <w:sz w:val="20"/>
                <w:szCs w:val="20"/>
                <w:color w:val="auto"/>
              </w:rPr>
            </w:pPr>
            <w:r>
              <w:rPr>
                <w:rFonts w:ascii="Arial" w:cs="Arial" w:eastAsia="Arial" w:hAnsi="Arial"/>
                <w:sz w:val="25"/>
                <w:szCs w:val="25"/>
                <w:b w:val="1"/>
                <w:bCs w:val="1"/>
                <w:color w:val="auto"/>
              </w:rPr>
              <w:t>7</w:t>
            </w:r>
          </w:p>
        </w:tc>
        <w:tc>
          <w:tcPr>
            <w:tcW w:w="20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4"/>
              </w:rPr>
              <w:t>120,813 shares, except that AH Equity LSV II, the general partner of AH LSV II-Q, may be deemed to have sole power to</w:t>
            </w: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tcBorders>
            <w:gridSpan w:val="3"/>
            <w:vMerge w:val="restart"/>
          </w:tcPr>
          <w:p>
            <w:pPr>
              <w:jc w:val="center"/>
              <w:ind w:left="64"/>
              <w:spacing w:after="0"/>
              <w:rPr>
                <w:sz w:val="20"/>
                <w:szCs w:val="20"/>
                <w:color w:val="auto"/>
              </w:rPr>
            </w:pPr>
            <w:r>
              <w:rPr>
                <w:rFonts w:ascii="Arial" w:cs="Arial" w:eastAsia="Arial" w:hAnsi="Arial"/>
                <w:sz w:val="18"/>
                <w:szCs w:val="18"/>
                <w:color w:val="auto"/>
                <w:w w:val="98"/>
              </w:rPr>
              <w:t>NUMBER OF</w:t>
            </w:r>
          </w:p>
        </w:tc>
        <w:tc>
          <w:tcPr>
            <w:tcW w:w="1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4"/>
              </w:rPr>
              <w:t>vote these shares, and Andreessen and Horowitz, the managing members of AH Equity LSV II, may be deemed to have</w:t>
            </w:r>
          </w:p>
        </w:tc>
        <w:tc>
          <w:tcPr>
            <w:tcW w:w="0" w:type="dxa"/>
            <w:vAlign w:val="bottom"/>
          </w:tcPr>
          <w:p>
            <w:pPr>
              <w:spacing w:after="0"/>
              <w:rPr>
                <w:sz w:val="1"/>
                <w:szCs w:val="1"/>
                <w:color w:val="auto"/>
              </w:rPr>
            </w:pPr>
          </w:p>
        </w:tc>
      </w:tr>
      <w:tr>
        <w:trPr>
          <w:trHeight w:val="95"/>
        </w:trPr>
        <w:tc>
          <w:tcPr>
            <w:tcW w:w="1320" w:type="dxa"/>
            <w:vAlign w:val="bottom"/>
            <w:tcBorders>
              <w:left w:val="single" w:sz="8" w:color="auto"/>
            </w:tcBorders>
            <w:gridSpan w:val="3"/>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shared power to vote these shares.</w:t>
            </w:r>
          </w:p>
        </w:tc>
        <w:tc>
          <w:tcPr>
            <w:tcW w:w="0" w:type="dxa"/>
            <w:vAlign w:val="bottom"/>
          </w:tcPr>
          <w:p>
            <w:pPr>
              <w:spacing w:after="0"/>
              <w:rPr>
                <w:sz w:val="1"/>
                <w:szCs w:val="1"/>
                <w:color w:val="auto"/>
              </w:rPr>
            </w:pPr>
          </w:p>
        </w:tc>
      </w:tr>
      <w:tr>
        <w:trPr>
          <w:trHeight w:val="136"/>
        </w:trPr>
        <w:tc>
          <w:tcPr>
            <w:tcW w:w="380" w:type="dxa"/>
            <w:vAlign w:val="bottom"/>
            <w:tcBorders>
              <w:left w:val="single" w:sz="8" w:color="auto"/>
            </w:tcBorders>
          </w:tcPr>
          <w:p>
            <w:pPr>
              <w:spacing w:after="0"/>
              <w:rPr>
                <w:sz w:val="11"/>
                <w:szCs w:val="11"/>
                <w:color w:val="auto"/>
              </w:rPr>
            </w:pPr>
          </w:p>
        </w:tc>
        <w:tc>
          <w:tcPr>
            <w:tcW w:w="940" w:type="dxa"/>
            <w:vAlign w:val="bottom"/>
            <w:gridSpan w:val="2"/>
            <w:vMerge w:val="restart"/>
          </w:tcPr>
          <w:p>
            <w:pPr>
              <w:jc w:val="center"/>
              <w:ind w:right="110"/>
              <w:spacing w:after="0"/>
              <w:rPr>
                <w:sz w:val="20"/>
                <w:szCs w:val="20"/>
                <w:color w:val="auto"/>
              </w:rPr>
            </w:pPr>
            <w:r>
              <w:rPr>
                <w:rFonts w:ascii="Arial" w:cs="Arial" w:eastAsia="Arial" w:hAnsi="Arial"/>
                <w:sz w:val="18"/>
                <w:szCs w:val="18"/>
                <w:color w:val="auto"/>
                <w:w w:val="94"/>
              </w:rPr>
              <w:t>SHARES</w:t>
            </w:r>
          </w:p>
        </w:tc>
        <w:tc>
          <w:tcPr>
            <w:tcW w:w="180" w:type="dxa"/>
            <w:vAlign w:val="bottom"/>
            <w:tcBorders>
              <w:right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9180" w:type="dxa"/>
            <w:vAlign w:val="bottom"/>
            <w:tcBorders>
              <w:bottom w:val="single" w:sz="8" w:color="auto"/>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80" w:type="dxa"/>
            <w:vAlign w:val="bottom"/>
            <w:tcBorders>
              <w:left w:val="single" w:sz="8" w:color="auto"/>
            </w:tcBorders>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360" w:type="dxa"/>
            <w:vAlign w:val="bottom"/>
            <w:vMerge w:val="restart"/>
          </w:tcPr>
          <w:p>
            <w:pPr>
              <w:ind w:left="100"/>
              <w:spacing w:after="0" w:line="276" w:lineRule="exact"/>
              <w:rPr>
                <w:sz w:val="20"/>
                <w:szCs w:val="20"/>
                <w:color w:val="auto"/>
              </w:rPr>
            </w:pPr>
            <w:r>
              <w:rPr>
                <w:rFonts w:ascii="Arial" w:cs="Arial" w:eastAsia="Arial" w:hAnsi="Arial"/>
                <w:sz w:val="25"/>
                <w:szCs w:val="25"/>
                <w:b w:val="1"/>
                <w:bCs w:val="1"/>
                <w:color w:val="auto"/>
              </w:rPr>
              <w:t>8</w:t>
            </w:r>
          </w:p>
        </w:tc>
        <w:tc>
          <w:tcPr>
            <w:tcW w:w="200" w:type="dxa"/>
            <w:vAlign w:val="bottom"/>
            <w:tcBorders>
              <w:right w:val="single" w:sz="8" w:color="auto"/>
            </w:tcBorders>
          </w:tcPr>
          <w:p>
            <w:pPr>
              <w:spacing w:after="0"/>
              <w:rPr>
                <w:sz w:val="5"/>
                <w:szCs w:val="5"/>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vMerge w:val="continue"/>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Borders>
              <w:left w:val="single" w:sz="8" w:color="auto"/>
            </w:tcBorders>
            <w:gridSpan w:val="3"/>
          </w:tcPr>
          <w:p>
            <w:pPr>
              <w:jc w:val="center"/>
              <w:ind w:left="64"/>
              <w:spacing w:after="0"/>
              <w:rPr>
                <w:sz w:val="20"/>
                <w:szCs w:val="20"/>
                <w:color w:val="auto"/>
              </w:rPr>
            </w:pPr>
            <w:r>
              <w:rPr>
                <w:rFonts w:ascii="Arial" w:cs="Arial" w:eastAsia="Arial" w:hAnsi="Arial"/>
                <w:sz w:val="18"/>
                <w:szCs w:val="18"/>
                <w:color w:val="auto"/>
                <w:w w:val="99"/>
              </w:rPr>
              <w:t>OWNED BY</w:t>
            </w:r>
          </w:p>
        </w:tc>
        <w:tc>
          <w:tcPr>
            <w:tcW w:w="180" w:type="dxa"/>
            <w:vAlign w:val="bottom"/>
            <w:tcBorders>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940" w:type="dxa"/>
            <w:vAlign w:val="bottom"/>
            <w:gridSpan w:val="2"/>
          </w:tcPr>
          <w:p>
            <w:pPr>
              <w:jc w:val="center"/>
              <w:ind w:right="110"/>
              <w:spacing w:after="0" w:line="182" w:lineRule="exact"/>
              <w:rPr>
                <w:sz w:val="20"/>
                <w:szCs w:val="20"/>
                <w:color w:val="auto"/>
              </w:rPr>
            </w:pPr>
            <w:r>
              <w:rPr>
                <w:rFonts w:ascii="Arial" w:cs="Arial" w:eastAsia="Arial" w:hAnsi="Arial"/>
                <w:sz w:val="18"/>
                <w:szCs w:val="18"/>
                <w:color w:val="auto"/>
                <w:w w:val="99"/>
              </w:rPr>
              <w:t>EACH</w:t>
            </w:r>
          </w:p>
        </w:tc>
        <w:tc>
          <w:tcPr>
            <w:tcW w:w="180" w:type="dxa"/>
            <w:vAlign w:val="bottom"/>
            <w:tcBorders>
              <w:right w:val="single" w:sz="8" w:color="auto"/>
            </w:tcBorders>
          </w:tcPr>
          <w:p>
            <w:pPr>
              <w:spacing w:after="0"/>
              <w:rPr>
                <w:sz w:val="15"/>
                <w:szCs w:val="15"/>
                <w:color w:val="auto"/>
              </w:rPr>
            </w:pPr>
          </w:p>
        </w:tc>
        <w:tc>
          <w:tcPr>
            <w:tcW w:w="360" w:type="dxa"/>
            <w:vAlign w:val="bottom"/>
            <w:vMerge w:val="restart"/>
          </w:tcPr>
          <w:p>
            <w:pPr>
              <w:ind w:left="100"/>
              <w:spacing w:after="0" w:line="276" w:lineRule="exact"/>
              <w:rPr>
                <w:sz w:val="20"/>
                <w:szCs w:val="20"/>
                <w:color w:val="auto"/>
              </w:rPr>
            </w:pPr>
            <w:r>
              <w:rPr>
                <w:rFonts w:ascii="Arial" w:cs="Arial" w:eastAsia="Arial" w:hAnsi="Arial"/>
                <w:sz w:val="25"/>
                <w:szCs w:val="25"/>
                <w:b w:val="1"/>
                <w:bCs w:val="1"/>
                <w:color w:val="auto"/>
              </w:rPr>
              <w:t>9</w:t>
            </w:r>
          </w:p>
        </w:tc>
        <w:tc>
          <w:tcPr>
            <w:tcW w:w="200" w:type="dxa"/>
            <w:vAlign w:val="bottom"/>
            <w:tcBorders>
              <w:right w:val="single" w:sz="8" w:color="auto"/>
            </w:tcBorders>
          </w:tcPr>
          <w:p>
            <w:pPr>
              <w:spacing w:after="0"/>
              <w:rPr>
                <w:sz w:val="15"/>
                <w:szCs w:val="15"/>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320" w:type="dxa"/>
            <w:vAlign w:val="bottom"/>
            <w:tcBorders>
              <w:left w:val="single" w:sz="8" w:color="auto"/>
            </w:tcBorders>
            <w:gridSpan w:val="3"/>
            <w:vMerge w:val="restart"/>
          </w:tcPr>
          <w:p>
            <w:pPr>
              <w:jc w:val="center"/>
              <w:ind w:left="64"/>
              <w:spacing w:after="0"/>
              <w:rPr>
                <w:sz w:val="20"/>
                <w:szCs w:val="20"/>
                <w:color w:val="auto"/>
              </w:rPr>
            </w:pPr>
            <w:r>
              <w:rPr>
                <w:rFonts w:ascii="Arial" w:cs="Arial" w:eastAsia="Arial" w:hAnsi="Arial"/>
                <w:sz w:val="18"/>
                <w:szCs w:val="18"/>
                <w:color w:val="auto"/>
                <w:w w:val="91"/>
              </w:rPr>
              <w:t>REPORTING</w:t>
            </w:r>
          </w:p>
        </w:tc>
        <w:tc>
          <w:tcPr>
            <w:tcW w:w="180" w:type="dxa"/>
            <w:vAlign w:val="bottom"/>
            <w:tcBorders>
              <w:right w:val="single" w:sz="8" w:color="auto"/>
            </w:tcBorders>
          </w:tcPr>
          <w:p>
            <w:pPr>
              <w:spacing w:after="0"/>
              <w:rPr>
                <w:sz w:val="8"/>
                <w:szCs w:val="8"/>
                <w:color w:val="auto"/>
              </w:rPr>
            </w:pPr>
          </w:p>
        </w:tc>
        <w:tc>
          <w:tcPr>
            <w:tcW w:w="360" w:type="dxa"/>
            <w:vAlign w:val="bottom"/>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320" w:type="dxa"/>
            <w:vAlign w:val="bottom"/>
            <w:tcBorders>
              <w:left w:val="single" w:sz="8" w:color="auto"/>
            </w:tcBorders>
            <w:gridSpan w:val="3"/>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4"/>
              </w:rPr>
              <w:t>120,813 shares, except that AH Equity LSV II, the general partner of AH LSV II-Q, may be deemed to have sole power to</w:t>
            </w:r>
          </w:p>
        </w:tc>
        <w:tc>
          <w:tcPr>
            <w:tcW w:w="0" w:type="dxa"/>
            <w:vAlign w:val="bottom"/>
          </w:tcPr>
          <w:p>
            <w:pPr>
              <w:spacing w:after="0"/>
              <w:rPr>
                <w:sz w:val="1"/>
                <w:szCs w:val="1"/>
                <w:color w:val="auto"/>
              </w:rPr>
            </w:pPr>
          </w:p>
        </w:tc>
      </w:tr>
      <w:tr>
        <w:trPr>
          <w:trHeight w:val="95"/>
        </w:trPr>
        <w:tc>
          <w:tcPr>
            <w:tcW w:w="380" w:type="dxa"/>
            <w:vAlign w:val="bottom"/>
            <w:tcBorders>
              <w:left w:val="single" w:sz="8" w:color="auto"/>
            </w:tcBorders>
          </w:tcPr>
          <w:p>
            <w:pPr>
              <w:spacing w:after="0"/>
              <w:rPr>
                <w:sz w:val="8"/>
                <w:szCs w:val="8"/>
                <w:color w:val="auto"/>
              </w:rPr>
            </w:pPr>
          </w:p>
        </w:tc>
        <w:tc>
          <w:tcPr>
            <w:tcW w:w="940" w:type="dxa"/>
            <w:vAlign w:val="bottom"/>
            <w:gridSpan w:val="2"/>
            <w:vMerge w:val="restart"/>
          </w:tcPr>
          <w:p>
            <w:pPr>
              <w:jc w:val="center"/>
              <w:ind w:right="110"/>
              <w:spacing w:after="0"/>
              <w:rPr>
                <w:sz w:val="20"/>
                <w:szCs w:val="20"/>
                <w:color w:val="auto"/>
              </w:rPr>
            </w:pPr>
            <w:r>
              <w:rPr>
                <w:rFonts w:ascii="Arial" w:cs="Arial" w:eastAsia="Arial" w:hAnsi="Arial"/>
                <w:sz w:val="18"/>
                <w:szCs w:val="18"/>
                <w:color w:val="auto"/>
                <w:w w:val="92"/>
              </w:rPr>
              <w:t>PERSON</w:t>
            </w:r>
          </w:p>
        </w:tc>
        <w:tc>
          <w:tcPr>
            <w:tcW w:w="18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80" w:type="dxa"/>
            <w:vAlign w:val="bottom"/>
            <w:tcBorders>
              <w:left w:val="single" w:sz="8" w:color="auto"/>
            </w:tcBorders>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4"/>
              </w:rPr>
              <w:t>dispose of these shares, and Andreessen and Horowitz, the managing members of AH Equity LSV II, may be deemed to</w:t>
            </w:r>
          </w:p>
        </w:tc>
        <w:tc>
          <w:tcPr>
            <w:tcW w:w="0" w:type="dxa"/>
            <w:vAlign w:val="bottom"/>
          </w:tcPr>
          <w:p>
            <w:pPr>
              <w:spacing w:after="0"/>
              <w:rPr>
                <w:sz w:val="1"/>
                <w:szCs w:val="1"/>
                <w:color w:val="auto"/>
              </w:rPr>
            </w:pPr>
          </w:p>
        </w:tc>
      </w:tr>
      <w:tr>
        <w:trPr>
          <w:trHeight w:val="95"/>
        </w:trPr>
        <w:tc>
          <w:tcPr>
            <w:tcW w:w="380" w:type="dxa"/>
            <w:vAlign w:val="bottom"/>
            <w:tcBorders>
              <w:left w:val="single" w:sz="8" w:color="auto"/>
            </w:tcBorders>
          </w:tcPr>
          <w:p>
            <w:pPr>
              <w:spacing w:after="0"/>
              <w:rPr>
                <w:sz w:val="8"/>
                <w:szCs w:val="8"/>
                <w:color w:val="auto"/>
              </w:rPr>
            </w:pPr>
          </w:p>
        </w:tc>
        <w:tc>
          <w:tcPr>
            <w:tcW w:w="940" w:type="dxa"/>
            <w:vAlign w:val="bottom"/>
            <w:gridSpan w:val="2"/>
            <w:vMerge w:val="restart"/>
          </w:tcPr>
          <w:p>
            <w:pPr>
              <w:jc w:val="center"/>
              <w:ind w:right="110"/>
              <w:spacing w:after="0"/>
              <w:rPr>
                <w:sz w:val="20"/>
                <w:szCs w:val="20"/>
                <w:color w:val="auto"/>
              </w:rPr>
            </w:pPr>
            <w:r>
              <w:rPr>
                <w:rFonts w:ascii="Arial" w:cs="Arial" w:eastAsia="Arial" w:hAnsi="Arial"/>
                <w:sz w:val="18"/>
                <w:szCs w:val="18"/>
                <w:color w:val="auto"/>
                <w:w w:val="99"/>
              </w:rPr>
              <w:t>WITH</w:t>
            </w:r>
          </w:p>
        </w:tc>
        <w:tc>
          <w:tcPr>
            <w:tcW w:w="18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80" w:type="dxa"/>
            <w:vAlign w:val="bottom"/>
            <w:tcBorders>
              <w:left w:val="single" w:sz="8" w:color="auto"/>
            </w:tcBorders>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have shared power to dispose of these shares.</w:t>
            </w:r>
          </w:p>
        </w:tc>
        <w:tc>
          <w:tcPr>
            <w:tcW w:w="0" w:type="dxa"/>
            <w:vAlign w:val="bottom"/>
          </w:tcPr>
          <w:p>
            <w:pPr>
              <w:spacing w:after="0"/>
              <w:rPr>
                <w:sz w:val="1"/>
                <w:szCs w:val="1"/>
                <w:color w:val="auto"/>
              </w:rPr>
            </w:pPr>
          </w:p>
        </w:tc>
      </w:tr>
      <w:tr>
        <w:trPr>
          <w:trHeight w:val="94"/>
        </w:trPr>
        <w:tc>
          <w:tcPr>
            <w:tcW w:w="380" w:type="dxa"/>
            <w:vAlign w:val="bottom"/>
            <w:tcBorders>
              <w:lef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9180" w:type="dxa"/>
            <w:vAlign w:val="bottom"/>
            <w:tcBorders>
              <w:bottom w:val="single" w:sz="8" w:color="auto"/>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360" w:type="dxa"/>
            <w:vAlign w:val="bottom"/>
          </w:tcPr>
          <w:p>
            <w:pPr>
              <w:ind w:left="100"/>
              <w:spacing w:after="0" w:line="276" w:lineRule="exact"/>
              <w:rPr>
                <w:sz w:val="20"/>
                <w:szCs w:val="20"/>
                <w:color w:val="auto"/>
              </w:rPr>
            </w:pPr>
            <w:r>
              <w:rPr>
                <w:rFonts w:ascii="Arial" w:cs="Arial" w:eastAsia="Arial" w:hAnsi="Arial"/>
                <w:sz w:val="25"/>
                <w:szCs w:val="25"/>
                <w:b w:val="1"/>
                <w:bCs w:val="1"/>
                <w:color w:val="auto"/>
                <w:w w:val="86"/>
              </w:rPr>
              <w:t>10</w:t>
            </w:r>
          </w:p>
        </w:tc>
        <w:tc>
          <w:tcPr>
            <w:tcW w:w="20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See response to row 9.</w:t>
            </w: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w w:val="86"/>
              </w:rPr>
              <w:t>11</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9"/>
              </w:rPr>
              <w:t>120,813</w:t>
            </w: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ind w:left="120"/>
              <w:spacing w:after="0" w:line="250" w:lineRule="exact"/>
              <w:rPr>
                <w:sz w:val="20"/>
                <w:szCs w:val="20"/>
                <w:color w:val="auto"/>
              </w:rPr>
            </w:pPr>
            <w:r>
              <w:rPr>
                <w:rFonts w:ascii="Arial" w:cs="Arial" w:eastAsia="Arial" w:hAnsi="Arial"/>
                <w:sz w:val="25"/>
                <w:szCs w:val="25"/>
                <w:b w:val="1"/>
                <w:bCs w:val="1"/>
                <w:color w:val="auto"/>
                <w:w w:val="86"/>
              </w:rPr>
              <w:t>12</w:t>
            </w:r>
          </w:p>
        </w:tc>
        <w:tc>
          <w:tcPr>
            <w:tcW w:w="260" w:type="dxa"/>
            <w:vAlign w:val="bottom"/>
            <w:tcBorders>
              <w:right w:val="single" w:sz="8" w:color="auto"/>
            </w:tcBorders>
          </w:tcPr>
          <w:p>
            <w:pPr>
              <w:spacing w:after="0"/>
              <w:rPr>
                <w:sz w:val="21"/>
                <w:szCs w:val="21"/>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57"/>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80" w:type="dxa"/>
            <w:vAlign w:val="bottom"/>
            <w:tcBorders>
              <w:left w:val="single" w:sz="8" w:color="auto"/>
            </w:tcBorders>
          </w:tcPr>
          <w:p>
            <w:pPr>
              <w:ind w:left="120"/>
              <w:spacing w:after="0" w:line="280" w:lineRule="exact"/>
              <w:rPr>
                <w:sz w:val="20"/>
                <w:szCs w:val="20"/>
                <w:color w:val="auto"/>
              </w:rPr>
            </w:pPr>
            <w:r>
              <w:rPr>
                <w:rFonts w:ascii="Arial" w:cs="Arial" w:eastAsia="Arial" w:hAnsi="Arial"/>
                <w:sz w:val="25"/>
                <w:szCs w:val="25"/>
                <w:b w:val="1"/>
                <w:bCs w:val="1"/>
                <w:color w:val="auto"/>
                <w:w w:val="86"/>
              </w:rPr>
              <w:t>13</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67"/>
        </w:trPr>
        <w:tc>
          <w:tcPr>
            <w:tcW w:w="380" w:type="dxa"/>
            <w:vAlign w:val="bottom"/>
            <w:tcBorders>
              <w:left w:val="single" w:sz="8" w:color="auto"/>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680" w:type="dxa"/>
            <w:vAlign w:val="bottom"/>
            <w:tcBorders>
              <w:bottom w:val="single" w:sz="8" w:color="auto"/>
            </w:tcBorders>
          </w:tcPr>
          <w:p>
            <w:pPr>
              <w:ind w:left="80"/>
              <w:spacing w:after="0" w:line="267" w:lineRule="exact"/>
              <w:rPr>
                <w:sz w:val="20"/>
                <w:szCs w:val="20"/>
                <w:color w:val="auto"/>
              </w:rPr>
            </w:pPr>
            <w:r>
              <w:rPr>
                <w:rFonts w:ascii="Arial" w:cs="Arial" w:eastAsia="Arial" w:hAnsi="Arial"/>
                <w:sz w:val="18"/>
                <w:szCs w:val="18"/>
                <w:color w:val="auto"/>
              </w:rPr>
              <w:t>0.1%</w:t>
            </w:r>
            <w:r>
              <w:rPr>
                <w:rFonts w:ascii="Arial" w:cs="Arial" w:eastAsia="Arial" w:hAnsi="Arial"/>
                <w:sz w:val="29"/>
                <w:szCs w:val="29"/>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78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w w:val="86"/>
              </w:rPr>
              <w:t>14</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firstLine="8"/>
        <w:spacing w:after="0" w:line="207" w:lineRule="auto"/>
        <w:tabs>
          <w:tab w:leader="none" w:pos="112"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Based on 124,045,255 shares of the Issuer’s Common Stock outstanding as of June 9, 2021, as disclosed in the Issuer’s Current Report on Form 8-K filed on June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Page 7</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462"/>
        </w:trPr>
        <w:tc>
          <w:tcPr>
            <w:tcW w:w="1300" w:type="dxa"/>
            <w:vAlign w:val="bottom"/>
            <w:tcBorders>
              <w:top w:val="single" w:sz="8" w:color="auto"/>
              <w:left w:val="single" w:sz="8" w:color="auto"/>
            </w:tcBorders>
            <w:gridSpan w:val="3"/>
          </w:tcPr>
          <w:p>
            <w:pPr>
              <w:ind w:left="80"/>
              <w:spacing w:after="0"/>
              <w:rPr>
                <w:sz w:val="20"/>
                <w:szCs w:val="20"/>
                <w:color w:val="auto"/>
              </w:rPr>
            </w:pPr>
            <w:r>
              <w:rPr>
                <w:rFonts w:ascii="Arial" w:cs="Arial" w:eastAsia="Arial" w:hAnsi="Arial"/>
                <w:sz w:val="23"/>
                <w:szCs w:val="23"/>
                <w:b w:val="1"/>
                <w:bCs w:val="1"/>
                <w:color w:val="auto"/>
              </w:rPr>
              <w:t>CUSIP No.</w:t>
            </w: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5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63909J108</w:t>
            </w:r>
          </w:p>
        </w:tc>
        <w:tc>
          <w:tcPr>
            <w:tcW w:w="7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380" w:type="dxa"/>
            <w:vAlign w:val="bottom"/>
            <w:tcBorders>
              <w:left w:val="single" w:sz="8" w:color="auto"/>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7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0" w:type="dxa"/>
            <w:vAlign w:val="bottom"/>
            <w:tcBorders>
              <w:bottom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tcBorders>
          </w:tcPr>
          <w:p>
            <w:pPr>
              <w:ind w:left="120"/>
              <w:spacing w:after="0" w:line="238" w:lineRule="exact"/>
              <w:rPr>
                <w:sz w:val="20"/>
                <w:szCs w:val="20"/>
                <w:color w:val="auto"/>
              </w:rPr>
            </w:pPr>
            <w:r>
              <w:rPr>
                <w:rFonts w:ascii="Arial" w:cs="Arial" w:eastAsia="Arial" w:hAnsi="Arial"/>
                <w:sz w:val="25"/>
                <w:szCs w:val="25"/>
                <w:b w:val="1"/>
                <w:bCs w:val="1"/>
                <w:color w:val="auto"/>
              </w:rPr>
              <w:t>1</w:t>
            </w: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54"/>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0600" w:type="dxa"/>
            <w:vAlign w:val="bottom"/>
            <w:tcBorders>
              <w:bottom w:val="single" w:sz="8" w:color="auto"/>
              <w:right w:val="single" w:sz="8" w:color="auto"/>
            </w:tcBorders>
            <w:gridSpan w:val="6"/>
          </w:tcPr>
          <w:p>
            <w:pPr>
              <w:ind w:left="80"/>
              <w:spacing w:after="0"/>
              <w:rPr>
                <w:sz w:val="20"/>
                <w:szCs w:val="20"/>
                <w:color w:val="auto"/>
              </w:rPr>
            </w:pPr>
            <w:r>
              <w:rPr>
                <w:rFonts w:ascii="Arial" w:cs="Arial" w:eastAsia="Arial" w:hAnsi="Arial"/>
                <w:sz w:val="18"/>
                <w:szCs w:val="18"/>
                <w:color w:val="auto"/>
              </w:rPr>
              <w:t>AH Equity Partners LSV II, L.L.C. (“AH Equity LSV II”)</w:t>
            </w: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ind w:left="120"/>
              <w:spacing w:after="0" w:line="232" w:lineRule="exact"/>
              <w:rPr>
                <w:sz w:val="20"/>
                <w:szCs w:val="20"/>
                <w:color w:val="auto"/>
              </w:rPr>
            </w:pPr>
            <w:r>
              <w:rPr>
                <w:rFonts w:ascii="Arial" w:cs="Arial" w:eastAsia="Arial" w:hAnsi="Arial"/>
                <w:sz w:val="25"/>
                <w:szCs w:val="25"/>
                <w:b w:val="1"/>
                <w:bCs w:val="1"/>
                <w:color w:val="auto"/>
              </w:rPr>
              <w:t>2</w:t>
            </w: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174"/>
        </w:trPr>
        <w:tc>
          <w:tcPr>
            <w:tcW w:w="380" w:type="dxa"/>
            <w:vAlign w:val="bottom"/>
            <w:tcBorders>
              <w:left w:val="single" w:sz="8" w:color="auto"/>
            </w:tcBorders>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660" w:type="dxa"/>
            <w:vAlign w:val="bottom"/>
          </w:tcPr>
          <w:p>
            <w:pPr>
              <w:ind w:left="400"/>
              <w:spacing w:after="0" w:line="174" w:lineRule="exact"/>
              <w:rPr>
                <w:sz w:val="20"/>
                <w:szCs w:val="20"/>
                <w:color w:val="auto"/>
              </w:rPr>
            </w:pPr>
            <w:r>
              <w:rPr>
                <w:rFonts w:ascii="Arial" w:cs="Arial" w:eastAsia="Arial" w:hAnsi="Arial"/>
                <w:sz w:val="18"/>
                <w:szCs w:val="18"/>
                <w:color w:val="auto"/>
              </w:rPr>
              <w:t>(a)</w:t>
            </w:r>
          </w:p>
        </w:tc>
        <w:tc>
          <w:tcPr>
            <w:tcW w:w="560" w:type="dxa"/>
            <w:vAlign w:val="bottom"/>
            <w:gridSpan w:val="2"/>
          </w:tcPr>
          <w:p>
            <w:pPr>
              <w:ind w:left="20"/>
              <w:spacing w:after="0" w:line="175"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(b)</w:t>
            </w:r>
          </w:p>
        </w:tc>
        <w:tc>
          <w:tcPr>
            <w:tcW w:w="56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6"/>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25"/>
                <w:szCs w:val="25"/>
                <w:b w:val="1"/>
                <w:bCs w:val="1"/>
                <w:color w:val="auto"/>
              </w:rPr>
              <w:t>3</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bottom w:val="single" w:sz="8" w:color="auto"/>
            </w:tcBorders>
          </w:tcPr>
          <w:p>
            <w:pPr>
              <w:spacing w:after="0"/>
              <w:rPr>
                <w:sz w:val="15"/>
                <w:szCs w:val="15"/>
                <w:color w:val="auto"/>
              </w:rPr>
            </w:pPr>
          </w:p>
        </w:tc>
        <w:tc>
          <w:tcPr>
            <w:tcW w:w="260" w:type="dxa"/>
            <w:vAlign w:val="bottom"/>
            <w:tcBorders>
              <w:bottom w:val="single" w:sz="8" w:color="auto"/>
              <w:right w:val="single" w:sz="8" w:color="auto"/>
            </w:tcBorders>
          </w:tcPr>
          <w:p>
            <w:pPr>
              <w:spacing w:after="0"/>
              <w:rPr>
                <w:sz w:val="15"/>
                <w:szCs w:val="15"/>
                <w:color w:val="auto"/>
              </w:rPr>
            </w:pPr>
          </w:p>
        </w:tc>
        <w:tc>
          <w:tcPr>
            <w:tcW w:w="10600" w:type="dxa"/>
            <w:vAlign w:val="bottom"/>
            <w:tcBorders>
              <w:bottom w:val="single" w:sz="8" w:color="auto"/>
              <w:right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rPr>
              <w:t>4</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AF</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ind w:left="120"/>
              <w:spacing w:after="0" w:line="250" w:lineRule="exact"/>
              <w:rPr>
                <w:sz w:val="20"/>
                <w:szCs w:val="20"/>
                <w:color w:val="auto"/>
              </w:rPr>
            </w:pPr>
            <w:r>
              <w:rPr>
                <w:rFonts w:ascii="Arial" w:cs="Arial" w:eastAsia="Arial" w:hAnsi="Arial"/>
                <w:sz w:val="25"/>
                <w:szCs w:val="25"/>
                <w:b w:val="1"/>
                <w:bCs w:val="1"/>
                <w:color w:val="auto"/>
              </w:rPr>
              <w:t>5</w:t>
            </w:r>
          </w:p>
        </w:tc>
        <w:tc>
          <w:tcPr>
            <w:tcW w:w="260" w:type="dxa"/>
            <w:vAlign w:val="bottom"/>
            <w:tcBorders>
              <w:right w:val="single" w:sz="8" w:color="auto"/>
            </w:tcBorders>
          </w:tcPr>
          <w:p>
            <w:pPr>
              <w:spacing w:after="0"/>
              <w:rPr>
                <w:sz w:val="21"/>
                <w:szCs w:val="21"/>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56"/>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rPr>
              <w:t>6</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60" w:type="dxa"/>
            <w:vAlign w:val="bottom"/>
          </w:tcPr>
          <w:p>
            <w:pPr>
              <w:ind w:left="100"/>
              <w:spacing w:after="0" w:line="276" w:lineRule="exact"/>
              <w:rPr>
                <w:sz w:val="20"/>
                <w:szCs w:val="20"/>
                <w:color w:val="auto"/>
              </w:rPr>
            </w:pPr>
            <w:r>
              <w:rPr>
                <w:rFonts w:ascii="Arial" w:cs="Arial" w:eastAsia="Arial" w:hAnsi="Arial"/>
                <w:sz w:val="25"/>
                <w:szCs w:val="25"/>
                <w:b w:val="1"/>
                <w:bCs w:val="1"/>
                <w:color w:val="auto"/>
              </w:rPr>
              <w:t>7</w:t>
            </w:r>
          </w:p>
        </w:tc>
        <w:tc>
          <w:tcPr>
            <w:tcW w:w="20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6"/>
              </w:rPr>
              <w:t>1,355,911 shares, of which 1,208,123 are directly owned by AH LSV II, 26,975 are directly owned by AH LSV II-B and</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7"/>
              </w:rPr>
              <w:t>120,813 are directly owned by AH LSV II-Q. AH Equity LSV II, the general partner of AH LSV II, AH LSV II-B and AH</w:t>
            </w: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tcBorders>
            <w:gridSpan w:val="3"/>
            <w:vMerge w:val="restart"/>
          </w:tcPr>
          <w:p>
            <w:pPr>
              <w:jc w:val="center"/>
              <w:ind w:left="84"/>
              <w:spacing w:after="0"/>
              <w:rPr>
                <w:sz w:val="20"/>
                <w:szCs w:val="20"/>
                <w:color w:val="auto"/>
              </w:rPr>
            </w:pPr>
            <w:r>
              <w:rPr>
                <w:rFonts w:ascii="Arial" w:cs="Arial" w:eastAsia="Arial" w:hAnsi="Arial"/>
                <w:sz w:val="18"/>
                <w:szCs w:val="18"/>
                <w:color w:val="auto"/>
                <w:w w:val="98"/>
              </w:rPr>
              <w:t>NUMBER OF</w:t>
            </w: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2"/>
              </w:rPr>
              <w:t>LSV II-Q, may be deemed to have sole power to vote these shares, and Andreessen and Horowitz, the managing members</w:t>
            </w:r>
          </w:p>
        </w:tc>
        <w:tc>
          <w:tcPr>
            <w:tcW w:w="0" w:type="dxa"/>
            <w:vAlign w:val="bottom"/>
          </w:tcPr>
          <w:p>
            <w:pPr>
              <w:spacing w:after="0"/>
              <w:rPr>
                <w:sz w:val="1"/>
                <w:szCs w:val="1"/>
                <w:color w:val="auto"/>
              </w:rPr>
            </w:pPr>
          </w:p>
        </w:tc>
      </w:tr>
      <w:tr>
        <w:trPr>
          <w:trHeight w:val="95"/>
        </w:trPr>
        <w:tc>
          <w:tcPr>
            <w:tcW w:w="1300" w:type="dxa"/>
            <w:vAlign w:val="bottom"/>
            <w:tcBorders>
              <w:left w:val="single" w:sz="8" w:color="auto"/>
            </w:tcBorders>
            <w:gridSpan w:val="3"/>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of AH Equity LSV II, may be deemed to have shared power to vote these shares.</w:t>
            </w:r>
          </w:p>
        </w:tc>
        <w:tc>
          <w:tcPr>
            <w:tcW w:w="0" w:type="dxa"/>
            <w:vAlign w:val="bottom"/>
          </w:tcPr>
          <w:p>
            <w:pPr>
              <w:spacing w:after="0"/>
              <w:rPr>
                <w:sz w:val="1"/>
                <w:szCs w:val="1"/>
                <w:color w:val="auto"/>
              </w:rPr>
            </w:pPr>
          </w:p>
        </w:tc>
      </w:tr>
      <w:tr>
        <w:trPr>
          <w:trHeight w:val="136"/>
        </w:trPr>
        <w:tc>
          <w:tcPr>
            <w:tcW w:w="380" w:type="dxa"/>
            <w:vAlign w:val="bottom"/>
            <w:tcBorders>
              <w:left w:val="single" w:sz="8" w:color="auto"/>
            </w:tcBorders>
          </w:tcPr>
          <w:p>
            <w:pPr>
              <w:spacing w:after="0"/>
              <w:rPr>
                <w:sz w:val="11"/>
                <w:szCs w:val="11"/>
                <w:color w:val="auto"/>
              </w:rPr>
            </w:pPr>
          </w:p>
        </w:tc>
        <w:tc>
          <w:tcPr>
            <w:tcW w:w="9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4"/>
              </w:rPr>
              <w:t>SHARES</w:t>
            </w:r>
          </w:p>
        </w:tc>
        <w:tc>
          <w:tcPr>
            <w:tcW w:w="200" w:type="dxa"/>
            <w:vAlign w:val="bottom"/>
            <w:tcBorders>
              <w:right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9180" w:type="dxa"/>
            <w:vAlign w:val="bottom"/>
            <w:tcBorders>
              <w:bottom w:val="single" w:sz="8" w:color="auto"/>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80" w:type="dxa"/>
            <w:vAlign w:val="bottom"/>
            <w:tcBorders>
              <w:left w:val="single" w:sz="8" w:color="auto"/>
            </w:tcBorders>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360" w:type="dxa"/>
            <w:vAlign w:val="bottom"/>
            <w:vMerge w:val="restart"/>
          </w:tcPr>
          <w:p>
            <w:pPr>
              <w:ind w:left="100"/>
              <w:spacing w:after="0" w:line="276" w:lineRule="exact"/>
              <w:rPr>
                <w:sz w:val="20"/>
                <w:szCs w:val="20"/>
                <w:color w:val="auto"/>
              </w:rPr>
            </w:pPr>
            <w:r>
              <w:rPr>
                <w:rFonts w:ascii="Arial" w:cs="Arial" w:eastAsia="Arial" w:hAnsi="Arial"/>
                <w:sz w:val="25"/>
                <w:szCs w:val="25"/>
                <w:b w:val="1"/>
                <w:bCs w:val="1"/>
                <w:color w:val="auto"/>
              </w:rPr>
              <w:t>8</w:t>
            </w:r>
          </w:p>
        </w:tc>
        <w:tc>
          <w:tcPr>
            <w:tcW w:w="200" w:type="dxa"/>
            <w:vAlign w:val="bottom"/>
            <w:tcBorders>
              <w:right w:val="single" w:sz="8" w:color="auto"/>
            </w:tcBorders>
          </w:tcPr>
          <w:p>
            <w:pPr>
              <w:spacing w:after="0"/>
              <w:rPr>
                <w:sz w:val="5"/>
                <w:szCs w:val="5"/>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vMerge w:val="continue"/>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Borders>
              <w:left w:val="single" w:sz="8" w:color="auto"/>
            </w:tcBorders>
            <w:gridSpan w:val="3"/>
          </w:tcPr>
          <w:p>
            <w:pPr>
              <w:jc w:val="center"/>
              <w:ind w:left="84"/>
              <w:spacing w:after="0"/>
              <w:rPr>
                <w:sz w:val="20"/>
                <w:szCs w:val="20"/>
                <w:color w:val="auto"/>
              </w:rPr>
            </w:pPr>
            <w:r>
              <w:rPr>
                <w:rFonts w:ascii="Arial" w:cs="Arial" w:eastAsia="Arial" w:hAnsi="Arial"/>
                <w:sz w:val="18"/>
                <w:szCs w:val="18"/>
                <w:color w:val="auto"/>
                <w:w w:val="99"/>
              </w:rPr>
              <w:t>OWNED BY</w:t>
            </w:r>
          </w:p>
        </w:tc>
        <w:tc>
          <w:tcPr>
            <w:tcW w:w="200" w:type="dxa"/>
            <w:vAlign w:val="bottom"/>
            <w:tcBorders>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920" w:type="dxa"/>
            <w:vAlign w:val="bottom"/>
            <w:gridSpan w:val="2"/>
          </w:tcPr>
          <w:p>
            <w:pPr>
              <w:jc w:val="center"/>
              <w:ind w:right="90"/>
              <w:spacing w:after="0" w:line="182" w:lineRule="exact"/>
              <w:rPr>
                <w:sz w:val="20"/>
                <w:szCs w:val="20"/>
                <w:color w:val="auto"/>
              </w:rPr>
            </w:pPr>
            <w:r>
              <w:rPr>
                <w:rFonts w:ascii="Arial" w:cs="Arial" w:eastAsia="Arial" w:hAnsi="Arial"/>
                <w:sz w:val="18"/>
                <w:szCs w:val="18"/>
                <w:color w:val="auto"/>
                <w:w w:val="99"/>
              </w:rPr>
              <w:t>EACH</w:t>
            </w:r>
          </w:p>
        </w:tc>
        <w:tc>
          <w:tcPr>
            <w:tcW w:w="200" w:type="dxa"/>
            <w:vAlign w:val="bottom"/>
            <w:tcBorders>
              <w:right w:val="single" w:sz="8" w:color="auto"/>
            </w:tcBorders>
          </w:tcPr>
          <w:p>
            <w:pPr>
              <w:spacing w:after="0"/>
              <w:rPr>
                <w:sz w:val="15"/>
                <w:szCs w:val="15"/>
                <w:color w:val="auto"/>
              </w:rPr>
            </w:pPr>
          </w:p>
        </w:tc>
        <w:tc>
          <w:tcPr>
            <w:tcW w:w="360" w:type="dxa"/>
            <w:vAlign w:val="bottom"/>
            <w:vMerge w:val="restart"/>
          </w:tcPr>
          <w:p>
            <w:pPr>
              <w:ind w:left="100"/>
              <w:spacing w:after="0" w:line="276" w:lineRule="exact"/>
              <w:rPr>
                <w:sz w:val="20"/>
                <w:szCs w:val="20"/>
                <w:color w:val="auto"/>
              </w:rPr>
            </w:pPr>
            <w:r>
              <w:rPr>
                <w:rFonts w:ascii="Arial" w:cs="Arial" w:eastAsia="Arial" w:hAnsi="Arial"/>
                <w:sz w:val="25"/>
                <w:szCs w:val="25"/>
                <w:b w:val="1"/>
                <w:bCs w:val="1"/>
                <w:color w:val="auto"/>
              </w:rPr>
              <w:t>9</w:t>
            </w:r>
          </w:p>
        </w:tc>
        <w:tc>
          <w:tcPr>
            <w:tcW w:w="200" w:type="dxa"/>
            <w:vAlign w:val="bottom"/>
            <w:tcBorders>
              <w:right w:val="single" w:sz="8" w:color="auto"/>
            </w:tcBorders>
          </w:tcPr>
          <w:p>
            <w:pPr>
              <w:spacing w:after="0"/>
              <w:rPr>
                <w:sz w:val="15"/>
                <w:szCs w:val="15"/>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300" w:type="dxa"/>
            <w:vAlign w:val="bottom"/>
            <w:tcBorders>
              <w:left w:val="single" w:sz="8" w:color="auto"/>
            </w:tcBorders>
            <w:gridSpan w:val="3"/>
            <w:vMerge w:val="restart"/>
          </w:tcPr>
          <w:p>
            <w:pPr>
              <w:jc w:val="center"/>
              <w:ind w:left="84"/>
              <w:spacing w:after="0"/>
              <w:rPr>
                <w:sz w:val="20"/>
                <w:szCs w:val="20"/>
                <w:color w:val="auto"/>
              </w:rPr>
            </w:pPr>
            <w:r>
              <w:rPr>
                <w:rFonts w:ascii="Arial" w:cs="Arial" w:eastAsia="Arial" w:hAnsi="Arial"/>
                <w:sz w:val="18"/>
                <w:szCs w:val="18"/>
                <w:color w:val="auto"/>
                <w:w w:val="91"/>
              </w:rPr>
              <w:t>REPORTING</w:t>
            </w:r>
          </w:p>
        </w:tc>
        <w:tc>
          <w:tcPr>
            <w:tcW w:w="200" w:type="dxa"/>
            <w:vAlign w:val="bottom"/>
            <w:tcBorders>
              <w:right w:val="single" w:sz="8" w:color="auto"/>
            </w:tcBorders>
          </w:tcPr>
          <w:p>
            <w:pPr>
              <w:spacing w:after="0"/>
              <w:rPr>
                <w:sz w:val="8"/>
                <w:szCs w:val="8"/>
                <w:color w:val="auto"/>
              </w:rPr>
            </w:pPr>
          </w:p>
        </w:tc>
        <w:tc>
          <w:tcPr>
            <w:tcW w:w="360" w:type="dxa"/>
            <w:vAlign w:val="bottom"/>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00" w:type="dxa"/>
            <w:vAlign w:val="bottom"/>
            <w:tcBorders>
              <w:left w:val="single" w:sz="8" w:color="auto"/>
            </w:tcBorders>
            <w:gridSpan w:val="3"/>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6"/>
              </w:rPr>
              <w:t>1,355,911 shares, of which 1,208,123 are directly owned by AH LSV II, 26,975 are directly owned by AH LSV II-B and</w:t>
            </w:r>
          </w:p>
        </w:tc>
        <w:tc>
          <w:tcPr>
            <w:tcW w:w="0" w:type="dxa"/>
            <w:vAlign w:val="bottom"/>
          </w:tcPr>
          <w:p>
            <w:pPr>
              <w:spacing w:after="0"/>
              <w:rPr>
                <w:sz w:val="1"/>
                <w:szCs w:val="1"/>
                <w:color w:val="auto"/>
              </w:rPr>
            </w:pPr>
          </w:p>
        </w:tc>
      </w:tr>
      <w:tr>
        <w:trPr>
          <w:trHeight w:val="94"/>
        </w:trPr>
        <w:tc>
          <w:tcPr>
            <w:tcW w:w="380" w:type="dxa"/>
            <w:vAlign w:val="bottom"/>
            <w:tcBorders>
              <w:left w:val="single" w:sz="8" w:color="auto"/>
            </w:tcBorders>
          </w:tcPr>
          <w:p>
            <w:pPr>
              <w:spacing w:after="0"/>
              <w:rPr>
                <w:sz w:val="8"/>
                <w:szCs w:val="8"/>
                <w:color w:val="auto"/>
              </w:rPr>
            </w:pPr>
          </w:p>
        </w:tc>
        <w:tc>
          <w:tcPr>
            <w:tcW w:w="9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2"/>
              </w:rPr>
              <w:t>PERSON</w:t>
            </w:r>
          </w:p>
        </w:tc>
        <w:tc>
          <w:tcPr>
            <w:tcW w:w="2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80" w:type="dxa"/>
            <w:vAlign w:val="bottom"/>
            <w:tcBorders>
              <w:left w:val="single" w:sz="8" w:color="auto"/>
            </w:tcBorders>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7"/>
              </w:rPr>
              <w:t>120,813 are directly owned by AH LSV II-Q. AH Equity LSV II, the general partner of AH LSV II, AH LSV II-B and AH</w:t>
            </w:r>
          </w:p>
        </w:tc>
        <w:tc>
          <w:tcPr>
            <w:tcW w:w="0" w:type="dxa"/>
            <w:vAlign w:val="bottom"/>
          </w:tcPr>
          <w:p>
            <w:pPr>
              <w:spacing w:after="0"/>
              <w:rPr>
                <w:sz w:val="1"/>
                <w:szCs w:val="1"/>
                <w:color w:val="auto"/>
              </w:rPr>
            </w:pPr>
          </w:p>
        </w:tc>
      </w:tr>
      <w:tr>
        <w:trPr>
          <w:trHeight w:val="95"/>
        </w:trPr>
        <w:tc>
          <w:tcPr>
            <w:tcW w:w="380" w:type="dxa"/>
            <w:vAlign w:val="bottom"/>
            <w:tcBorders>
              <w:left w:val="single" w:sz="8" w:color="auto"/>
            </w:tcBorders>
          </w:tcPr>
          <w:p>
            <w:pPr>
              <w:spacing w:after="0"/>
              <w:rPr>
                <w:sz w:val="8"/>
                <w:szCs w:val="8"/>
                <w:color w:val="auto"/>
              </w:rPr>
            </w:pPr>
          </w:p>
        </w:tc>
        <w:tc>
          <w:tcPr>
            <w:tcW w:w="9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9"/>
              </w:rPr>
              <w:t>WITH</w:t>
            </w:r>
          </w:p>
        </w:tc>
        <w:tc>
          <w:tcPr>
            <w:tcW w:w="2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80" w:type="dxa"/>
            <w:vAlign w:val="bottom"/>
            <w:tcBorders>
              <w:left w:val="single" w:sz="8" w:color="auto"/>
            </w:tcBorders>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LSV II-Q, may be deemed to have sole power to dispose of these shares, and Andreessen and Horowitz, the managing</w:t>
            </w: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91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members of AH Equity LSV II, may be deemed to have shared power to dispose of these shares.</w:t>
            </w: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60" w:type="dxa"/>
            <w:vAlign w:val="bottom"/>
          </w:tcPr>
          <w:p>
            <w:pPr>
              <w:ind w:left="100"/>
              <w:spacing w:after="0" w:line="276" w:lineRule="exact"/>
              <w:rPr>
                <w:sz w:val="20"/>
                <w:szCs w:val="20"/>
                <w:color w:val="auto"/>
              </w:rPr>
            </w:pPr>
            <w:r>
              <w:rPr>
                <w:rFonts w:ascii="Arial" w:cs="Arial" w:eastAsia="Arial" w:hAnsi="Arial"/>
                <w:sz w:val="25"/>
                <w:szCs w:val="25"/>
                <w:b w:val="1"/>
                <w:bCs w:val="1"/>
                <w:color w:val="auto"/>
                <w:w w:val="86"/>
              </w:rPr>
              <w:t>10</w:t>
            </w:r>
          </w:p>
        </w:tc>
        <w:tc>
          <w:tcPr>
            <w:tcW w:w="20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See response to row 9.</w:t>
            </w: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w w:val="86"/>
              </w:rPr>
              <w:t>11</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2"/>
              </w:rPr>
              <w:t>1,355,911</w:t>
            </w: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ind w:left="120"/>
              <w:spacing w:after="0" w:line="250" w:lineRule="exact"/>
              <w:rPr>
                <w:sz w:val="20"/>
                <w:szCs w:val="20"/>
                <w:color w:val="auto"/>
              </w:rPr>
            </w:pPr>
            <w:r>
              <w:rPr>
                <w:rFonts w:ascii="Arial" w:cs="Arial" w:eastAsia="Arial" w:hAnsi="Arial"/>
                <w:sz w:val="25"/>
                <w:szCs w:val="25"/>
                <w:b w:val="1"/>
                <w:bCs w:val="1"/>
                <w:color w:val="auto"/>
                <w:w w:val="86"/>
              </w:rPr>
              <w:t>12</w:t>
            </w:r>
          </w:p>
        </w:tc>
        <w:tc>
          <w:tcPr>
            <w:tcW w:w="260" w:type="dxa"/>
            <w:vAlign w:val="bottom"/>
            <w:tcBorders>
              <w:right w:val="single" w:sz="8" w:color="auto"/>
            </w:tcBorders>
          </w:tcPr>
          <w:p>
            <w:pPr>
              <w:spacing w:after="0"/>
              <w:rPr>
                <w:sz w:val="21"/>
                <w:szCs w:val="21"/>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57"/>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80" w:type="dxa"/>
            <w:vAlign w:val="bottom"/>
            <w:tcBorders>
              <w:left w:val="single" w:sz="8" w:color="auto"/>
            </w:tcBorders>
          </w:tcPr>
          <w:p>
            <w:pPr>
              <w:ind w:left="120"/>
              <w:spacing w:after="0" w:line="280" w:lineRule="exact"/>
              <w:rPr>
                <w:sz w:val="20"/>
                <w:szCs w:val="20"/>
                <w:color w:val="auto"/>
              </w:rPr>
            </w:pPr>
            <w:r>
              <w:rPr>
                <w:rFonts w:ascii="Arial" w:cs="Arial" w:eastAsia="Arial" w:hAnsi="Arial"/>
                <w:sz w:val="25"/>
                <w:szCs w:val="25"/>
                <w:b w:val="1"/>
                <w:bCs w:val="1"/>
                <w:color w:val="auto"/>
                <w:w w:val="86"/>
              </w:rPr>
              <w:t>13</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67"/>
        </w:trPr>
        <w:tc>
          <w:tcPr>
            <w:tcW w:w="380" w:type="dxa"/>
            <w:vAlign w:val="bottom"/>
            <w:tcBorders>
              <w:left w:val="single" w:sz="8" w:color="auto"/>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tcBorders>
          </w:tcPr>
          <w:p>
            <w:pPr>
              <w:ind w:left="80"/>
              <w:spacing w:after="0" w:line="267" w:lineRule="exact"/>
              <w:rPr>
                <w:sz w:val="20"/>
                <w:szCs w:val="20"/>
                <w:color w:val="auto"/>
              </w:rPr>
            </w:pPr>
            <w:r>
              <w:rPr>
                <w:rFonts w:ascii="Arial" w:cs="Arial" w:eastAsia="Arial" w:hAnsi="Arial"/>
                <w:sz w:val="18"/>
                <w:szCs w:val="18"/>
                <w:color w:val="auto"/>
              </w:rPr>
              <w:t>1.1%</w:t>
            </w:r>
            <w:r>
              <w:rPr>
                <w:rFonts w:ascii="Arial" w:cs="Arial" w:eastAsia="Arial" w:hAnsi="Arial"/>
                <w:sz w:val="29"/>
                <w:szCs w:val="29"/>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78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w w:val="86"/>
              </w:rPr>
              <w:t>14</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firstLine="8"/>
        <w:spacing w:after="0" w:line="207" w:lineRule="auto"/>
        <w:tabs>
          <w:tab w:leader="none" w:pos="112"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Based on 124,045,255 shares of the Issuer’s Common Stock outstanding as of June 9, 2021, as disclosed in the Issuer’s Current Report on Form 8-K filed on June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Page 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462"/>
        </w:trPr>
        <w:tc>
          <w:tcPr>
            <w:tcW w:w="1300" w:type="dxa"/>
            <w:vAlign w:val="bottom"/>
            <w:tcBorders>
              <w:top w:val="single" w:sz="8" w:color="auto"/>
              <w:left w:val="single" w:sz="8" w:color="auto"/>
            </w:tcBorders>
            <w:gridSpan w:val="3"/>
          </w:tcPr>
          <w:p>
            <w:pPr>
              <w:ind w:left="80"/>
              <w:spacing w:after="0"/>
              <w:rPr>
                <w:sz w:val="20"/>
                <w:szCs w:val="20"/>
                <w:color w:val="auto"/>
              </w:rPr>
            </w:pPr>
            <w:r>
              <w:rPr>
                <w:rFonts w:ascii="Arial" w:cs="Arial" w:eastAsia="Arial" w:hAnsi="Arial"/>
                <w:sz w:val="23"/>
                <w:szCs w:val="23"/>
                <w:b w:val="1"/>
                <w:bCs w:val="1"/>
                <w:color w:val="auto"/>
              </w:rPr>
              <w:t>CUSIP No.</w:t>
            </w: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5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63909J108</w:t>
            </w:r>
          </w:p>
        </w:tc>
        <w:tc>
          <w:tcPr>
            <w:tcW w:w="7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380" w:type="dxa"/>
            <w:vAlign w:val="bottom"/>
            <w:tcBorders>
              <w:left w:val="single" w:sz="8" w:color="auto"/>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7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0" w:type="dxa"/>
            <w:vAlign w:val="bottom"/>
            <w:tcBorders>
              <w:bottom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tcBorders>
          </w:tcPr>
          <w:p>
            <w:pPr>
              <w:ind w:left="120"/>
              <w:spacing w:after="0" w:line="238" w:lineRule="exact"/>
              <w:rPr>
                <w:sz w:val="20"/>
                <w:szCs w:val="20"/>
                <w:color w:val="auto"/>
              </w:rPr>
            </w:pPr>
            <w:r>
              <w:rPr>
                <w:rFonts w:ascii="Arial" w:cs="Arial" w:eastAsia="Arial" w:hAnsi="Arial"/>
                <w:sz w:val="25"/>
                <w:szCs w:val="25"/>
                <w:b w:val="1"/>
                <w:bCs w:val="1"/>
                <w:color w:val="auto"/>
              </w:rPr>
              <w:t>1</w:t>
            </w: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54"/>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0600" w:type="dxa"/>
            <w:vAlign w:val="bottom"/>
            <w:tcBorders>
              <w:bottom w:val="single" w:sz="8" w:color="auto"/>
              <w:right w:val="single" w:sz="8" w:color="auto"/>
            </w:tcBorders>
            <w:gridSpan w:val="6"/>
          </w:tcPr>
          <w:p>
            <w:pPr>
              <w:ind w:left="80"/>
              <w:spacing w:after="0"/>
              <w:rPr>
                <w:sz w:val="20"/>
                <w:szCs w:val="20"/>
                <w:color w:val="auto"/>
              </w:rPr>
            </w:pPr>
            <w:r>
              <w:rPr>
                <w:rFonts w:ascii="Arial" w:cs="Arial" w:eastAsia="Arial" w:hAnsi="Arial"/>
                <w:sz w:val="18"/>
                <w:szCs w:val="18"/>
                <w:color w:val="auto"/>
              </w:rPr>
              <w:t>Marc Andreessen (“Andreessen”)</w:t>
            </w: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ind w:left="120"/>
              <w:spacing w:after="0" w:line="232" w:lineRule="exact"/>
              <w:rPr>
                <w:sz w:val="20"/>
                <w:szCs w:val="20"/>
                <w:color w:val="auto"/>
              </w:rPr>
            </w:pPr>
            <w:r>
              <w:rPr>
                <w:rFonts w:ascii="Arial" w:cs="Arial" w:eastAsia="Arial" w:hAnsi="Arial"/>
                <w:sz w:val="25"/>
                <w:szCs w:val="25"/>
                <w:b w:val="1"/>
                <w:bCs w:val="1"/>
                <w:color w:val="auto"/>
              </w:rPr>
              <w:t>2</w:t>
            </w: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174"/>
        </w:trPr>
        <w:tc>
          <w:tcPr>
            <w:tcW w:w="380" w:type="dxa"/>
            <w:vAlign w:val="bottom"/>
            <w:tcBorders>
              <w:left w:val="single" w:sz="8" w:color="auto"/>
            </w:tcBorders>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660" w:type="dxa"/>
            <w:vAlign w:val="bottom"/>
          </w:tcPr>
          <w:p>
            <w:pPr>
              <w:ind w:left="400"/>
              <w:spacing w:after="0" w:line="174" w:lineRule="exact"/>
              <w:rPr>
                <w:sz w:val="20"/>
                <w:szCs w:val="20"/>
                <w:color w:val="auto"/>
              </w:rPr>
            </w:pPr>
            <w:r>
              <w:rPr>
                <w:rFonts w:ascii="Arial" w:cs="Arial" w:eastAsia="Arial" w:hAnsi="Arial"/>
                <w:sz w:val="18"/>
                <w:szCs w:val="18"/>
                <w:color w:val="auto"/>
              </w:rPr>
              <w:t>(a)</w:t>
            </w:r>
          </w:p>
        </w:tc>
        <w:tc>
          <w:tcPr>
            <w:tcW w:w="560" w:type="dxa"/>
            <w:vAlign w:val="bottom"/>
            <w:gridSpan w:val="2"/>
          </w:tcPr>
          <w:p>
            <w:pPr>
              <w:jc w:val="right"/>
              <w:ind w:right="194"/>
              <w:spacing w:after="0" w:line="175"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(b)</w:t>
            </w:r>
          </w:p>
        </w:tc>
        <w:tc>
          <w:tcPr>
            <w:tcW w:w="560" w:type="dxa"/>
            <w:vAlign w:val="bottom"/>
            <w:tcBorders>
              <w:bottom w:val="single" w:sz="8" w:color="auto"/>
            </w:tcBorders>
            <w:gridSpan w:val="2"/>
          </w:tcPr>
          <w:p>
            <w:pPr>
              <w:jc w:val="right"/>
              <w:ind w:right="234"/>
              <w:spacing w:after="0" w:line="181" w:lineRule="exact"/>
              <w:rPr>
                <w:sz w:val="20"/>
                <w:szCs w:val="20"/>
                <w:color w:val="auto"/>
              </w:rPr>
            </w:pPr>
            <w:r>
              <w:rPr>
                <w:rFonts w:ascii="MS PGothic" w:cs="MS PGothic" w:eastAsia="MS PGothic" w:hAnsi="MS PGothic"/>
                <w:sz w:val="18"/>
                <w:szCs w:val="18"/>
                <w:color w:val="auto"/>
                <w:w w:val="99"/>
              </w:rPr>
              <w:t>☒</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6"/>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25"/>
                <w:szCs w:val="25"/>
                <w:b w:val="1"/>
                <w:bCs w:val="1"/>
                <w:color w:val="auto"/>
              </w:rPr>
              <w:t>3</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81"/>
        </w:trPr>
        <w:tc>
          <w:tcPr>
            <w:tcW w:w="380" w:type="dxa"/>
            <w:vAlign w:val="bottom"/>
            <w:tcBorders>
              <w:left w:val="single" w:sz="8" w:color="auto"/>
              <w:bottom w:val="single" w:sz="8" w:color="auto"/>
            </w:tcBorders>
          </w:tcPr>
          <w:p>
            <w:pPr>
              <w:spacing w:after="0"/>
              <w:rPr>
                <w:sz w:val="15"/>
                <w:szCs w:val="15"/>
                <w:color w:val="auto"/>
              </w:rPr>
            </w:pPr>
          </w:p>
        </w:tc>
        <w:tc>
          <w:tcPr>
            <w:tcW w:w="260" w:type="dxa"/>
            <w:vAlign w:val="bottom"/>
            <w:tcBorders>
              <w:bottom w:val="single" w:sz="8" w:color="auto"/>
              <w:right w:val="single" w:sz="8" w:color="auto"/>
            </w:tcBorders>
          </w:tcPr>
          <w:p>
            <w:pPr>
              <w:spacing w:after="0"/>
              <w:rPr>
                <w:sz w:val="15"/>
                <w:szCs w:val="15"/>
                <w:color w:val="auto"/>
              </w:rPr>
            </w:pPr>
          </w:p>
        </w:tc>
        <w:tc>
          <w:tcPr>
            <w:tcW w:w="10600" w:type="dxa"/>
            <w:vAlign w:val="bottom"/>
            <w:tcBorders>
              <w:bottom w:val="single" w:sz="8" w:color="auto"/>
              <w:right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rPr>
              <w:t>4</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AF</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ind w:left="120"/>
              <w:spacing w:after="0" w:line="250" w:lineRule="exact"/>
              <w:rPr>
                <w:sz w:val="20"/>
                <w:szCs w:val="20"/>
                <w:color w:val="auto"/>
              </w:rPr>
            </w:pPr>
            <w:r>
              <w:rPr>
                <w:rFonts w:ascii="Arial" w:cs="Arial" w:eastAsia="Arial" w:hAnsi="Arial"/>
                <w:sz w:val="25"/>
                <w:szCs w:val="25"/>
                <w:b w:val="1"/>
                <w:bCs w:val="1"/>
                <w:color w:val="auto"/>
              </w:rPr>
              <w:t>5</w:t>
            </w:r>
          </w:p>
        </w:tc>
        <w:tc>
          <w:tcPr>
            <w:tcW w:w="260" w:type="dxa"/>
            <w:vAlign w:val="bottom"/>
            <w:tcBorders>
              <w:right w:val="single" w:sz="8" w:color="auto"/>
            </w:tcBorders>
          </w:tcPr>
          <w:p>
            <w:pPr>
              <w:spacing w:after="0"/>
              <w:rPr>
                <w:sz w:val="21"/>
                <w:szCs w:val="21"/>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57"/>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rPr>
              <w:t>6</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U.S. Citizen</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60" w:type="dxa"/>
            <w:vAlign w:val="bottom"/>
          </w:tcPr>
          <w:p>
            <w:pPr>
              <w:ind w:left="100"/>
              <w:spacing w:after="0" w:line="276" w:lineRule="exact"/>
              <w:rPr>
                <w:sz w:val="20"/>
                <w:szCs w:val="20"/>
                <w:color w:val="auto"/>
              </w:rPr>
            </w:pPr>
            <w:r>
              <w:rPr>
                <w:rFonts w:ascii="Arial" w:cs="Arial" w:eastAsia="Arial" w:hAnsi="Arial"/>
                <w:sz w:val="25"/>
                <w:szCs w:val="25"/>
                <w:b w:val="1"/>
                <w:bCs w:val="1"/>
                <w:color w:val="auto"/>
              </w:rPr>
              <w:t>7</w:t>
            </w:r>
          </w:p>
        </w:tc>
        <w:tc>
          <w:tcPr>
            <w:tcW w:w="20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60" w:type="dxa"/>
            <w:vAlign w:val="bottom"/>
          </w:tcPr>
          <w:p>
            <w:pPr>
              <w:ind w:left="100"/>
              <w:spacing w:after="0" w:line="276" w:lineRule="exact"/>
              <w:rPr>
                <w:sz w:val="20"/>
                <w:szCs w:val="20"/>
                <w:color w:val="auto"/>
              </w:rPr>
            </w:pPr>
            <w:r>
              <w:rPr>
                <w:rFonts w:ascii="Arial" w:cs="Arial" w:eastAsia="Arial" w:hAnsi="Arial"/>
                <w:sz w:val="25"/>
                <w:szCs w:val="25"/>
                <w:b w:val="1"/>
                <w:bCs w:val="1"/>
                <w:color w:val="auto"/>
              </w:rPr>
              <w:t>8</w:t>
            </w:r>
          </w:p>
        </w:tc>
        <w:tc>
          <w:tcPr>
            <w:tcW w:w="20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w w:val="97"/>
              </w:rPr>
              <w:t>17,653,917 shares, of which 16,008,410 are directly owned by AH Bio II, 289,596 are directly owned by AH Bio II-B,</w:t>
            </w: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tcBorders>
            <w:gridSpan w:val="3"/>
          </w:tcPr>
          <w:p>
            <w:pPr>
              <w:jc w:val="center"/>
              <w:ind w:left="84"/>
              <w:spacing w:after="0"/>
              <w:rPr>
                <w:sz w:val="20"/>
                <w:szCs w:val="20"/>
                <w:color w:val="auto"/>
              </w:rPr>
            </w:pPr>
            <w:r>
              <w:rPr>
                <w:rFonts w:ascii="Arial" w:cs="Arial" w:eastAsia="Arial" w:hAnsi="Arial"/>
                <w:sz w:val="18"/>
                <w:szCs w:val="18"/>
                <w:color w:val="auto"/>
                <w:w w:val="98"/>
              </w:rPr>
              <w:t>NUMBER OF</w:t>
            </w: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6"/>
              </w:rPr>
              <w:t>1,208,123 are directly owned by AH LSV II, 26,975 are directly owned by AH LSV II-B, and 120,813 are directly owned</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920" w:type="dxa"/>
            <w:vAlign w:val="bottom"/>
            <w:gridSpan w:val="2"/>
          </w:tcPr>
          <w:p>
            <w:pPr>
              <w:jc w:val="center"/>
              <w:ind w:right="90"/>
              <w:spacing w:after="0"/>
              <w:rPr>
                <w:sz w:val="20"/>
                <w:szCs w:val="20"/>
                <w:color w:val="auto"/>
              </w:rPr>
            </w:pPr>
            <w:r>
              <w:rPr>
                <w:rFonts w:ascii="Arial" w:cs="Arial" w:eastAsia="Arial" w:hAnsi="Arial"/>
                <w:sz w:val="18"/>
                <w:szCs w:val="18"/>
                <w:color w:val="auto"/>
                <w:w w:val="94"/>
              </w:rPr>
              <w:t>SHARES</w:t>
            </w: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6"/>
              </w:rPr>
              <w:t>by AH LSV II-Q. Andreessen is a managing member of AH Equity Bio II, the general partner of AH Bio II and AH Bio II-</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7"/>
              </w:rPr>
              <w:t>B, and a managing member of AH Equity LSV II, the general partner of AH LSV II, AH LSV II-B and AH LSV II-Q, and</w:t>
            </w:r>
          </w:p>
        </w:tc>
        <w:tc>
          <w:tcPr>
            <w:tcW w:w="0" w:type="dxa"/>
            <w:vAlign w:val="bottom"/>
          </w:tcPr>
          <w:p>
            <w:pPr>
              <w:spacing w:after="0"/>
              <w:rPr>
                <w:sz w:val="1"/>
                <w:szCs w:val="1"/>
                <w:color w:val="auto"/>
              </w:rPr>
            </w:pPr>
          </w:p>
        </w:tc>
      </w:tr>
      <w:tr>
        <w:trPr>
          <w:trHeight w:val="230"/>
        </w:trPr>
        <w:tc>
          <w:tcPr>
            <w:tcW w:w="1300" w:type="dxa"/>
            <w:vAlign w:val="bottom"/>
            <w:tcBorders>
              <w:left w:val="single" w:sz="8" w:color="auto"/>
            </w:tcBorders>
            <w:gridSpan w:val="3"/>
          </w:tcPr>
          <w:p>
            <w:pPr>
              <w:jc w:val="center"/>
              <w:ind w:left="84"/>
              <w:spacing w:after="0"/>
              <w:rPr>
                <w:sz w:val="20"/>
                <w:szCs w:val="20"/>
                <w:color w:val="auto"/>
              </w:rPr>
            </w:pPr>
            <w:r>
              <w:rPr>
                <w:rFonts w:ascii="Arial" w:cs="Arial" w:eastAsia="Arial" w:hAnsi="Arial"/>
                <w:sz w:val="18"/>
                <w:szCs w:val="18"/>
                <w:color w:val="auto"/>
                <w:w w:val="99"/>
              </w:rPr>
              <w:t>OWNED BY</w:t>
            </w:r>
          </w:p>
        </w:tc>
        <w:tc>
          <w:tcPr>
            <w:tcW w:w="200" w:type="dxa"/>
            <w:vAlign w:val="bottom"/>
            <w:tcBorders>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may be deemed to have shared power to vote these shares.</w:t>
            </w: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920" w:type="dxa"/>
            <w:vAlign w:val="bottom"/>
            <w:gridSpan w:val="2"/>
          </w:tcPr>
          <w:p>
            <w:pPr>
              <w:jc w:val="center"/>
              <w:ind w:right="90"/>
              <w:spacing w:after="0" w:line="182" w:lineRule="exact"/>
              <w:rPr>
                <w:sz w:val="20"/>
                <w:szCs w:val="20"/>
                <w:color w:val="auto"/>
              </w:rPr>
            </w:pPr>
            <w:r>
              <w:rPr>
                <w:rFonts w:ascii="Arial" w:cs="Arial" w:eastAsia="Arial" w:hAnsi="Arial"/>
                <w:sz w:val="18"/>
                <w:szCs w:val="18"/>
                <w:color w:val="auto"/>
                <w:w w:val="99"/>
              </w:rPr>
              <w:t>EACH</w:t>
            </w:r>
          </w:p>
        </w:tc>
        <w:tc>
          <w:tcPr>
            <w:tcW w:w="200" w:type="dxa"/>
            <w:vAlign w:val="bottom"/>
            <w:tcBorders>
              <w:right w:val="single" w:sz="8" w:color="auto"/>
            </w:tcBorders>
          </w:tcPr>
          <w:p>
            <w:pPr>
              <w:spacing w:after="0"/>
              <w:rPr>
                <w:sz w:val="15"/>
                <w:szCs w:val="15"/>
                <w:color w:val="auto"/>
              </w:rPr>
            </w:pPr>
          </w:p>
        </w:tc>
        <w:tc>
          <w:tcPr>
            <w:tcW w:w="360" w:type="dxa"/>
            <w:vAlign w:val="bottom"/>
            <w:vMerge w:val="restart"/>
          </w:tcPr>
          <w:p>
            <w:pPr>
              <w:ind w:left="100"/>
              <w:spacing w:after="0" w:line="276" w:lineRule="exact"/>
              <w:rPr>
                <w:sz w:val="20"/>
                <w:szCs w:val="20"/>
                <w:color w:val="auto"/>
              </w:rPr>
            </w:pPr>
            <w:r>
              <w:rPr>
                <w:rFonts w:ascii="Arial" w:cs="Arial" w:eastAsia="Arial" w:hAnsi="Arial"/>
                <w:sz w:val="25"/>
                <w:szCs w:val="25"/>
                <w:b w:val="1"/>
                <w:bCs w:val="1"/>
                <w:color w:val="auto"/>
              </w:rPr>
              <w:t>9</w:t>
            </w:r>
          </w:p>
        </w:tc>
        <w:tc>
          <w:tcPr>
            <w:tcW w:w="200" w:type="dxa"/>
            <w:vAlign w:val="bottom"/>
            <w:tcBorders>
              <w:right w:val="single" w:sz="8" w:color="auto"/>
            </w:tcBorders>
          </w:tcPr>
          <w:p>
            <w:pPr>
              <w:spacing w:after="0"/>
              <w:rPr>
                <w:sz w:val="15"/>
                <w:szCs w:val="15"/>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1300" w:type="dxa"/>
            <w:vAlign w:val="bottom"/>
            <w:tcBorders>
              <w:left w:val="single" w:sz="8" w:color="auto"/>
            </w:tcBorders>
            <w:gridSpan w:val="3"/>
            <w:vMerge w:val="restart"/>
          </w:tcPr>
          <w:p>
            <w:pPr>
              <w:jc w:val="center"/>
              <w:ind w:left="84"/>
              <w:spacing w:after="0"/>
              <w:rPr>
                <w:sz w:val="20"/>
                <w:szCs w:val="20"/>
                <w:color w:val="auto"/>
              </w:rPr>
            </w:pPr>
            <w:r>
              <w:rPr>
                <w:rFonts w:ascii="Arial" w:cs="Arial" w:eastAsia="Arial" w:hAnsi="Arial"/>
                <w:sz w:val="18"/>
                <w:szCs w:val="18"/>
                <w:color w:val="auto"/>
                <w:w w:val="91"/>
              </w:rPr>
              <w:t>REPORTING</w:t>
            </w:r>
          </w:p>
        </w:tc>
        <w:tc>
          <w:tcPr>
            <w:tcW w:w="200" w:type="dxa"/>
            <w:vAlign w:val="bottom"/>
            <w:tcBorders>
              <w:right w:val="single" w:sz="8" w:color="auto"/>
            </w:tcBorders>
          </w:tcPr>
          <w:p>
            <w:pPr>
              <w:spacing w:after="0"/>
              <w:rPr>
                <w:sz w:val="8"/>
                <w:szCs w:val="8"/>
                <w:color w:val="auto"/>
              </w:rPr>
            </w:pPr>
          </w:p>
        </w:tc>
        <w:tc>
          <w:tcPr>
            <w:tcW w:w="360" w:type="dxa"/>
            <w:vAlign w:val="bottom"/>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00" w:type="dxa"/>
            <w:vAlign w:val="bottom"/>
            <w:tcBorders>
              <w:left w:val="single" w:sz="8" w:color="auto"/>
            </w:tcBorders>
            <w:gridSpan w:val="3"/>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09"/>
        </w:trPr>
        <w:tc>
          <w:tcPr>
            <w:tcW w:w="380" w:type="dxa"/>
            <w:vAlign w:val="bottom"/>
            <w:tcBorders>
              <w:left w:val="single" w:sz="8" w:color="auto"/>
            </w:tcBorders>
          </w:tcPr>
          <w:p>
            <w:pPr>
              <w:spacing w:after="0"/>
              <w:rPr>
                <w:sz w:val="9"/>
                <w:szCs w:val="9"/>
                <w:color w:val="auto"/>
              </w:rPr>
            </w:pPr>
          </w:p>
        </w:tc>
        <w:tc>
          <w:tcPr>
            <w:tcW w:w="9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2"/>
              </w:rPr>
              <w:t>PERSON</w:t>
            </w:r>
          </w:p>
        </w:tc>
        <w:tc>
          <w:tcPr>
            <w:tcW w:w="200" w:type="dxa"/>
            <w:vAlign w:val="bottom"/>
            <w:tcBorders>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9180" w:type="dxa"/>
            <w:vAlign w:val="bottom"/>
            <w:tcBorders>
              <w:bottom w:val="single" w:sz="8" w:color="auto"/>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80" w:type="dxa"/>
            <w:vAlign w:val="bottom"/>
            <w:tcBorders>
              <w:left w:val="single" w:sz="8" w:color="auto"/>
            </w:tcBorders>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360" w:type="dxa"/>
            <w:vAlign w:val="bottom"/>
            <w:vMerge w:val="restart"/>
          </w:tcPr>
          <w:p>
            <w:pPr>
              <w:ind w:left="100"/>
              <w:spacing w:after="0" w:line="276" w:lineRule="exact"/>
              <w:rPr>
                <w:sz w:val="20"/>
                <w:szCs w:val="20"/>
                <w:color w:val="auto"/>
              </w:rPr>
            </w:pPr>
            <w:r>
              <w:rPr>
                <w:rFonts w:ascii="Arial" w:cs="Arial" w:eastAsia="Arial" w:hAnsi="Arial"/>
                <w:sz w:val="25"/>
                <w:szCs w:val="25"/>
                <w:b w:val="1"/>
                <w:bCs w:val="1"/>
                <w:color w:val="auto"/>
                <w:w w:val="86"/>
              </w:rPr>
              <w:t>10</w:t>
            </w:r>
          </w:p>
        </w:tc>
        <w:tc>
          <w:tcPr>
            <w:tcW w:w="200" w:type="dxa"/>
            <w:vAlign w:val="bottom"/>
            <w:tcBorders>
              <w:right w:val="single" w:sz="8" w:color="auto"/>
            </w:tcBorders>
          </w:tcPr>
          <w:p>
            <w:pPr>
              <w:spacing w:after="0"/>
              <w:rPr>
                <w:sz w:val="7"/>
                <w:szCs w:val="7"/>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9"/>
        </w:trPr>
        <w:tc>
          <w:tcPr>
            <w:tcW w:w="380" w:type="dxa"/>
            <w:vAlign w:val="bottom"/>
            <w:tcBorders>
              <w:left w:val="single" w:sz="8" w:color="auto"/>
            </w:tcBorders>
          </w:tcPr>
          <w:p>
            <w:pPr>
              <w:spacing w:after="0"/>
              <w:rPr>
                <w:sz w:val="16"/>
                <w:szCs w:val="16"/>
                <w:color w:val="auto"/>
              </w:rPr>
            </w:pPr>
          </w:p>
        </w:tc>
        <w:tc>
          <w:tcPr>
            <w:tcW w:w="920" w:type="dxa"/>
            <w:vAlign w:val="bottom"/>
            <w:gridSpan w:val="2"/>
          </w:tcPr>
          <w:p>
            <w:pPr>
              <w:jc w:val="center"/>
              <w:ind w:right="90"/>
              <w:spacing w:after="0" w:line="189" w:lineRule="exact"/>
              <w:rPr>
                <w:sz w:val="20"/>
                <w:szCs w:val="20"/>
                <w:color w:val="auto"/>
              </w:rPr>
            </w:pPr>
            <w:r>
              <w:rPr>
                <w:rFonts w:ascii="Arial" w:cs="Arial" w:eastAsia="Arial" w:hAnsi="Arial"/>
                <w:sz w:val="18"/>
                <w:szCs w:val="18"/>
                <w:color w:val="auto"/>
                <w:w w:val="99"/>
              </w:rPr>
              <w:t>WITH</w:t>
            </w:r>
          </w:p>
        </w:tc>
        <w:tc>
          <w:tcPr>
            <w:tcW w:w="200" w:type="dxa"/>
            <w:vAlign w:val="bottom"/>
            <w:tcBorders>
              <w:right w:val="single" w:sz="8" w:color="auto"/>
            </w:tcBorders>
          </w:tcPr>
          <w:p>
            <w:pPr>
              <w:spacing w:after="0"/>
              <w:rPr>
                <w:sz w:val="16"/>
                <w:szCs w:val="16"/>
                <w:color w:val="auto"/>
              </w:rPr>
            </w:pPr>
          </w:p>
        </w:tc>
        <w:tc>
          <w:tcPr>
            <w:tcW w:w="36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918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8"/>
              </w:rPr>
              <w:t>17,653,917 shares, of which 16,008,410 are directly owned by AH Bio II, 289,596 are directly owned by AH Bio II-B,</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6"/>
              </w:rPr>
              <w:t>1,208,123 are directly owned by AH LSV II, 26,975 are directly owned by AH LSV II-B, and 120,813 are directly owned</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6"/>
              </w:rPr>
              <w:t>by AH LSV II-Q. Andreessen is a managing member of AH Equity Bio II, the general partner of AH Bio II and AH Bio II-</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7"/>
              </w:rPr>
              <w:t>B, and a managing member of AH Equity LSV II, the general partner of AH LSV II, AH LSV II-B and AH LSV II-Q, and</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may be deemed to have shared power to dispose of these shares.</w:t>
            </w: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w w:val="86"/>
              </w:rPr>
              <w:t>11</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8"/>
                <w:szCs w:val="18"/>
                <w:color w:val="auto"/>
                <w:w w:val="97"/>
              </w:rPr>
              <w:t>17,653,917</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ind w:left="120"/>
              <w:spacing w:after="0" w:line="250" w:lineRule="exact"/>
              <w:rPr>
                <w:sz w:val="20"/>
                <w:szCs w:val="20"/>
                <w:color w:val="auto"/>
              </w:rPr>
            </w:pPr>
            <w:r>
              <w:rPr>
                <w:rFonts w:ascii="Arial" w:cs="Arial" w:eastAsia="Arial" w:hAnsi="Arial"/>
                <w:sz w:val="25"/>
                <w:szCs w:val="25"/>
                <w:b w:val="1"/>
                <w:bCs w:val="1"/>
                <w:color w:val="auto"/>
                <w:w w:val="86"/>
              </w:rPr>
              <w:t>12</w:t>
            </w:r>
          </w:p>
        </w:tc>
        <w:tc>
          <w:tcPr>
            <w:tcW w:w="260" w:type="dxa"/>
            <w:vAlign w:val="bottom"/>
            <w:tcBorders>
              <w:right w:val="single" w:sz="8" w:color="auto"/>
            </w:tcBorders>
          </w:tcPr>
          <w:p>
            <w:pPr>
              <w:spacing w:after="0"/>
              <w:rPr>
                <w:sz w:val="21"/>
                <w:szCs w:val="21"/>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57"/>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80" w:type="dxa"/>
            <w:vAlign w:val="bottom"/>
            <w:tcBorders>
              <w:left w:val="single" w:sz="8" w:color="auto"/>
            </w:tcBorders>
          </w:tcPr>
          <w:p>
            <w:pPr>
              <w:ind w:left="120"/>
              <w:spacing w:after="0" w:line="280" w:lineRule="exact"/>
              <w:rPr>
                <w:sz w:val="20"/>
                <w:szCs w:val="20"/>
                <w:color w:val="auto"/>
              </w:rPr>
            </w:pPr>
            <w:r>
              <w:rPr>
                <w:rFonts w:ascii="Arial" w:cs="Arial" w:eastAsia="Arial" w:hAnsi="Arial"/>
                <w:sz w:val="25"/>
                <w:szCs w:val="25"/>
                <w:b w:val="1"/>
                <w:bCs w:val="1"/>
                <w:color w:val="auto"/>
                <w:w w:val="86"/>
              </w:rPr>
              <w:t>13</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67"/>
        </w:trPr>
        <w:tc>
          <w:tcPr>
            <w:tcW w:w="380" w:type="dxa"/>
            <w:vAlign w:val="bottom"/>
            <w:tcBorders>
              <w:left w:val="single" w:sz="8" w:color="auto"/>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tcBorders>
          </w:tcPr>
          <w:p>
            <w:pPr>
              <w:ind w:left="80"/>
              <w:spacing w:after="0" w:line="267" w:lineRule="exact"/>
              <w:rPr>
                <w:sz w:val="20"/>
                <w:szCs w:val="20"/>
                <w:color w:val="auto"/>
              </w:rPr>
            </w:pPr>
            <w:r>
              <w:rPr>
                <w:rFonts w:ascii="Arial" w:cs="Arial" w:eastAsia="Arial" w:hAnsi="Arial"/>
                <w:sz w:val="18"/>
                <w:szCs w:val="18"/>
                <w:color w:val="auto"/>
                <w:w w:val="90"/>
              </w:rPr>
              <w:t>14.2%</w:t>
            </w:r>
            <w:r>
              <w:rPr>
                <w:rFonts w:ascii="Arial" w:cs="Arial" w:eastAsia="Arial" w:hAnsi="Arial"/>
                <w:sz w:val="29"/>
                <w:szCs w:val="29"/>
                <w:color w:val="auto"/>
                <w:w w:val="90"/>
                <w:vertAlign w:val="superscript"/>
              </w:rPr>
              <w:t>1</w:t>
            </w:r>
          </w:p>
        </w:tc>
        <w:tc>
          <w:tcPr>
            <w:tcW w:w="2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78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w w:val="86"/>
              </w:rPr>
              <w:t>14</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firstLine="8"/>
        <w:spacing w:after="0" w:line="207" w:lineRule="auto"/>
        <w:tabs>
          <w:tab w:leader="none" w:pos="112" w:val="left"/>
        </w:tabs>
        <w:numPr>
          <w:ilvl w:val="0"/>
          <w:numId w:val="8"/>
        </w:numPr>
        <w:rPr>
          <w:rFonts w:ascii="Arial" w:cs="Arial" w:eastAsia="Arial" w:hAnsi="Arial"/>
          <w:sz w:val="28"/>
          <w:szCs w:val="28"/>
          <w:color w:val="auto"/>
          <w:vertAlign w:val="superscript"/>
        </w:rPr>
      </w:pPr>
      <w:r>
        <w:rPr>
          <w:rFonts w:ascii="Arial" w:cs="Arial" w:eastAsia="Arial" w:hAnsi="Arial"/>
          <w:sz w:val="17"/>
          <w:szCs w:val="17"/>
          <w:color w:val="auto"/>
        </w:rPr>
        <w:t>Based on 124,045,255 shares of the Issuer’s Common Stock outstanding as of June 9, 2021, as disclosed in the Issuer’s Current Report on Form 8-K filed on June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Page 9</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462"/>
        </w:trPr>
        <w:tc>
          <w:tcPr>
            <w:tcW w:w="1300" w:type="dxa"/>
            <w:vAlign w:val="bottom"/>
            <w:tcBorders>
              <w:top w:val="single" w:sz="8" w:color="auto"/>
              <w:left w:val="single" w:sz="8" w:color="auto"/>
            </w:tcBorders>
            <w:gridSpan w:val="3"/>
          </w:tcPr>
          <w:p>
            <w:pPr>
              <w:ind w:left="80"/>
              <w:spacing w:after="0"/>
              <w:rPr>
                <w:sz w:val="20"/>
                <w:szCs w:val="20"/>
                <w:color w:val="auto"/>
              </w:rPr>
            </w:pPr>
            <w:r>
              <w:rPr>
                <w:rFonts w:ascii="Arial" w:cs="Arial" w:eastAsia="Arial" w:hAnsi="Arial"/>
                <w:sz w:val="23"/>
                <w:szCs w:val="23"/>
                <w:b w:val="1"/>
                <w:bCs w:val="1"/>
                <w:color w:val="auto"/>
              </w:rPr>
              <w:t>CUSIP No.</w:t>
            </w: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5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63909J108</w:t>
            </w:r>
          </w:p>
        </w:tc>
        <w:tc>
          <w:tcPr>
            <w:tcW w:w="7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380" w:type="dxa"/>
            <w:vAlign w:val="bottom"/>
            <w:tcBorders>
              <w:left w:val="single" w:sz="8" w:color="auto"/>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7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0" w:type="dxa"/>
            <w:vAlign w:val="bottom"/>
            <w:tcBorders>
              <w:bottom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tcBorders>
          </w:tcPr>
          <w:p>
            <w:pPr>
              <w:ind w:left="120"/>
              <w:spacing w:after="0" w:line="238" w:lineRule="exact"/>
              <w:rPr>
                <w:sz w:val="20"/>
                <w:szCs w:val="20"/>
                <w:color w:val="auto"/>
              </w:rPr>
            </w:pPr>
            <w:r>
              <w:rPr>
                <w:rFonts w:ascii="Arial" w:cs="Arial" w:eastAsia="Arial" w:hAnsi="Arial"/>
                <w:sz w:val="25"/>
                <w:szCs w:val="25"/>
                <w:b w:val="1"/>
                <w:bCs w:val="1"/>
                <w:color w:val="auto"/>
              </w:rPr>
              <w:t>1</w:t>
            </w: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54"/>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10600" w:type="dxa"/>
            <w:vAlign w:val="bottom"/>
            <w:tcBorders>
              <w:bottom w:val="single" w:sz="8" w:color="auto"/>
              <w:right w:val="single" w:sz="8" w:color="auto"/>
            </w:tcBorders>
            <w:gridSpan w:val="6"/>
          </w:tcPr>
          <w:p>
            <w:pPr>
              <w:ind w:left="80"/>
              <w:spacing w:after="0"/>
              <w:rPr>
                <w:sz w:val="20"/>
                <w:szCs w:val="20"/>
                <w:color w:val="auto"/>
              </w:rPr>
            </w:pPr>
            <w:r>
              <w:rPr>
                <w:rFonts w:ascii="Arial" w:cs="Arial" w:eastAsia="Arial" w:hAnsi="Arial"/>
                <w:sz w:val="18"/>
                <w:szCs w:val="18"/>
                <w:color w:val="auto"/>
              </w:rPr>
              <w:t>Benjamin Horowitz (“Horowitz”)</w:t>
            </w: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ind w:left="120"/>
              <w:spacing w:after="0" w:line="232" w:lineRule="exact"/>
              <w:rPr>
                <w:sz w:val="20"/>
                <w:szCs w:val="20"/>
                <w:color w:val="auto"/>
              </w:rPr>
            </w:pPr>
            <w:r>
              <w:rPr>
                <w:rFonts w:ascii="Arial" w:cs="Arial" w:eastAsia="Arial" w:hAnsi="Arial"/>
                <w:sz w:val="25"/>
                <w:szCs w:val="25"/>
                <w:b w:val="1"/>
                <w:bCs w:val="1"/>
                <w:color w:val="auto"/>
              </w:rPr>
              <w:t>2</w:t>
            </w:r>
          </w:p>
        </w:tc>
        <w:tc>
          <w:tcPr>
            <w:tcW w:w="2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174"/>
        </w:trPr>
        <w:tc>
          <w:tcPr>
            <w:tcW w:w="380" w:type="dxa"/>
            <w:vAlign w:val="bottom"/>
            <w:tcBorders>
              <w:left w:val="single" w:sz="8" w:color="auto"/>
            </w:tcBorders>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660" w:type="dxa"/>
            <w:vAlign w:val="bottom"/>
          </w:tcPr>
          <w:p>
            <w:pPr>
              <w:ind w:left="400"/>
              <w:spacing w:after="0" w:line="174" w:lineRule="exact"/>
              <w:rPr>
                <w:sz w:val="20"/>
                <w:szCs w:val="20"/>
                <w:color w:val="auto"/>
              </w:rPr>
            </w:pPr>
            <w:r>
              <w:rPr>
                <w:rFonts w:ascii="Arial" w:cs="Arial" w:eastAsia="Arial" w:hAnsi="Arial"/>
                <w:sz w:val="18"/>
                <w:szCs w:val="18"/>
                <w:color w:val="auto"/>
              </w:rPr>
              <w:t>(a)</w:t>
            </w:r>
          </w:p>
        </w:tc>
        <w:tc>
          <w:tcPr>
            <w:tcW w:w="560" w:type="dxa"/>
            <w:vAlign w:val="bottom"/>
            <w:gridSpan w:val="2"/>
          </w:tcPr>
          <w:p>
            <w:pPr>
              <w:ind w:left="20"/>
              <w:spacing w:after="0" w:line="175"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(b)</w:t>
            </w:r>
          </w:p>
        </w:tc>
        <w:tc>
          <w:tcPr>
            <w:tcW w:w="56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6"/>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25"/>
                <w:szCs w:val="25"/>
                <w:b w:val="1"/>
                <w:bCs w:val="1"/>
                <w:color w:val="auto"/>
              </w:rPr>
              <w:t>3</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bottom w:val="single" w:sz="8" w:color="auto"/>
            </w:tcBorders>
          </w:tcPr>
          <w:p>
            <w:pPr>
              <w:spacing w:after="0"/>
              <w:rPr>
                <w:sz w:val="15"/>
                <w:szCs w:val="15"/>
                <w:color w:val="auto"/>
              </w:rPr>
            </w:pPr>
          </w:p>
        </w:tc>
        <w:tc>
          <w:tcPr>
            <w:tcW w:w="260" w:type="dxa"/>
            <w:vAlign w:val="bottom"/>
            <w:tcBorders>
              <w:bottom w:val="single" w:sz="8" w:color="auto"/>
              <w:right w:val="single" w:sz="8" w:color="auto"/>
            </w:tcBorders>
          </w:tcPr>
          <w:p>
            <w:pPr>
              <w:spacing w:after="0"/>
              <w:rPr>
                <w:sz w:val="15"/>
                <w:szCs w:val="15"/>
                <w:color w:val="auto"/>
              </w:rPr>
            </w:pPr>
          </w:p>
        </w:tc>
        <w:tc>
          <w:tcPr>
            <w:tcW w:w="10600" w:type="dxa"/>
            <w:vAlign w:val="bottom"/>
            <w:tcBorders>
              <w:bottom w:val="single" w:sz="8" w:color="auto"/>
              <w:right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rPr>
              <w:t>4</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AF</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ind w:left="120"/>
              <w:spacing w:after="0" w:line="250" w:lineRule="exact"/>
              <w:rPr>
                <w:sz w:val="20"/>
                <w:szCs w:val="20"/>
                <w:color w:val="auto"/>
              </w:rPr>
            </w:pPr>
            <w:r>
              <w:rPr>
                <w:rFonts w:ascii="Arial" w:cs="Arial" w:eastAsia="Arial" w:hAnsi="Arial"/>
                <w:sz w:val="25"/>
                <w:szCs w:val="25"/>
                <w:b w:val="1"/>
                <w:bCs w:val="1"/>
                <w:color w:val="auto"/>
              </w:rPr>
              <w:t>5</w:t>
            </w:r>
          </w:p>
        </w:tc>
        <w:tc>
          <w:tcPr>
            <w:tcW w:w="260" w:type="dxa"/>
            <w:vAlign w:val="bottom"/>
            <w:tcBorders>
              <w:right w:val="single" w:sz="8" w:color="auto"/>
            </w:tcBorders>
          </w:tcPr>
          <w:p>
            <w:pPr>
              <w:spacing w:after="0"/>
              <w:rPr>
                <w:sz w:val="21"/>
                <w:szCs w:val="21"/>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56"/>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rPr>
              <w:t>6</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U.S. Citizen</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60" w:type="dxa"/>
            <w:vAlign w:val="bottom"/>
          </w:tcPr>
          <w:p>
            <w:pPr>
              <w:ind w:left="100"/>
              <w:spacing w:after="0" w:line="276" w:lineRule="exact"/>
              <w:rPr>
                <w:sz w:val="20"/>
                <w:szCs w:val="20"/>
                <w:color w:val="auto"/>
              </w:rPr>
            </w:pPr>
            <w:r>
              <w:rPr>
                <w:rFonts w:ascii="Arial" w:cs="Arial" w:eastAsia="Arial" w:hAnsi="Arial"/>
                <w:sz w:val="25"/>
                <w:szCs w:val="25"/>
                <w:b w:val="1"/>
                <w:bCs w:val="1"/>
                <w:color w:val="auto"/>
              </w:rPr>
              <w:t>7</w:t>
            </w:r>
          </w:p>
        </w:tc>
        <w:tc>
          <w:tcPr>
            <w:tcW w:w="20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60" w:type="dxa"/>
            <w:vAlign w:val="bottom"/>
          </w:tcPr>
          <w:p>
            <w:pPr>
              <w:ind w:left="100"/>
              <w:spacing w:after="0" w:line="276" w:lineRule="exact"/>
              <w:rPr>
                <w:sz w:val="20"/>
                <w:szCs w:val="20"/>
                <w:color w:val="auto"/>
              </w:rPr>
            </w:pPr>
            <w:r>
              <w:rPr>
                <w:rFonts w:ascii="Arial" w:cs="Arial" w:eastAsia="Arial" w:hAnsi="Arial"/>
                <w:sz w:val="25"/>
                <w:szCs w:val="25"/>
                <w:b w:val="1"/>
                <w:bCs w:val="1"/>
                <w:color w:val="auto"/>
              </w:rPr>
              <w:t>8</w:t>
            </w:r>
          </w:p>
        </w:tc>
        <w:tc>
          <w:tcPr>
            <w:tcW w:w="20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8"/>
              </w:rPr>
              <w:t>17,653,917 shares, of which 16,008,410 are directly owned by AH Bio II, 289,596 are directly owned by AH Bio II-B,</w:t>
            </w: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tcBorders>
            <w:gridSpan w:val="3"/>
          </w:tcPr>
          <w:p>
            <w:pPr>
              <w:jc w:val="center"/>
              <w:ind w:left="84"/>
              <w:spacing w:after="0"/>
              <w:rPr>
                <w:sz w:val="20"/>
                <w:szCs w:val="20"/>
                <w:color w:val="auto"/>
              </w:rPr>
            </w:pPr>
            <w:r>
              <w:rPr>
                <w:rFonts w:ascii="Arial" w:cs="Arial" w:eastAsia="Arial" w:hAnsi="Arial"/>
                <w:sz w:val="18"/>
                <w:szCs w:val="18"/>
                <w:color w:val="auto"/>
                <w:w w:val="98"/>
              </w:rPr>
              <w:t>NUMBER OF</w:t>
            </w: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6"/>
              </w:rPr>
              <w:t>1,208,123 are directly owned by AH LSV II, 26,975 are directly owned by AH LSV II-B, and 120,813 are directly owned</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920" w:type="dxa"/>
            <w:vAlign w:val="bottom"/>
            <w:gridSpan w:val="2"/>
          </w:tcPr>
          <w:p>
            <w:pPr>
              <w:jc w:val="center"/>
              <w:ind w:right="90"/>
              <w:spacing w:after="0"/>
              <w:rPr>
                <w:sz w:val="20"/>
                <w:szCs w:val="20"/>
                <w:color w:val="auto"/>
              </w:rPr>
            </w:pPr>
            <w:r>
              <w:rPr>
                <w:rFonts w:ascii="Arial" w:cs="Arial" w:eastAsia="Arial" w:hAnsi="Arial"/>
                <w:sz w:val="18"/>
                <w:szCs w:val="18"/>
                <w:color w:val="auto"/>
                <w:w w:val="94"/>
              </w:rPr>
              <w:t>SHARES</w:t>
            </w: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6"/>
              </w:rPr>
              <w:t>by AH LSV II-Q. Horowitz is a managing member of AH Equity Bio II, the general partner of AH Bio II and AH Bio II-B,</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and a managing member of AH Equity LSV II, the general partner of AH LSV II, AH LSV II-B and AH LSV II-Q, and may</w:t>
            </w:r>
          </w:p>
        </w:tc>
        <w:tc>
          <w:tcPr>
            <w:tcW w:w="0" w:type="dxa"/>
            <w:vAlign w:val="bottom"/>
          </w:tcPr>
          <w:p>
            <w:pPr>
              <w:spacing w:after="0"/>
              <w:rPr>
                <w:sz w:val="1"/>
                <w:szCs w:val="1"/>
                <w:color w:val="auto"/>
              </w:rPr>
            </w:pPr>
          </w:p>
        </w:tc>
      </w:tr>
      <w:tr>
        <w:trPr>
          <w:trHeight w:val="230"/>
        </w:trPr>
        <w:tc>
          <w:tcPr>
            <w:tcW w:w="1300" w:type="dxa"/>
            <w:vAlign w:val="bottom"/>
            <w:tcBorders>
              <w:left w:val="single" w:sz="8" w:color="auto"/>
            </w:tcBorders>
            <w:gridSpan w:val="3"/>
          </w:tcPr>
          <w:p>
            <w:pPr>
              <w:jc w:val="center"/>
              <w:ind w:left="84"/>
              <w:spacing w:after="0"/>
              <w:rPr>
                <w:sz w:val="20"/>
                <w:szCs w:val="20"/>
                <w:color w:val="auto"/>
              </w:rPr>
            </w:pPr>
            <w:r>
              <w:rPr>
                <w:rFonts w:ascii="Arial" w:cs="Arial" w:eastAsia="Arial" w:hAnsi="Arial"/>
                <w:sz w:val="18"/>
                <w:szCs w:val="18"/>
                <w:color w:val="auto"/>
                <w:w w:val="99"/>
              </w:rPr>
              <w:t>OWNED BY</w:t>
            </w:r>
          </w:p>
        </w:tc>
        <w:tc>
          <w:tcPr>
            <w:tcW w:w="200" w:type="dxa"/>
            <w:vAlign w:val="bottom"/>
            <w:tcBorders>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 deemed to have shared power to vote these shares.</w:t>
            </w: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920" w:type="dxa"/>
            <w:vAlign w:val="bottom"/>
            <w:gridSpan w:val="2"/>
          </w:tcPr>
          <w:p>
            <w:pPr>
              <w:jc w:val="center"/>
              <w:ind w:right="90"/>
              <w:spacing w:after="0" w:line="182" w:lineRule="exact"/>
              <w:rPr>
                <w:sz w:val="20"/>
                <w:szCs w:val="20"/>
                <w:color w:val="auto"/>
              </w:rPr>
            </w:pPr>
            <w:r>
              <w:rPr>
                <w:rFonts w:ascii="Arial" w:cs="Arial" w:eastAsia="Arial" w:hAnsi="Arial"/>
                <w:sz w:val="18"/>
                <w:szCs w:val="18"/>
                <w:color w:val="auto"/>
                <w:w w:val="99"/>
              </w:rPr>
              <w:t>EACH</w:t>
            </w:r>
          </w:p>
        </w:tc>
        <w:tc>
          <w:tcPr>
            <w:tcW w:w="200" w:type="dxa"/>
            <w:vAlign w:val="bottom"/>
            <w:tcBorders>
              <w:right w:val="single" w:sz="8" w:color="auto"/>
            </w:tcBorders>
          </w:tcPr>
          <w:p>
            <w:pPr>
              <w:spacing w:after="0"/>
              <w:rPr>
                <w:sz w:val="15"/>
                <w:szCs w:val="15"/>
                <w:color w:val="auto"/>
              </w:rPr>
            </w:pPr>
          </w:p>
        </w:tc>
        <w:tc>
          <w:tcPr>
            <w:tcW w:w="360" w:type="dxa"/>
            <w:vAlign w:val="bottom"/>
            <w:vMerge w:val="restart"/>
          </w:tcPr>
          <w:p>
            <w:pPr>
              <w:ind w:left="100"/>
              <w:spacing w:after="0" w:line="276" w:lineRule="exact"/>
              <w:rPr>
                <w:sz w:val="20"/>
                <w:szCs w:val="20"/>
                <w:color w:val="auto"/>
              </w:rPr>
            </w:pPr>
            <w:r>
              <w:rPr>
                <w:rFonts w:ascii="Arial" w:cs="Arial" w:eastAsia="Arial" w:hAnsi="Arial"/>
                <w:sz w:val="25"/>
                <w:szCs w:val="25"/>
                <w:b w:val="1"/>
                <w:bCs w:val="1"/>
                <w:color w:val="auto"/>
              </w:rPr>
              <w:t>9</w:t>
            </w:r>
          </w:p>
        </w:tc>
        <w:tc>
          <w:tcPr>
            <w:tcW w:w="200" w:type="dxa"/>
            <w:vAlign w:val="bottom"/>
            <w:tcBorders>
              <w:right w:val="single" w:sz="8" w:color="auto"/>
            </w:tcBorders>
          </w:tcPr>
          <w:p>
            <w:pPr>
              <w:spacing w:after="0"/>
              <w:rPr>
                <w:sz w:val="15"/>
                <w:szCs w:val="15"/>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1300" w:type="dxa"/>
            <w:vAlign w:val="bottom"/>
            <w:tcBorders>
              <w:left w:val="single" w:sz="8" w:color="auto"/>
            </w:tcBorders>
            <w:gridSpan w:val="3"/>
            <w:vMerge w:val="restart"/>
          </w:tcPr>
          <w:p>
            <w:pPr>
              <w:jc w:val="center"/>
              <w:ind w:left="84"/>
              <w:spacing w:after="0"/>
              <w:rPr>
                <w:sz w:val="20"/>
                <w:szCs w:val="20"/>
                <w:color w:val="auto"/>
              </w:rPr>
            </w:pPr>
            <w:r>
              <w:rPr>
                <w:rFonts w:ascii="Arial" w:cs="Arial" w:eastAsia="Arial" w:hAnsi="Arial"/>
                <w:sz w:val="18"/>
                <w:szCs w:val="18"/>
                <w:color w:val="auto"/>
                <w:w w:val="91"/>
              </w:rPr>
              <w:t>REPORTING</w:t>
            </w:r>
          </w:p>
        </w:tc>
        <w:tc>
          <w:tcPr>
            <w:tcW w:w="200" w:type="dxa"/>
            <w:vAlign w:val="bottom"/>
            <w:tcBorders>
              <w:right w:val="single" w:sz="8" w:color="auto"/>
            </w:tcBorders>
          </w:tcPr>
          <w:p>
            <w:pPr>
              <w:spacing w:after="0"/>
              <w:rPr>
                <w:sz w:val="8"/>
                <w:szCs w:val="8"/>
                <w:color w:val="auto"/>
              </w:rPr>
            </w:pPr>
          </w:p>
        </w:tc>
        <w:tc>
          <w:tcPr>
            <w:tcW w:w="360" w:type="dxa"/>
            <w:vAlign w:val="bottom"/>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1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00" w:type="dxa"/>
            <w:vAlign w:val="bottom"/>
            <w:tcBorders>
              <w:left w:val="single" w:sz="8" w:color="auto"/>
            </w:tcBorders>
            <w:gridSpan w:val="3"/>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09"/>
        </w:trPr>
        <w:tc>
          <w:tcPr>
            <w:tcW w:w="380" w:type="dxa"/>
            <w:vAlign w:val="bottom"/>
            <w:tcBorders>
              <w:left w:val="single" w:sz="8" w:color="auto"/>
            </w:tcBorders>
          </w:tcPr>
          <w:p>
            <w:pPr>
              <w:spacing w:after="0"/>
              <w:rPr>
                <w:sz w:val="9"/>
                <w:szCs w:val="9"/>
                <w:color w:val="auto"/>
              </w:rPr>
            </w:pPr>
          </w:p>
        </w:tc>
        <w:tc>
          <w:tcPr>
            <w:tcW w:w="9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2"/>
              </w:rPr>
              <w:t>PERSON</w:t>
            </w:r>
          </w:p>
        </w:tc>
        <w:tc>
          <w:tcPr>
            <w:tcW w:w="200" w:type="dxa"/>
            <w:vAlign w:val="bottom"/>
            <w:tcBorders>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9180" w:type="dxa"/>
            <w:vAlign w:val="bottom"/>
            <w:tcBorders>
              <w:bottom w:val="single" w:sz="8" w:color="auto"/>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80" w:type="dxa"/>
            <w:vAlign w:val="bottom"/>
            <w:tcBorders>
              <w:left w:val="single" w:sz="8" w:color="auto"/>
            </w:tcBorders>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360" w:type="dxa"/>
            <w:vAlign w:val="bottom"/>
            <w:vMerge w:val="restart"/>
          </w:tcPr>
          <w:p>
            <w:pPr>
              <w:ind w:left="100"/>
              <w:spacing w:after="0" w:line="276" w:lineRule="exact"/>
              <w:rPr>
                <w:sz w:val="20"/>
                <w:szCs w:val="20"/>
                <w:color w:val="auto"/>
              </w:rPr>
            </w:pPr>
            <w:r>
              <w:rPr>
                <w:rFonts w:ascii="Arial" w:cs="Arial" w:eastAsia="Arial" w:hAnsi="Arial"/>
                <w:sz w:val="25"/>
                <w:szCs w:val="25"/>
                <w:b w:val="1"/>
                <w:bCs w:val="1"/>
                <w:color w:val="auto"/>
                <w:w w:val="86"/>
              </w:rPr>
              <w:t>10</w:t>
            </w:r>
          </w:p>
        </w:tc>
        <w:tc>
          <w:tcPr>
            <w:tcW w:w="200" w:type="dxa"/>
            <w:vAlign w:val="bottom"/>
            <w:tcBorders>
              <w:right w:val="single" w:sz="8" w:color="auto"/>
            </w:tcBorders>
          </w:tcPr>
          <w:p>
            <w:pPr>
              <w:spacing w:after="0"/>
              <w:rPr>
                <w:sz w:val="7"/>
                <w:szCs w:val="7"/>
                <w:color w:val="auto"/>
              </w:rPr>
            </w:pPr>
          </w:p>
        </w:tc>
        <w:tc>
          <w:tcPr>
            <w:tcW w:w="91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9"/>
        </w:trPr>
        <w:tc>
          <w:tcPr>
            <w:tcW w:w="380" w:type="dxa"/>
            <w:vAlign w:val="bottom"/>
            <w:tcBorders>
              <w:left w:val="single" w:sz="8" w:color="auto"/>
            </w:tcBorders>
          </w:tcPr>
          <w:p>
            <w:pPr>
              <w:spacing w:after="0"/>
              <w:rPr>
                <w:sz w:val="16"/>
                <w:szCs w:val="16"/>
                <w:color w:val="auto"/>
              </w:rPr>
            </w:pPr>
          </w:p>
        </w:tc>
        <w:tc>
          <w:tcPr>
            <w:tcW w:w="920" w:type="dxa"/>
            <w:vAlign w:val="bottom"/>
            <w:gridSpan w:val="2"/>
          </w:tcPr>
          <w:p>
            <w:pPr>
              <w:jc w:val="center"/>
              <w:ind w:right="90"/>
              <w:spacing w:after="0" w:line="189" w:lineRule="exact"/>
              <w:rPr>
                <w:sz w:val="20"/>
                <w:szCs w:val="20"/>
                <w:color w:val="auto"/>
              </w:rPr>
            </w:pPr>
            <w:r>
              <w:rPr>
                <w:rFonts w:ascii="Arial" w:cs="Arial" w:eastAsia="Arial" w:hAnsi="Arial"/>
                <w:sz w:val="18"/>
                <w:szCs w:val="18"/>
                <w:color w:val="auto"/>
                <w:w w:val="99"/>
              </w:rPr>
              <w:t>WITH</w:t>
            </w:r>
          </w:p>
        </w:tc>
        <w:tc>
          <w:tcPr>
            <w:tcW w:w="200" w:type="dxa"/>
            <w:vAlign w:val="bottom"/>
            <w:tcBorders>
              <w:right w:val="single" w:sz="8" w:color="auto"/>
            </w:tcBorders>
          </w:tcPr>
          <w:p>
            <w:pPr>
              <w:spacing w:after="0"/>
              <w:rPr>
                <w:sz w:val="16"/>
                <w:szCs w:val="16"/>
                <w:color w:val="auto"/>
              </w:rPr>
            </w:pPr>
          </w:p>
        </w:tc>
        <w:tc>
          <w:tcPr>
            <w:tcW w:w="36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918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8"/>
              </w:rPr>
              <w:t>17,653,917 shares, of which 16,008,410 are directly owned by AH Bio II, 289,596 are directly owned by AH Bio II-B,</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6"/>
              </w:rPr>
              <w:t>1,208,123 are directly owned by AH LSV II, 26,975 are directly owned by AH LSV II-B, and 120,813 are directly owned</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6"/>
              </w:rPr>
              <w:t>by AH LSV II-Q. Horowitz is a managing member of AH Equity Bio II, the general partner of AH Bio II and AH Bio II-B,</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and a managing member of AH Equity LSV II, the general partner of AH LSV II, AH LSV II-B and AH LSV II-Q, and may</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 deemed to have shared power to dispose of these shares.</w:t>
            </w: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w w:val="86"/>
              </w:rPr>
              <w:t>11</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17,653,917</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ind w:left="120"/>
              <w:spacing w:after="0" w:line="250" w:lineRule="exact"/>
              <w:rPr>
                <w:sz w:val="20"/>
                <w:szCs w:val="20"/>
                <w:color w:val="auto"/>
              </w:rPr>
            </w:pPr>
            <w:r>
              <w:rPr>
                <w:rFonts w:ascii="Arial" w:cs="Arial" w:eastAsia="Arial" w:hAnsi="Arial"/>
                <w:sz w:val="25"/>
                <w:szCs w:val="25"/>
                <w:b w:val="1"/>
                <w:bCs w:val="1"/>
                <w:color w:val="auto"/>
                <w:w w:val="86"/>
              </w:rPr>
              <w:t>12</w:t>
            </w:r>
          </w:p>
        </w:tc>
        <w:tc>
          <w:tcPr>
            <w:tcW w:w="260" w:type="dxa"/>
            <w:vAlign w:val="bottom"/>
            <w:tcBorders>
              <w:right w:val="single" w:sz="8" w:color="auto"/>
            </w:tcBorders>
          </w:tcPr>
          <w:p>
            <w:pPr>
              <w:spacing w:after="0"/>
              <w:rPr>
                <w:sz w:val="21"/>
                <w:szCs w:val="21"/>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57"/>
        </w:trPr>
        <w:tc>
          <w:tcPr>
            <w:tcW w:w="380" w:type="dxa"/>
            <w:vAlign w:val="bottom"/>
            <w:tcBorders>
              <w:left w:val="single" w:sz="8" w:color="auto"/>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80" w:type="dxa"/>
            <w:vAlign w:val="bottom"/>
            <w:tcBorders>
              <w:left w:val="single" w:sz="8" w:color="auto"/>
            </w:tcBorders>
          </w:tcPr>
          <w:p>
            <w:pPr>
              <w:ind w:left="120"/>
              <w:spacing w:after="0" w:line="280" w:lineRule="exact"/>
              <w:rPr>
                <w:sz w:val="20"/>
                <w:szCs w:val="20"/>
                <w:color w:val="auto"/>
              </w:rPr>
            </w:pPr>
            <w:r>
              <w:rPr>
                <w:rFonts w:ascii="Arial" w:cs="Arial" w:eastAsia="Arial" w:hAnsi="Arial"/>
                <w:sz w:val="25"/>
                <w:szCs w:val="25"/>
                <w:b w:val="1"/>
                <w:bCs w:val="1"/>
                <w:color w:val="auto"/>
                <w:w w:val="86"/>
              </w:rPr>
              <w:t>13</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67"/>
        </w:trPr>
        <w:tc>
          <w:tcPr>
            <w:tcW w:w="380" w:type="dxa"/>
            <w:vAlign w:val="bottom"/>
            <w:tcBorders>
              <w:left w:val="single" w:sz="8" w:color="auto"/>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tcBorders>
          </w:tcPr>
          <w:p>
            <w:pPr>
              <w:ind w:left="80"/>
              <w:spacing w:after="0" w:line="267" w:lineRule="exact"/>
              <w:rPr>
                <w:sz w:val="20"/>
                <w:szCs w:val="20"/>
                <w:color w:val="auto"/>
              </w:rPr>
            </w:pPr>
            <w:r>
              <w:rPr>
                <w:rFonts w:ascii="Arial" w:cs="Arial" w:eastAsia="Arial" w:hAnsi="Arial"/>
                <w:sz w:val="18"/>
                <w:szCs w:val="18"/>
                <w:color w:val="auto"/>
                <w:w w:val="90"/>
              </w:rPr>
              <w:t>14.2%</w:t>
            </w:r>
            <w:r>
              <w:rPr>
                <w:rFonts w:ascii="Arial" w:cs="Arial" w:eastAsia="Arial" w:hAnsi="Arial"/>
                <w:sz w:val="29"/>
                <w:szCs w:val="29"/>
                <w:color w:val="auto"/>
                <w:w w:val="90"/>
                <w:vertAlign w:val="superscript"/>
              </w:rPr>
              <w:t>1</w:t>
            </w:r>
          </w:p>
        </w:tc>
        <w:tc>
          <w:tcPr>
            <w:tcW w:w="2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78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80" w:type="dxa"/>
            <w:vAlign w:val="bottom"/>
            <w:tcBorders>
              <w:left w:val="single" w:sz="8" w:color="auto"/>
            </w:tcBorders>
          </w:tcPr>
          <w:p>
            <w:pPr>
              <w:ind w:left="120"/>
              <w:spacing w:after="0" w:line="276" w:lineRule="exact"/>
              <w:rPr>
                <w:sz w:val="20"/>
                <w:szCs w:val="20"/>
                <w:color w:val="auto"/>
              </w:rPr>
            </w:pPr>
            <w:r>
              <w:rPr>
                <w:rFonts w:ascii="Arial" w:cs="Arial" w:eastAsia="Arial" w:hAnsi="Arial"/>
                <w:sz w:val="25"/>
                <w:szCs w:val="25"/>
                <w:b w:val="1"/>
                <w:bCs w:val="1"/>
                <w:color w:val="auto"/>
                <w:w w:val="86"/>
              </w:rPr>
              <w:t>14</w:t>
            </w:r>
          </w:p>
        </w:tc>
        <w:tc>
          <w:tcPr>
            <w:tcW w:w="26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firstLine="8"/>
        <w:spacing w:after="0" w:line="207" w:lineRule="auto"/>
        <w:tabs>
          <w:tab w:leader="none" w:pos="112"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Based on 124,045,255 shares of the Issuer’s Common Stock outstanding as of June 9, 2021, as disclosed in the Issuer’s Current Report on Form 8-K filed on June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Page 10</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This Schedule relates to the shares of common stock, par value $0.0001 per share (“Common Stock”), of Nautilus Biotechnology, Inc., f/k/a ARYA Sciences Acquisition Corp III (the “Issuer”). The principal executive offices of the Issuer are located at 425 Pontius Ave N, Ste 202, Seattle, WA 98109.</w:t>
      </w:r>
    </w:p>
    <w:p>
      <w:pPr>
        <w:spacing w:after="0" w:line="1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ind w:right="160" w:firstLine="656"/>
        <w:spacing w:after="0" w:line="255" w:lineRule="auto"/>
        <w:tabs>
          <w:tab w:leader="none" w:pos="120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Schedule 13D is filed by AH Bio Fund II, L.P., a Delaware limited partnership (“AH Bio II”), AH Bio Fund II-B, L.P., a Delaware limited partnership (“AH Bio II-B”), Andreessen Horowitz LSV Fund II, L.P., a Delaware limited partnership (“AH LSV II”), Andreessen Horowitz LSV Fund II-B, L.P., a Delaware limited partnership (“AH LSV II-B”), Andreessen Horowitz LSV Fund II-Q, L.P., a Delaware limited partnership (“AH LSV II-Q”), AH Equity Partners Bio II, L.L.C., a Delaware limited liability company (“AH Equity Bio II”), AH Equity Partners LSV II, L.L.C., a Delaware limited liability company (“AH Equity LSV II”), Marc Andreessen (“Andreessen”), and Benjamin Horowitz (“Horowitz”). The foregoing entities and individuals are collectively referred to herein as the “Reporting Persons.”</w:t>
      </w:r>
    </w:p>
    <w:p>
      <w:pPr>
        <w:spacing w:after="0" w:line="19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AH Equity Bio II is the general partner of AH Bio II and AH Bio II-B and may be deemed to have sole power to vote and sole power to dispose of shares of the Issuer directly owned by AH Bio II and AH Bio II-B. Andreessen and Horowitz are managing members of AH Equity Bio II and may be deemed to have shared power to vote and shared power to dispose of shares of the Issuer directly owned by AH Bio II and AH Bio II-B.</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AH Equity LSV II is the general partner of AH LSV II, AH LSV II-B and AH LSV II-Q, and may be deemed to have sole power to vote and sole power to dispose of shares of the Issuer directly owned by AH LSV II, AH LSV II-B and AH LSV II-Q. Andreessen and Horowitz are managing members of AH Equity LSV II and may be deemed to have shared power to vote and shared power to dispose of shares of the Issuer directly owned by AH LSV II, AH LSV II-B and AH LSV II-Q.</w:t>
      </w:r>
    </w:p>
    <w:p>
      <w:pPr>
        <w:spacing w:after="0" w:line="187" w:lineRule="exact"/>
        <w:rPr>
          <w:sz w:val="20"/>
          <w:szCs w:val="20"/>
          <w:color w:val="auto"/>
        </w:rPr>
      </w:pPr>
    </w:p>
    <w:p>
      <w:pPr>
        <w:ind w:firstLine="656"/>
        <w:spacing w:after="0" w:line="277" w:lineRule="auto"/>
        <w:tabs>
          <w:tab w:leader="none" w:pos="12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the principal place of business of each of the Reporting Persons is c/o Andreessen Horowitz, 2865 Sand Hill Road, Suite 101, Menlo Park, CA 94025.</w:t>
      </w:r>
    </w:p>
    <w:p>
      <w:pPr>
        <w:spacing w:after="0" w:line="170" w:lineRule="exact"/>
        <w:rPr>
          <w:rFonts w:ascii="Arial" w:cs="Arial" w:eastAsia="Arial" w:hAnsi="Arial"/>
          <w:sz w:val="18"/>
          <w:szCs w:val="18"/>
          <w:color w:val="auto"/>
        </w:rPr>
      </w:pPr>
    </w:p>
    <w:p>
      <w:pPr>
        <w:ind w:right="20" w:firstLine="656"/>
        <w:spacing w:after="0" w:line="277" w:lineRule="auto"/>
        <w:tabs>
          <w:tab w:leader="none" w:pos="13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principal occupation of each of Andreessen and Horowitz is as the co-founder and general partner of the venture capital firm Andreessen Horowitz. The principal business of each of the other Reporting Persons is the venture capital investment business.</w:t>
      </w:r>
    </w:p>
    <w:p>
      <w:pPr>
        <w:spacing w:after="0" w:line="170" w:lineRule="exact"/>
        <w:rPr>
          <w:rFonts w:ascii="Arial" w:cs="Arial" w:eastAsia="Arial" w:hAnsi="Arial"/>
          <w:sz w:val="18"/>
          <w:szCs w:val="18"/>
          <w:color w:val="auto"/>
        </w:rPr>
      </w:pPr>
    </w:p>
    <w:p>
      <w:pPr>
        <w:ind w:firstLine="656"/>
        <w:spacing w:after="0" w:line="277" w:lineRule="auto"/>
        <w:tabs>
          <w:tab w:leader="none" w:pos="12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have been convicted in any criminal proceeding (excluding traffic violations or similar misdemeanors).</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2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3" w:lineRule="exact"/>
        <w:rPr>
          <w:rFonts w:ascii="Arial" w:cs="Arial" w:eastAsia="Arial" w:hAnsi="Arial"/>
          <w:sz w:val="18"/>
          <w:szCs w:val="18"/>
          <w:color w:val="auto"/>
        </w:rPr>
      </w:pPr>
    </w:p>
    <w:p>
      <w:pPr>
        <w:ind w:left="1180" w:hanging="524"/>
        <w:spacing w:after="0"/>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responses of the Reporting Persons with respect to row 6 of their respective cover pages to this Schedule 13D are incorporated herein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Page 11</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aggregate of 16,568,261 shares of Common Stock reported herein as beneficially owned by the Reporting Persons were acquired pursuant to a Business Combination Agreement, dated as of February 7, 2021, by and among the Issuer, Mako Merger Sub, Inc., a Delaware corporation (“Merger Sub”) and wholly owned subsidiary of ARYA Sciences Acquisition Corp III (“ARYA”), and Nautilus Subsidiary, Inc., a Delaware corporation (f/k/a Nautilus Biotechnology, Inc.) (“Legacy Nautilus”) (as it may be amended from time to time, the “Business Combination Agreement”). Pursuant to the terms of the Business Combination Agreement, a business combination between the Issuer and Legacy Nautilus was effected through the merger of Merger Sub with and into Legacy Nautilus, with Legacy Nautilus surviving as the surviving company and as a wholly owned subsidiary of the Issuer (the “Merger,” and collectively with the other transactions described in the Business Combination Agreement, the “Business Combination”). The Business Combination closed on June 9, 2021 (the “Closing”).</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the effective time of the Merger (the “Effective Time”), and subject to the terms and conditions of the Business Combination Agreement, each share of Legacy Nautilus common stock, par value $0.0001 per share (the “Legacy Nautilus Common Stock”), and each share of the Legacy Nautilus preferred stock, par value $0.0001 per share, that was convertible into a share of Legacy Nautilus Common Stock, was canceled and converted into the right to receive the number of shares of the Issuer’s Common Stock equal to the product (rounded down to the nearest whole number) of the number of such shares outstanding immediately prior to the Effective Time multiplied by 3.62807118207724 (the “Exchange Ratio”).</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An aggregate of 1,085,656 shares of Common Stock reported herein as beneficially owned by AH LSV II, AH LSV II-B and AH LSV II-Q (the “AH LSV</w:t>
      </w:r>
    </w:p>
    <w:p>
      <w:pPr>
        <w:spacing w:after="0" w:line="35" w:lineRule="exact"/>
        <w:rPr>
          <w:sz w:val="20"/>
          <w:szCs w:val="20"/>
          <w:color w:val="auto"/>
        </w:rPr>
      </w:pPr>
    </w:p>
    <w:p>
      <w:pPr>
        <w:jc w:val="both"/>
        <w:ind w:firstLine="8"/>
        <w:spacing w:after="0" w:line="253" w:lineRule="auto"/>
        <w:tabs>
          <w:tab w:leader="none" w:pos="1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Entities”) were purchased by the AH LSV II Entities prior to the Closing pursuant to that certain Subscription Agreement, dated February 7, 2021, by and between ARYA and AH LSV II, for itself and as nominee for AH LSV II-B and AH LSV II-Q (the “Subscription Agreement”). Pursuant to the Subscription Agreement, the AH LSV II Entities purchased an aggregate of 1,085,656 shares of Common Stock at a price of $10.00 per share, for an aggregate purchase price of $10,856,560.00.</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source of the funds for all purchases and acquisitions by AH Bio II, AH Bio II-B, AH LSV II, AH LSV II-B and AH LSV II-Q was from working capital.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part of the purchase price was borrowed by AH Bio II, AH Bio II-B, AH LSV II, AH LSV II-B and AH LSV II-Q for the purpose of acquiring any securities discussed in this Item 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in or incorporated by reference into Items 4, 5 and 6 of this Schedule 13D is hereby incorporated by reference in its entirety into this Item 3.</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terms of the Business Combination Agreement, the Reporting Persons tendered shares of 74,490 shares of Legacy Nautilus Common Stock, 3,688,984 shares of Legacy Nautilus Series A Preferred Stock and 803,212 shares of Legacy Nautilus Series B Preferred Stock in exchange for 16,568,261 shares of Common Stock in the aggregate.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Subject to the Amended and Restated Registration Rights and Lock-up Agreement described in Item 6 of this Schedule 13D and in certain cases, the Issuer’s Insider Trading Policy, one or more Reporting Persons may from time to time buy or sell additional securities of the Issuer from time to time in open market or private transactions, depending on its evaluation of the Issuer’s business, prospects and financial condition, the market for the Issuer’s securities, other developments concerning the Issuer, other investment opportunities available to the Reporting Persons, general economic, money market and stock market conditions, and other considerations as such Reporting Person deems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10660"/>
        <w:spacing w:after="0"/>
        <w:rPr>
          <w:sz w:val="20"/>
          <w:szCs w:val="20"/>
          <w:color w:val="auto"/>
        </w:rPr>
      </w:pPr>
      <w:r>
        <w:rPr>
          <w:rFonts w:ascii="Arial" w:cs="Arial" w:eastAsia="Arial" w:hAnsi="Arial"/>
          <w:sz w:val="15"/>
          <w:szCs w:val="15"/>
          <w:color w:val="auto"/>
        </w:rPr>
        <w:t>Page 12</w:t>
      </w:r>
    </w:p>
    <w:p>
      <w:pPr>
        <w:spacing w:after="0" w:line="26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Except as described herein, none of the Reporting Persons have a present plan or proposal that relate to or would result in any of the transactions described in subparagraphs (a) through (j) of Item 4 of Schedule 13D of the Securities Exchange Act of 1934 (the “Act”). However, each of the Reporting Persons reserves the right to propose or participate in future transactions which may result in one or more of such actions, including but not limited to, an extraordinary corporate transaction, such as a merger, reorganization or liquidation, sale of a material amount of assets of the Issuer or its subsidiaries, or other transactions which might have the effect of causing the Common Stock to become eligible for termination of registration under Section 12(g) of the Act. The Reporting Persons also retain the right to change their investment intent at any time, to acquire additional shares of Common Stock or other securities of the Issuer from time to time, or to sell or otherwise dispose of all or part of the Common Stock beneficially owned by them in any manner permitted by applicable law. The Reporting Persons may engage from time to time in ordinary course transactions with financial institutions with respect to the securities described herein.</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(a)-(b) The responses of the Reporting Persons with respect to rows 7 through 13 of their respective cover pages to this Schedule 13D are incorporated herein by reference.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Calculations of the percentage of the shares of Common Stock beneficially owned by the Reporting Persons is based on 124,045,255 shares of Common Stock outstanding as of June 9, 2021, as disclosed in the Issuer’s Current Report on Form 8-K filed on June 10, 2021.</w:t>
      </w:r>
    </w:p>
    <w:p>
      <w:pPr>
        <w:spacing w:after="0" w:line="170" w:lineRule="exact"/>
        <w:rPr>
          <w:sz w:val="20"/>
          <w:szCs w:val="20"/>
          <w:color w:val="auto"/>
        </w:rPr>
      </w:pPr>
    </w:p>
    <w:p>
      <w:pPr>
        <w:ind w:firstLine="656"/>
        <w:spacing w:after="0" w:line="342" w:lineRule="auto"/>
        <w:tabs>
          <w:tab w:leader="none" w:pos="1221"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as described in Items 3 and 4 of this Schedule 13D, which descriptions are incorporated herein by reference, none of the Reporting Persons have engaged in any transaction with respect to the Common Stock during the 60 days prior to the date of filing of this Schedule 13D.</w:t>
      </w:r>
    </w:p>
    <w:p>
      <w:pPr>
        <w:spacing w:after="0" w:line="123" w:lineRule="exact"/>
        <w:rPr>
          <w:rFonts w:ascii="Arial" w:cs="Arial" w:eastAsia="Arial" w:hAnsi="Arial"/>
          <w:sz w:val="16"/>
          <w:szCs w:val="16"/>
          <w:color w:val="auto"/>
        </w:rPr>
      </w:pPr>
    </w:p>
    <w:p>
      <w:pPr>
        <w:jc w:val="both"/>
        <w:ind w:firstLine="656"/>
        <w:spacing w:after="0" w:line="259"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 certain circumstances set forth in the limited partnership agreement of each of AH Bio II, AH Bio II-B, AH LSV II, AH LSV II-B, AH LSV II-Q and the limited liability company agreement of each of AH Equity Bio II and AH Equity LSV II the partners or members, as the case may be, of each of such entities may be deemed to have the right to receive dividends from, or the proceeds from the sale of, shares of the Issuer directly or indirectly owned by each such entity of which they are a partner or member.</w:t>
      </w:r>
    </w:p>
    <w:p>
      <w:pPr>
        <w:spacing w:after="0" w:line="186" w:lineRule="exact"/>
        <w:rPr>
          <w:rFonts w:ascii="Arial" w:cs="Arial" w:eastAsia="Arial" w:hAnsi="Arial"/>
          <w:sz w:val="18"/>
          <w:szCs w:val="18"/>
          <w:color w:val="auto"/>
        </w:rPr>
      </w:pPr>
    </w:p>
    <w:p>
      <w:pPr>
        <w:ind w:left="1180" w:hanging="524"/>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Registration Rights and Lock-Up Agreement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7, 2021, ARYA entered into an Amended and Restated Registration Rights and Lock-Up Agreement, which was effective as of the Closing, with ARYA Sciences Holding III, a Cayman Islands exempted limited company, Perceptive Life Sciences Master Fund Ltd., an exempted company incorporated in the Cayman Islands with limited liability, ARYA’s initial shareholders, Nautilus’ directors, and certain holders of Nautilus’ capital stock, including, among others, certain of the Reporting Persons. Pursuant to the terms of the Amended and Restated Registration Rights and Lock-Up Agreement, the Issuer will be obligated to file a registration statement to register the resale of certain shares of the Issuer’s Common Stock within 45 days after the Closing. In addition, pursuant to the terms of the Amended and Restated Registration Rights and Lock-Up Agreement and subject to certain requirements and customary conditions, including with regard to the number of demand rights that may be exercised, the parties to the agreement may demand at any time or from time to time, that the Issuer file a registration statement on Form S-3 (or on Form S-1 if Form S-3 is not available) to register the securities of the Issuer held by such holders, and the Issuer is separately required at all times to maintain an effective resale registration statement for the benefit of the holders party to the agreement. The Amended and Restated Registration Rights and Lock-Up Agreement also provides such holders with “piggy-back” registration rights, subject to certain requirements and customary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10660"/>
        <w:spacing w:after="0"/>
        <w:rPr>
          <w:sz w:val="20"/>
          <w:szCs w:val="20"/>
          <w:color w:val="auto"/>
        </w:rPr>
      </w:pPr>
      <w:r>
        <w:rPr>
          <w:rFonts w:ascii="Arial" w:cs="Arial" w:eastAsia="Arial" w:hAnsi="Arial"/>
          <w:sz w:val="15"/>
          <w:szCs w:val="15"/>
          <w:color w:val="auto"/>
        </w:rPr>
        <w:t>Page 13</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Amended and Restated Registration Rights and Lock-Up Agreement further provides for the securities of the Issuer held by the holders party thereto to be locked-up for a period of time following the Closing, subject to certain exceptions. This summary is qualified by the actual terms of the Amended and Restated Registration Rights and Lock-Up Agreement, a copy of which is attached as an exhibit to this Schedule 13D and is incorporated herein by reference.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 Financing Subscription Agreement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Concurrently with the execution of the Business Combination Agreement, ARYA and AH LSV II, for itself and as nominee for AH LSV II-B and AH LSV II-Q, entered into the Subscription Agreement. The description of the Subscription Agreement set forth in Item 3 of this Schedule 13D is incorporated herein by reference. In addition, within forty-five (45) calendar days after the Closing, ARYA is required to file with the U.S. Securities and Exchange Comission a registration statement registering the resale of the Common Stock acquired by the AH LSV II Entities pursuant to the Subscription Agreement.</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summary is qualified in its entirety by the terms and conditions of the Subscription Agreement, the form of which is attached hereto as an exhibit to this Schedule 13D and is incorporated herein by reference.</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Exhibit No.</w:t>
            </w:r>
          </w:p>
        </w:tc>
        <w:tc>
          <w:tcPr>
            <w:tcW w:w="9800" w:type="dxa"/>
            <w:vAlign w:val="bottom"/>
          </w:tcPr>
          <w:p>
            <w:pPr>
              <w:ind w:left="600"/>
              <w:spacing w:after="0"/>
              <w:rPr>
                <w:sz w:val="20"/>
                <w:szCs w:val="20"/>
                <w:color w:val="auto"/>
              </w:rPr>
            </w:pPr>
            <w:r>
              <w:rPr>
                <w:rFonts w:ascii="Arial" w:cs="Arial" w:eastAsia="Arial" w:hAnsi="Arial"/>
                <w:sz w:val="18"/>
                <w:szCs w:val="18"/>
                <w:color w:val="auto"/>
              </w:rPr>
              <w:t>Description</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A</w:t>
            </w:r>
          </w:p>
        </w:tc>
        <w:tc>
          <w:tcPr>
            <w:tcW w:w="9800" w:type="dxa"/>
            <w:vAlign w:val="bottom"/>
          </w:tcPr>
          <w:p>
            <w:pPr>
              <w:ind w:left="600"/>
              <w:spacing w:after="0"/>
              <w:rPr>
                <w:sz w:val="20"/>
                <w:szCs w:val="20"/>
                <w:color w:val="auto"/>
              </w:rPr>
            </w:pPr>
            <w:r>
              <w:rPr>
                <w:rFonts w:ascii="Arial" w:cs="Arial" w:eastAsia="Arial" w:hAnsi="Arial"/>
                <w:sz w:val="18"/>
                <w:szCs w:val="18"/>
                <w:color w:val="auto"/>
              </w:rPr>
              <w:t>Agreement of Joint Filing, dated June 30, 2021</w:t>
            </w: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B</w:t>
            </w:r>
          </w:p>
        </w:tc>
        <w:tc>
          <w:tcPr>
            <w:tcW w:w="9800" w:type="dxa"/>
            <w:vAlign w:val="bottom"/>
          </w:tcPr>
          <w:p>
            <w:pPr>
              <w:ind w:left="600"/>
              <w:spacing w:after="0"/>
              <w:rPr>
                <w:sz w:val="20"/>
                <w:szCs w:val="20"/>
                <w:color w:val="auto"/>
              </w:rPr>
            </w:pPr>
            <w:r>
              <w:rPr>
                <w:rFonts w:ascii="Arial" w:cs="Arial" w:eastAsia="Arial" w:hAnsi="Arial"/>
                <w:sz w:val="18"/>
                <w:szCs w:val="18"/>
                <w:color w:val="auto"/>
                <w:w w:val="95"/>
              </w:rPr>
              <w:t>Amended and Restated Registration Rights and Lock-up Agreement, dated as of February 7, 2021, by and among ARYA</w:t>
            </w:r>
          </w:p>
        </w:tc>
      </w:tr>
      <w:tr>
        <w:trPr>
          <w:trHeight w:val="216"/>
        </w:trPr>
        <w:tc>
          <w:tcPr>
            <w:tcW w:w="1440" w:type="dxa"/>
            <w:vAlign w:val="bottom"/>
          </w:tcPr>
          <w:p>
            <w:pPr>
              <w:spacing w:after="0"/>
              <w:rPr>
                <w:sz w:val="18"/>
                <w:szCs w:val="18"/>
                <w:color w:val="auto"/>
              </w:rPr>
            </w:pPr>
          </w:p>
        </w:tc>
        <w:tc>
          <w:tcPr>
            <w:tcW w:w="9800" w:type="dxa"/>
            <w:vAlign w:val="bottom"/>
          </w:tcPr>
          <w:p>
            <w:pPr>
              <w:ind w:left="600"/>
              <w:spacing w:after="0"/>
              <w:rPr>
                <w:sz w:val="20"/>
                <w:szCs w:val="20"/>
                <w:color w:val="auto"/>
              </w:rPr>
            </w:pPr>
            <w:r>
              <w:rPr>
                <w:rFonts w:ascii="Arial" w:cs="Arial" w:eastAsia="Arial" w:hAnsi="Arial"/>
                <w:sz w:val="18"/>
                <w:szCs w:val="18"/>
                <w:color w:val="auto"/>
                <w:w w:val="91"/>
              </w:rPr>
              <w:t>Sciences Acquisition Corp III and the persons named therein (incorporated by reference to Exhibit 10.2 to the Issuer’s Current</w:t>
            </w:r>
          </w:p>
        </w:tc>
      </w:tr>
      <w:tr>
        <w:trPr>
          <w:trHeight w:val="230"/>
        </w:trPr>
        <w:tc>
          <w:tcPr>
            <w:tcW w:w="1440" w:type="dxa"/>
            <w:vAlign w:val="bottom"/>
          </w:tcPr>
          <w:p>
            <w:pPr>
              <w:spacing w:after="0"/>
              <w:rPr>
                <w:sz w:val="20"/>
                <w:szCs w:val="20"/>
                <w:color w:val="auto"/>
              </w:rPr>
            </w:pPr>
          </w:p>
        </w:tc>
        <w:tc>
          <w:tcPr>
            <w:tcW w:w="9800" w:type="dxa"/>
            <w:vAlign w:val="bottom"/>
          </w:tcPr>
          <w:p>
            <w:pPr>
              <w:ind w:left="600"/>
              <w:spacing w:after="0"/>
              <w:rPr>
                <w:sz w:val="20"/>
                <w:szCs w:val="20"/>
                <w:color w:val="auto"/>
              </w:rPr>
            </w:pPr>
            <w:r>
              <w:rPr>
                <w:rFonts w:ascii="Arial" w:cs="Arial" w:eastAsia="Arial" w:hAnsi="Arial"/>
                <w:sz w:val="18"/>
                <w:szCs w:val="18"/>
                <w:color w:val="auto"/>
              </w:rPr>
              <w:t>Report on Form 8-K filed with the Securities and Exchange Commission on February 8, 2021)</w:t>
            </w: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C</w:t>
            </w:r>
          </w:p>
        </w:tc>
        <w:tc>
          <w:tcPr>
            <w:tcW w:w="9800" w:type="dxa"/>
            <w:vAlign w:val="bottom"/>
          </w:tcPr>
          <w:p>
            <w:pPr>
              <w:ind w:left="600"/>
              <w:spacing w:after="0"/>
              <w:rPr>
                <w:sz w:val="20"/>
                <w:szCs w:val="20"/>
                <w:color w:val="auto"/>
              </w:rPr>
            </w:pPr>
            <w:r>
              <w:rPr>
                <w:rFonts w:ascii="Arial" w:cs="Arial" w:eastAsia="Arial" w:hAnsi="Arial"/>
                <w:sz w:val="18"/>
                <w:szCs w:val="18"/>
                <w:color w:val="auto"/>
                <w:w w:val="97"/>
              </w:rPr>
              <w:t>Form of Subscription Agreement (incorporated by reference to Exhibit 10.3 to the Issuer’s Current Report on Form 8-K</w:t>
            </w:r>
          </w:p>
        </w:tc>
      </w:tr>
      <w:tr>
        <w:trPr>
          <w:trHeight w:val="230"/>
        </w:trPr>
        <w:tc>
          <w:tcPr>
            <w:tcW w:w="1440" w:type="dxa"/>
            <w:vAlign w:val="bottom"/>
          </w:tcPr>
          <w:p>
            <w:pPr>
              <w:spacing w:after="0"/>
              <w:rPr>
                <w:sz w:val="20"/>
                <w:szCs w:val="20"/>
                <w:color w:val="auto"/>
              </w:rPr>
            </w:pPr>
          </w:p>
        </w:tc>
        <w:tc>
          <w:tcPr>
            <w:tcW w:w="9800" w:type="dxa"/>
            <w:vAlign w:val="bottom"/>
          </w:tcPr>
          <w:p>
            <w:pPr>
              <w:ind w:left="600"/>
              <w:spacing w:after="0"/>
              <w:rPr>
                <w:sz w:val="20"/>
                <w:szCs w:val="20"/>
                <w:color w:val="auto"/>
              </w:rPr>
            </w:pPr>
            <w:r>
              <w:rPr>
                <w:rFonts w:ascii="Arial" w:cs="Arial" w:eastAsia="Arial" w:hAnsi="Arial"/>
                <w:sz w:val="18"/>
                <w:szCs w:val="18"/>
                <w:color w:val="auto"/>
              </w:rPr>
              <w:t>filed with the Securities and Exchange Commission on February 8, 2021)</w:t>
            </w:r>
          </w:p>
        </w:tc>
      </w:tr>
      <w:tr>
        <w:trPr>
          <w:trHeight w:val="675"/>
        </w:trPr>
        <w:tc>
          <w:tcPr>
            <w:tcW w:w="144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t>Page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AH Bio Fund II,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AH Bio Fund II-B, L.P.</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AH Equity Partners Bio II,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Kupor</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Scott Kupor,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AH Equity Partners Bio II,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Kupor</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Scott Kupor,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Andreessen Horowitz LSV Fund II,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Andreessen Horowitz LSV Fund II-B, L.P.</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Andreessen Horowitz LSV Fund II-Q, L.P.</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AH Equity Partners LSV II,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Kupor</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Scott Kupor,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AH Equity Partners LSV II,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Kupor</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Scott Kupor,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Marc Andreessen</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Scott Kupor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Scott Kupor,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Attorney-in-fact for Marc Andreessen*</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Benjamin Horowitz</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Scott Kupor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Scott Kupor,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Attorney-in-fact for Benjamin Horowitz*</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*Signed pursuant to a Power of Attorney already on file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t>Page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of Joint Filing</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undersigned hereby agree that a single Schedule 13D (or any amendment thereto) relating to the Common Stock of Nautilus Biotechnology, Inc. shall be filed on behalf of each of the undersigned and that this Agreement shall be filed as an exhibit to such Schedule 13D.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AH Bio Fund II,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AH Bio Fund II-B, L.P.</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AH Equity Partners Bio II,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Kupor</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Scott Kupor,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AH Equity Partners Bio II,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Kupor</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Scott Kupor,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Andreessen Horowitz LSV Fund II,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Andreessen Horowitz LSV Fund II-B, L.P.</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Andreessen Horowitz LSV Fund II-Q, L.P.</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AH Equity Partners LSV II,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Kupor</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Scott Kupor,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AH Equity Partners LSV II,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Kupor</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Scott Kupor,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Marc Andreessen</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Scott Kupor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Scott Kupor,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Attorney-in-fact for Marc Andreessen*</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Benjamin Horowitz</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Scott Kupor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Scott Kupor,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Attorney-in-fact for Benjamin Horowitz*</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*Signed pursuant to a Power of Attorney already on file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1"/>
      <w:numFmt w:val="bullet"/>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1"/>
      <w:numFmt w:val="bullet"/>
      <w:start w:val="1"/>
    </w:lvl>
  </w:abstractNum>
  <w:abstractNum w:abstractNumId="7">
    <w:nsid w:val="216231B"/>
    <w:multiLevelType w:val="hybridMultilevel"/>
    <w:lvl w:ilvl="0">
      <w:lvlJc w:val="left"/>
      <w:lvlText w:val="1"/>
      <w:numFmt w:val="bullet"/>
      <w:start w:val="1"/>
    </w:lvl>
  </w:abstractNum>
  <w:abstractNum w:abstractNumId="8">
    <w:nsid w:val="1F16E9E8"/>
    <w:multiLevelType w:val="hybridMultilevel"/>
    <w:lvl w:ilvl="0">
      <w:lvlJc w:val="left"/>
      <w:lvlText w:val="1"/>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2"/>
    </w:lvl>
  </w:abstractNum>
  <w:abstractNum w:abstractNumId="11">
    <w:nsid w:val="140E0F76"/>
    <w:multiLevelType w:val="hybridMultilevel"/>
    <w:lvl w:ilvl="0">
      <w:lvlJc w:val="left"/>
      <w:lvlText w:val="%1"/>
      <w:numFmt w:val="upperLetter"/>
      <w:start w:val="35"/>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2021-06-30T13:27:39Z</dcterms:created>
  <dcterms:modified xsi:type="dcterms:W3CDTF">2021-06-30T13:27:39Z</dcterms:modified>
</cp:coreProperties>
</file>