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196215</wp:posOffset>
            </wp:positionH>
            <wp:positionV relativeFrom="page">
              <wp:posOffset>145415</wp:posOffset>
            </wp:positionV>
            <wp:extent cx="715708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085" cy="27940"/>
                    </a:xfrm>
                    <a:prstGeom prst="rect">
                      <a:avLst/>
                    </a:prstGeom>
                    <a:noFill/>
                  </pic:spPr>
                </pic:pic>
              </a:graphicData>
            </a:graphic>
          </wp:anchor>
        </w:drawing>
        <w:drawing>
          <wp:anchor simplePos="0" relativeHeight="251657728" behindDoc="1" locked="0" layoutInCell="0" allowOverlap="1">
            <wp:simplePos x="0" y="0"/>
            <wp:positionH relativeFrom="page">
              <wp:posOffset>196215</wp:posOffset>
            </wp:positionH>
            <wp:positionV relativeFrom="page">
              <wp:posOffset>243840</wp:posOffset>
            </wp:positionV>
            <wp:extent cx="71570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085" cy="698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180340</wp:posOffset>
            </wp:positionV>
            <wp:extent cx="715708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198120</wp:posOffset>
            </wp:positionV>
            <wp:extent cx="7157085" cy="1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jc w:val="center"/>
        <w:spacing w:after="0" w:line="231" w:lineRule="auto"/>
        <w:rPr>
          <w:sz w:val="20"/>
          <w:szCs w:val="20"/>
          <w:color w:val="auto"/>
        </w:rPr>
      </w:pPr>
      <w:r>
        <w:rPr>
          <w:rFonts w:ascii="Arial" w:cs="Arial" w:eastAsia="Arial" w:hAnsi="Arial"/>
          <w:sz w:val="18"/>
          <w:szCs w:val="18"/>
          <w:b w:val="1"/>
          <w:bCs w:val="1"/>
          <w:color w:val="auto"/>
        </w:rPr>
        <w:t>of the Securities Exchange Act of 1934</w:t>
      </w: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180340</wp:posOffset>
            </wp:positionV>
            <wp:extent cx="7157085"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35"/>
          <w:szCs w:val="35"/>
          <w:b w:val="1"/>
          <w:bCs w:val="1"/>
          <w:color w:val="auto"/>
        </w:rPr>
        <w:t>ARYA SCIENCES ACQUISITION CORP III</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180340</wp:posOffset>
            </wp:positionV>
            <wp:extent cx="7157085"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p>
      <w:pPr>
        <w:spacing w:after="0" w:line="200" w:lineRule="exact"/>
        <w:rPr>
          <w:sz w:val="24"/>
          <w:szCs w:val="24"/>
          <w:color w:val="auto"/>
        </w:rPr>
      </w:pPr>
    </w:p>
    <w:p>
      <w:pPr>
        <w:spacing w:after="0" w:line="380" w:lineRule="exact"/>
        <w:rPr>
          <w:sz w:val="24"/>
          <w:szCs w:val="24"/>
          <w:color w:val="auto"/>
        </w:rPr>
      </w:pPr>
    </w:p>
    <w:p>
      <w:pPr>
        <w:jc w:val="center"/>
        <w:ind w:right="320"/>
        <w:spacing w:after="0"/>
        <w:rPr>
          <w:sz w:val="20"/>
          <w:szCs w:val="20"/>
          <w:color w:val="auto"/>
        </w:rPr>
      </w:pPr>
      <w:r>
        <w:rPr>
          <w:rFonts w:ascii="Arial" w:cs="Arial" w:eastAsia="Arial" w:hAnsi="Arial"/>
          <w:sz w:val="15"/>
          <w:szCs w:val="15"/>
          <w:b w:val="1"/>
          <w:bCs w:val="1"/>
          <w:color w:val="auto"/>
        </w:rPr>
        <w:t>Cayman Islands</w:t>
      </w:r>
    </w:p>
    <w:p>
      <w:pPr>
        <w:spacing w:after="0" w:line="19" w:lineRule="exact"/>
        <w:rPr>
          <w:sz w:val="24"/>
          <w:szCs w:val="24"/>
          <w:color w:val="auto"/>
        </w:rPr>
      </w:pPr>
    </w:p>
    <w:p>
      <w:pPr>
        <w:jc w:val="center"/>
        <w:ind w:right="32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0"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001-39434</w:t>
      </w:r>
    </w:p>
    <w:p>
      <w:pPr>
        <w:spacing w:after="0" w:line="19" w:lineRule="exact"/>
        <w:rPr>
          <w:sz w:val="24"/>
          <w:szCs w:val="24"/>
          <w:color w:val="auto"/>
        </w:rPr>
      </w:pPr>
    </w:p>
    <w:p>
      <w:pPr>
        <w:jc w:val="center"/>
        <w:ind w:right="106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0" w:lineRule="exact"/>
        <w:rPr>
          <w:sz w:val="24"/>
          <w:szCs w:val="24"/>
          <w:color w:val="auto"/>
        </w:rPr>
      </w:pPr>
    </w:p>
    <w:p>
      <w:pPr>
        <w:jc w:val="center"/>
        <w:ind w:right="700"/>
        <w:spacing w:after="0"/>
        <w:rPr>
          <w:sz w:val="20"/>
          <w:szCs w:val="20"/>
          <w:color w:val="auto"/>
        </w:rPr>
      </w:pPr>
      <w:r>
        <w:rPr>
          <w:rFonts w:ascii="Arial" w:cs="Arial" w:eastAsia="Arial" w:hAnsi="Arial"/>
          <w:sz w:val="15"/>
          <w:szCs w:val="15"/>
          <w:b w:val="1"/>
          <w:bCs w:val="1"/>
          <w:color w:val="auto"/>
        </w:rPr>
        <w:t>98-1541723</w:t>
      </w:r>
    </w:p>
    <w:p>
      <w:pPr>
        <w:spacing w:after="0" w:line="19" w:lineRule="exact"/>
        <w:rPr>
          <w:sz w:val="24"/>
          <w:szCs w:val="24"/>
          <w:color w:val="auto"/>
        </w:rPr>
      </w:pPr>
    </w:p>
    <w:p>
      <w:pPr>
        <w:jc w:val="center"/>
        <w:ind w:right="720"/>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080" w:space="720"/>
            <w:col w:w="2760" w:space="720"/>
            <w:col w:w="3000"/>
          </w:cols>
          <w:pgMar w:left="300" w:top="464" w:right="319" w:bottom="1440" w:gutter="0" w:footer="0" w:header="0"/>
          <w:type w:val="continuous"/>
        </w:sectPr>
      </w:pPr>
    </w:p>
    <w:p>
      <w:pPr>
        <w:spacing w:after="0" w:line="13" w:lineRule="exact"/>
        <w:rPr>
          <w:sz w:val="24"/>
          <w:szCs w:val="24"/>
          <w:color w:val="auto"/>
        </w:rPr>
      </w:pPr>
    </w:p>
    <w:p>
      <w:pPr>
        <w:jc w:val="center"/>
        <w:ind w:right="1920"/>
        <w:spacing w:after="0"/>
        <w:rPr>
          <w:sz w:val="20"/>
          <w:szCs w:val="20"/>
          <w:color w:val="auto"/>
        </w:rPr>
      </w:pPr>
      <w:r>
        <w:rPr>
          <w:rFonts w:ascii="Arial" w:cs="Arial" w:eastAsia="Arial" w:hAnsi="Arial"/>
          <w:sz w:val="15"/>
          <w:szCs w:val="15"/>
          <w:b w:val="1"/>
          <w:bCs w:val="1"/>
          <w:color w:val="auto"/>
        </w:rPr>
        <w:t>51 Astor Place, 10th Floor</w:t>
      </w:r>
    </w:p>
    <w:p>
      <w:pPr>
        <w:spacing w:after="0" w:line="19" w:lineRule="exact"/>
        <w:rPr>
          <w:sz w:val="24"/>
          <w:szCs w:val="24"/>
          <w:color w:val="auto"/>
        </w:rPr>
      </w:pPr>
    </w:p>
    <w:p>
      <w:pPr>
        <w:jc w:val="center"/>
        <w:ind w:right="1920"/>
        <w:spacing w:after="0"/>
        <w:rPr>
          <w:sz w:val="20"/>
          <w:szCs w:val="20"/>
          <w:color w:val="auto"/>
        </w:rPr>
      </w:pPr>
      <w:r>
        <w:rPr>
          <w:rFonts w:ascii="Arial" w:cs="Arial" w:eastAsia="Arial" w:hAnsi="Arial"/>
          <w:sz w:val="15"/>
          <w:szCs w:val="15"/>
          <w:b w:val="1"/>
          <w:bCs w:val="1"/>
          <w:color w:val="auto"/>
        </w:rPr>
        <w:t>New York, NY</w:t>
      </w:r>
    </w:p>
    <w:p>
      <w:pPr>
        <w:spacing w:after="0" w:line="5" w:lineRule="exact"/>
        <w:rPr>
          <w:sz w:val="24"/>
          <w:szCs w:val="24"/>
          <w:color w:val="auto"/>
        </w:rPr>
      </w:pPr>
    </w:p>
    <w:p>
      <w:pPr>
        <w:jc w:val="center"/>
        <w:ind w:right="192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ind w:right="2420"/>
        <w:spacing w:after="0"/>
        <w:rPr>
          <w:sz w:val="20"/>
          <w:szCs w:val="20"/>
          <w:color w:val="auto"/>
        </w:rPr>
      </w:pPr>
      <w:r>
        <w:rPr>
          <w:rFonts w:ascii="Arial" w:cs="Arial" w:eastAsia="Arial" w:hAnsi="Arial"/>
          <w:sz w:val="15"/>
          <w:szCs w:val="15"/>
          <w:b w:val="1"/>
          <w:bCs w:val="1"/>
          <w:color w:val="auto"/>
        </w:rPr>
        <w:t>10003</w:t>
      </w:r>
    </w:p>
    <w:p>
      <w:pPr>
        <w:spacing w:after="0" w:line="19" w:lineRule="exact"/>
        <w:rPr>
          <w:sz w:val="24"/>
          <w:szCs w:val="24"/>
          <w:color w:val="auto"/>
        </w:rPr>
      </w:pPr>
    </w:p>
    <w:p>
      <w:pPr>
        <w:jc w:val="center"/>
        <w:ind w:right="2420"/>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460" w:space="720"/>
            <w:col w:w="3100"/>
          </w:cols>
          <w:pgMar w:left="300" w:top="464" w:right="319" w:bottom="1440"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284-2300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jc w:val="center"/>
        <w:spacing w:after="0" w:line="231" w:lineRule="auto"/>
        <w:rPr>
          <w:sz w:val="20"/>
          <w:szCs w:val="20"/>
          <w:color w:val="auto"/>
        </w:rPr>
      </w:pPr>
      <w:r>
        <w:rPr>
          <w:rFonts w:ascii="Arial" w:cs="Arial" w:eastAsia="Arial" w:hAnsi="Arial"/>
          <w:sz w:val="18"/>
          <w:szCs w:val="18"/>
          <w:b w:val="1"/>
          <w:bCs w:val="1"/>
          <w:color w:val="auto"/>
        </w:rPr>
        <w:t>Not Applicable</w:t>
      </w: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78" w:lineRule="exact"/>
        <w:rPr>
          <w:sz w:val="24"/>
          <w:szCs w:val="24"/>
          <w:color w:val="auto"/>
        </w:rPr>
      </w:pPr>
    </w:p>
    <w:p>
      <w:pPr>
        <w:ind w:right="80"/>
        <w:spacing w:after="0" w:line="25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280" w:hanging="271"/>
        <w:spacing w:after="0"/>
        <w:tabs>
          <w:tab w:leader="none" w:pos="2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205" w:lineRule="exact"/>
        <w:rPr>
          <w:sz w:val="24"/>
          <w:szCs w:val="24"/>
          <w:color w:val="auto"/>
        </w:rPr>
      </w:pPr>
    </w:p>
    <w:p>
      <w:pPr>
        <w:ind w:left="280" w:hanging="271"/>
        <w:spacing w:after="0"/>
        <w:tabs>
          <w:tab w:leader="none" w:pos="2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204" w:lineRule="exact"/>
        <w:rPr>
          <w:rFonts w:ascii="MS PGothic" w:cs="MS PGothic" w:eastAsia="MS PGothic" w:hAnsi="MS PGothic"/>
          <w:sz w:val="15"/>
          <w:szCs w:val="15"/>
          <w:color w:val="auto"/>
        </w:rPr>
      </w:pPr>
    </w:p>
    <w:p>
      <w:pPr>
        <w:ind w:left="280" w:hanging="271"/>
        <w:spacing w:after="0"/>
        <w:tabs>
          <w:tab w:leader="none" w:pos="2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204" w:lineRule="exact"/>
        <w:rPr>
          <w:rFonts w:ascii="MS PGothic" w:cs="MS PGothic" w:eastAsia="MS PGothic" w:hAnsi="MS PGothic"/>
          <w:sz w:val="15"/>
          <w:szCs w:val="15"/>
          <w:color w:val="auto"/>
        </w:rPr>
      </w:pPr>
    </w:p>
    <w:p>
      <w:pPr>
        <w:ind w:left="280" w:hanging="271"/>
        <w:spacing w:after="0"/>
        <w:tabs>
          <w:tab w:leader="none" w:pos="2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132715</wp:posOffset>
            </wp:positionV>
            <wp:extent cx="71570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800" w:type="dxa"/>
            <w:vAlign w:val="bottom"/>
            <w:tcBorders>
              <w:top w:val="single" w:sz="8" w:color="auto"/>
            </w:tcBorders>
          </w:tcPr>
          <w:p>
            <w:pPr>
              <w:spacing w:after="0"/>
              <w:rPr>
                <w:sz w:val="15"/>
                <w:szCs w:val="15"/>
                <w:color w:val="auto"/>
              </w:rPr>
            </w:pPr>
          </w:p>
        </w:tc>
        <w:tc>
          <w:tcPr>
            <w:tcW w:w="3480" w:type="dxa"/>
            <w:vAlign w:val="bottom"/>
            <w:tcBorders>
              <w:top w:val="single" w:sz="8" w:color="auto"/>
            </w:tcBorders>
          </w:tcPr>
          <w:p>
            <w:pPr>
              <w:spacing w:after="0"/>
              <w:rPr>
                <w:sz w:val="15"/>
                <w:szCs w:val="15"/>
                <w:color w:val="auto"/>
              </w:rPr>
            </w:pPr>
          </w:p>
        </w:tc>
        <w:tc>
          <w:tcPr>
            <w:tcW w:w="4000" w:type="dxa"/>
            <w:vAlign w:val="bottom"/>
            <w:tcBorders>
              <w:top w:val="single" w:sz="8" w:color="auto"/>
            </w:tcBorders>
          </w:tcPr>
          <w:p>
            <w:pPr>
              <w:jc w:val="center"/>
              <w:ind w:right="186"/>
              <w:spacing w:after="0"/>
              <w:rPr>
                <w:sz w:val="20"/>
                <w:szCs w:val="20"/>
                <w:color w:val="auto"/>
              </w:rPr>
            </w:pPr>
            <w:r>
              <w:rPr>
                <w:rFonts w:ascii="Arial" w:cs="Arial" w:eastAsia="Arial" w:hAnsi="Arial"/>
                <w:sz w:val="15"/>
                <w:szCs w:val="15"/>
                <w:b w:val="1"/>
                <w:bCs w:val="1"/>
                <w:color w:val="auto"/>
                <w:w w:val="85"/>
              </w:rPr>
              <w:t>Name of each exchange</w:t>
            </w:r>
          </w:p>
        </w:tc>
      </w:tr>
      <w:tr>
        <w:trPr>
          <w:trHeight w:val="194"/>
        </w:trPr>
        <w:tc>
          <w:tcPr>
            <w:tcW w:w="3800" w:type="dxa"/>
            <w:vAlign w:val="bottom"/>
            <w:tcBorders>
              <w:bottom w:val="single" w:sz="8" w:color="auto"/>
            </w:tcBorders>
          </w:tcPr>
          <w:p>
            <w:pPr>
              <w:jc w:val="right"/>
              <w:ind w:right="1106"/>
              <w:spacing w:after="0"/>
              <w:rPr>
                <w:sz w:val="20"/>
                <w:szCs w:val="20"/>
                <w:color w:val="auto"/>
              </w:rPr>
            </w:pPr>
            <w:r>
              <w:rPr>
                <w:rFonts w:ascii="Arial" w:cs="Arial" w:eastAsia="Arial" w:hAnsi="Arial"/>
                <w:sz w:val="15"/>
                <w:szCs w:val="15"/>
                <w:b w:val="1"/>
                <w:bCs w:val="1"/>
                <w:color w:val="auto"/>
              </w:rPr>
              <w:t>Title of each class</w:t>
            </w:r>
          </w:p>
        </w:tc>
        <w:tc>
          <w:tcPr>
            <w:tcW w:w="3480" w:type="dxa"/>
            <w:vAlign w:val="bottom"/>
            <w:tcBorders>
              <w:bottom w:val="single" w:sz="8" w:color="auto"/>
            </w:tcBorders>
          </w:tcPr>
          <w:p>
            <w:pPr>
              <w:ind w:left="1180"/>
              <w:spacing w:after="0"/>
              <w:rPr>
                <w:sz w:val="20"/>
                <w:szCs w:val="20"/>
                <w:color w:val="auto"/>
              </w:rPr>
            </w:pPr>
            <w:r>
              <w:rPr>
                <w:rFonts w:ascii="Arial" w:cs="Arial" w:eastAsia="Arial" w:hAnsi="Arial"/>
                <w:sz w:val="15"/>
                <w:szCs w:val="15"/>
                <w:b w:val="1"/>
                <w:bCs w:val="1"/>
                <w:color w:val="auto"/>
              </w:rPr>
              <w:t>Trading Symbol(s)</w:t>
            </w:r>
          </w:p>
        </w:tc>
        <w:tc>
          <w:tcPr>
            <w:tcW w:w="4000" w:type="dxa"/>
            <w:vAlign w:val="bottom"/>
            <w:tcBorders>
              <w:bottom w:val="single" w:sz="8" w:color="auto"/>
            </w:tcBorders>
          </w:tcPr>
          <w:p>
            <w:pPr>
              <w:jc w:val="center"/>
              <w:ind w:right="186"/>
              <w:spacing w:after="0"/>
              <w:rPr>
                <w:sz w:val="20"/>
                <w:szCs w:val="20"/>
                <w:color w:val="auto"/>
              </w:rPr>
            </w:pPr>
            <w:r>
              <w:rPr>
                <w:rFonts w:ascii="Arial" w:cs="Arial" w:eastAsia="Arial" w:hAnsi="Arial"/>
                <w:sz w:val="15"/>
                <w:szCs w:val="15"/>
                <w:b w:val="1"/>
                <w:bCs w:val="1"/>
                <w:color w:val="auto"/>
                <w:w w:val="86"/>
              </w:rPr>
              <w:t>on which registered</w:t>
            </w:r>
          </w:p>
        </w:tc>
      </w:tr>
      <w:tr>
        <w:trPr>
          <w:trHeight w:val="167"/>
        </w:trPr>
        <w:tc>
          <w:tcPr>
            <w:tcW w:w="3800" w:type="dxa"/>
            <w:vAlign w:val="bottom"/>
          </w:tcPr>
          <w:p>
            <w:pPr>
              <w:jc w:val="right"/>
              <w:ind w:right="1106"/>
              <w:spacing w:after="0" w:line="167" w:lineRule="exact"/>
              <w:rPr>
                <w:sz w:val="20"/>
                <w:szCs w:val="20"/>
                <w:color w:val="auto"/>
              </w:rPr>
            </w:pPr>
            <w:r>
              <w:rPr>
                <w:rFonts w:ascii="Arial" w:cs="Arial" w:eastAsia="Arial" w:hAnsi="Arial"/>
                <w:sz w:val="15"/>
                <w:szCs w:val="15"/>
                <w:color w:val="auto"/>
                <w:w w:val="88"/>
              </w:rPr>
              <w:t>Class A Ordinary Shares, par value $0.0001</w:t>
            </w:r>
          </w:p>
        </w:tc>
        <w:tc>
          <w:tcPr>
            <w:tcW w:w="3480" w:type="dxa"/>
            <w:vAlign w:val="bottom"/>
          </w:tcPr>
          <w:p>
            <w:pPr>
              <w:ind w:left="1620"/>
              <w:spacing w:after="0" w:line="167" w:lineRule="exact"/>
              <w:rPr>
                <w:sz w:val="20"/>
                <w:szCs w:val="20"/>
                <w:color w:val="auto"/>
              </w:rPr>
            </w:pPr>
            <w:r>
              <w:rPr>
                <w:rFonts w:ascii="Arial" w:cs="Arial" w:eastAsia="Arial" w:hAnsi="Arial"/>
                <w:sz w:val="15"/>
                <w:szCs w:val="15"/>
                <w:color w:val="auto"/>
              </w:rPr>
              <w:t>ARYA</w:t>
            </w:r>
          </w:p>
        </w:tc>
        <w:tc>
          <w:tcPr>
            <w:tcW w:w="4000" w:type="dxa"/>
            <w:vAlign w:val="bottom"/>
          </w:tcPr>
          <w:p>
            <w:pPr>
              <w:jc w:val="center"/>
              <w:ind w:right="186"/>
              <w:spacing w:after="0" w:line="167" w:lineRule="exact"/>
              <w:rPr>
                <w:sz w:val="20"/>
                <w:szCs w:val="20"/>
                <w:color w:val="auto"/>
              </w:rPr>
            </w:pPr>
            <w:r>
              <w:rPr>
                <w:rFonts w:ascii="Arial" w:cs="Arial" w:eastAsia="Arial" w:hAnsi="Arial"/>
                <w:sz w:val="15"/>
                <w:szCs w:val="15"/>
                <w:color w:val="auto"/>
                <w:w w:val="88"/>
              </w:rPr>
              <w:t>The Nasdaq Capital</w:t>
            </w:r>
          </w:p>
        </w:tc>
      </w:tr>
      <w:tr>
        <w:trPr>
          <w:trHeight w:val="188"/>
        </w:trPr>
        <w:tc>
          <w:tcPr>
            <w:tcW w:w="3800" w:type="dxa"/>
            <w:vAlign w:val="bottom"/>
          </w:tcPr>
          <w:p>
            <w:pPr>
              <w:jc w:val="right"/>
              <w:ind w:right="3146"/>
              <w:spacing w:after="0"/>
              <w:rPr>
                <w:sz w:val="20"/>
                <w:szCs w:val="20"/>
                <w:color w:val="auto"/>
              </w:rPr>
            </w:pPr>
            <w:r>
              <w:rPr>
                <w:rFonts w:ascii="Arial" w:cs="Arial" w:eastAsia="Arial" w:hAnsi="Arial"/>
                <w:sz w:val="15"/>
                <w:szCs w:val="15"/>
                <w:color w:val="auto"/>
                <w:w w:val="84"/>
              </w:rPr>
              <w:t>per Share</w:t>
            </w:r>
          </w:p>
        </w:tc>
        <w:tc>
          <w:tcPr>
            <w:tcW w:w="3480" w:type="dxa"/>
            <w:vAlign w:val="bottom"/>
          </w:tcPr>
          <w:p>
            <w:pPr>
              <w:spacing w:after="0"/>
              <w:rPr>
                <w:sz w:val="16"/>
                <w:szCs w:val="16"/>
                <w:color w:val="auto"/>
              </w:rPr>
            </w:pPr>
          </w:p>
        </w:tc>
        <w:tc>
          <w:tcPr>
            <w:tcW w:w="4000" w:type="dxa"/>
            <w:vAlign w:val="bottom"/>
          </w:tcPr>
          <w:p>
            <w:pPr>
              <w:jc w:val="center"/>
              <w:ind w:right="186"/>
              <w:spacing w:after="0"/>
              <w:rPr>
                <w:sz w:val="20"/>
                <w:szCs w:val="20"/>
                <w:color w:val="auto"/>
              </w:rPr>
            </w:pPr>
            <w:r>
              <w:rPr>
                <w:rFonts w:ascii="Arial" w:cs="Arial" w:eastAsia="Arial" w:hAnsi="Arial"/>
                <w:sz w:val="15"/>
                <w:szCs w:val="15"/>
                <w:color w:val="auto"/>
                <w:w w:val="91"/>
              </w:rPr>
              <w:t>Market</w:t>
            </w:r>
          </w:p>
        </w:tc>
      </w:tr>
      <w:tr>
        <w:trPr>
          <w:trHeight w:val="178"/>
        </w:trPr>
        <w:tc>
          <w:tcPr>
            <w:tcW w:w="380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tcPr>
          <w:p>
            <w:pPr>
              <w:spacing w:after="0"/>
              <w:rPr>
                <w:sz w:val="15"/>
                <w:szCs w:val="15"/>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pacing w:after="0" w:line="183" w:lineRule="exact"/>
        <w:rPr>
          <w:sz w:val="24"/>
          <w:szCs w:val="24"/>
          <w:color w:val="auto"/>
        </w:rPr>
      </w:pPr>
    </w:p>
    <w:p>
      <w:pPr>
        <w:ind w:right="480"/>
        <w:spacing w:after="0" w:line="25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right="16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166370</wp:posOffset>
            </wp:positionV>
            <wp:extent cx="71570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243840</wp:posOffset>
            </wp:positionV>
            <wp:extent cx="715708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085" cy="2794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363855</wp:posOffset>
            </wp:positionV>
            <wp:extent cx="715708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202" w:lineRule="exact"/>
        <w:rPr>
          <w:sz w:val="20"/>
          <w:szCs w:val="20"/>
          <w:color w:val="auto"/>
        </w:rPr>
      </w:pPr>
    </w:p>
    <w:p>
      <w:pPr>
        <w:jc w:val="both"/>
        <w:ind w:firstLine="532"/>
        <w:spacing w:after="0" w:line="241" w:lineRule="auto"/>
        <w:rPr>
          <w:sz w:val="20"/>
          <w:szCs w:val="20"/>
          <w:color w:val="auto"/>
        </w:rPr>
      </w:pPr>
      <w:r>
        <w:rPr>
          <w:rFonts w:ascii="Arial" w:cs="Arial" w:eastAsia="Arial" w:hAnsi="Arial"/>
          <w:sz w:val="18"/>
          <w:szCs w:val="18"/>
          <w:color w:val="auto"/>
        </w:rPr>
        <w:t>Furnished as Exhibit 99.1 hereto and incorporated into this Item 7.01 by reference are presentation materials that were provided to employees of Nautilus Biotechnology, Inc. (“Nautilus”) and that discuss the treatment of the outstanding Nautilus stock options in connection with the proposed business combination between ARYA Sciences Acquisition Corp. (“ARYA”) and Nautilus (the “Business Combination”).</w:t>
      </w:r>
    </w:p>
    <w:p>
      <w:pPr>
        <w:spacing w:after="0" w:line="175" w:lineRule="exact"/>
        <w:rPr>
          <w:sz w:val="20"/>
          <w:szCs w:val="20"/>
          <w:color w:val="auto"/>
        </w:rPr>
      </w:pPr>
    </w:p>
    <w:p>
      <w:pPr>
        <w:jc w:val="both"/>
        <w:ind w:firstLine="532"/>
        <w:spacing w:after="0" w:line="262" w:lineRule="auto"/>
        <w:rPr>
          <w:sz w:val="20"/>
          <w:szCs w:val="20"/>
          <w:color w:val="auto"/>
        </w:rPr>
      </w:pPr>
      <w:r>
        <w:rPr>
          <w:rFonts w:ascii="Arial" w:cs="Arial" w:eastAsia="Arial" w:hAnsi="Arial"/>
          <w:sz w:val="17"/>
          <w:szCs w:val="17"/>
          <w:color w:val="auto"/>
        </w:rPr>
        <w:t>The foregoing (including Exhibits 99.1) is being furnished pursuant to Item 7.01 and will not be deemed to be filed for purposes of Section 18 of the Securities and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or otherwise be subject to the liabilities of that section, nor will it be deemed to be incorporated by reference in any filing under the the Securities Act of 1933, as amended (the “Securities Act”) or the Exchange Act.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98" w:lineRule="exact"/>
        <w:rPr>
          <w:sz w:val="20"/>
          <w:szCs w:val="20"/>
          <w:color w:val="auto"/>
        </w:rPr>
      </w:pPr>
    </w:p>
    <w:p>
      <w:pPr>
        <w:jc w:val="both"/>
        <w:ind w:firstLine="532"/>
        <w:spacing w:after="0" w:line="265" w:lineRule="auto"/>
        <w:rPr>
          <w:sz w:val="20"/>
          <w:szCs w:val="20"/>
          <w:color w:val="auto"/>
        </w:rPr>
      </w:pPr>
      <w:r>
        <w:rPr>
          <w:rFonts w:ascii="Arial" w:cs="Arial" w:eastAsia="Arial" w:hAnsi="Arial"/>
          <w:sz w:val="16"/>
          <w:szCs w:val="16"/>
          <w:color w:val="auto"/>
        </w:rPr>
        <w:t>In connection with the Business Combination, ARYA has filed with the U.S. Securities and Exchange Commission’s (“</w:t>
      </w:r>
      <w:r>
        <w:rPr>
          <w:rFonts w:ascii="Arial" w:cs="Arial" w:eastAsia="Arial" w:hAnsi="Arial"/>
          <w:sz w:val="16"/>
          <w:szCs w:val="16"/>
          <w:i w:val="1"/>
          <w:iCs w:val="1"/>
          <w:color w:val="auto"/>
        </w:rPr>
        <w:t>SEC</w:t>
      </w:r>
      <w:r>
        <w:rPr>
          <w:rFonts w:ascii="Arial" w:cs="Arial" w:eastAsia="Arial" w:hAnsi="Arial"/>
          <w:sz w:val="16"/>
          <w:szCs w:val="16"/>
          <w:color w:val="auto"/>
        </w:rPr>
        <w:t>”) a Registration Statement on Form S-4 (the “Registration Statement”), which includes a preliminary prospectus and preliminary proxy statement. ARYA will mail a definitive proxy statement/final prospectus and other relevant documents to its shareholders. This communication is not a substitute for the Registration Statement, the definitive proxy statement/final prospectus or any other document that ARYA will send to its shareholders in connection with the Business Combination.</w:t>
      </w:r>
    </w:p>
    <w:p>
      <w:pPr>
        <w:jc w:val="both"/>
        <w:spacing w:after="0" w:line="248" w:lineRule="auto"/>
        <w:rPr>
          <w:sz w:val="20"/>
          <w:szCs w:val="20"/>
          <w:color w:val="auto"/>
        </w:rPr>
      </w:pPr>
      <w:r>
        <w:rPr>
          <w:rFonts w:ascii="Arial" w:cs="Arial" w:eastAsia="Arial" w:hAnsi="Arial"/>
          <w:sz w:val="17"/>
          <w:szCs w:val="17"/>
          <w:b w:val="1"/>
          <w:bCs w:val="1"/>
          <w:color w:val="auto"/>
        </w:rPr>
        <w:t xml:space="preserve">Investors and security holders of ARYA are advised to read, when available, the proxy statement/prospectus in connection with ARYA’s solicitation of proxies for its extraordinary general meeting of shareholders to be held to approve the Business Combination (and related matters) because the proxy statement/prospectus will contain important information about the Business Combination and the parties to the Business Combination. </w:t>
      </w:r>
      <w:r>
        <w:rPr>
          <w:rFonts w:ascii="Arial" w:cs="Arial" w:eastAsia="Arial" w:hAnsi="Arial"/>
          <w:sz w:val="17"/>
          <w:szCs w:val="17"/>
          <w:color w:val="auto"/>
        </w:rPr>
        <w:t>The</w:t>
      </w:r>
      <w:r>
        <w:rPr>
          <w:rFonts w:ascii="Arial" w:cs="Arial" w:eastAsia="Arial" w:hAnsi="Arial"/>
          <w:sz w:val="17"/>
          <w:szCs w:val="17"/>
          <w:b w:val="1"/>
          <w:bCs w:val="1"/>
          <w:color w:val="auto"/>
        </w:rPr>
        <w:t xml:space="preserve"> </w:t>
      </w:r>
      <w:r>
        <w:rPr>
          <w:rFonts w:ascii="Arial" w:cs="Arial" w:eastAsia="Arial" w:hAnsi="Arial"/>
          <w:sz w:val="17"/>
          <w:szCs w:val="17"/>
          <w:color w:val="auto"/>
        </w:rPr>
        <w:t>definitive proxy statement/final prospectus will be mailed to shareholders of ARYA as of a record date to be established for voting on the Business Combination. Shareholders will also be able to obtain copies of the proxy statement/prospectus, without charge, once available, at the SEC’s website at www.sec.gov or by directing a request to: 51 Astor Place, 10th Floor, New York, New York 10003.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92" w:lineRule="exact"/>
        <w:rPr>
          <w:sz w:val="20"/>
          <w:szCs w:val="20"/>
          <w:color w:val="auto"/>
        </w:rPr>
      </w:pPr>
    </w:p>
    <w:p>
      <w:pPr>
        <w:jc w:val="both"/>
        <w:ind w:firstLine="532"/>
        <w:spacing w:after="0" w:line="253" w:lineRule="auto"/>
        <w:rPr>
          <w:sz w:val="20"/>
          <w:szCs w:val="20"/>
          <w:color w:val="auto"/>
        </w:rPr>
      </w:pPr>
      <w:r>
        <w:rPr>
          <w:rFonts w:ascii="Arial" w:cs="Arial" w:eastAsia="Arial" w:hAnsi="Arial"/>
          <w:sz w:val="17"/>
          <w:szCs w:val="17"/>
          <w:b w:val="1"/>
          <w:bCs w:val="1"/>
          <w:color w:val="auto"/>
        </w:rPr>
        <w:t xml:space="preserve">ARYA, Nautilus and their respective directors, executive officers, other members of management, and employees, under SEC rules, may be deemed to be participants in the solicitation of proxies of ARYA’s shareholders in connection with the Business Combination. </w:t>
      </w:r>
      <w:r>
        <w:rPr>
          <w:rFonts w:ascii="Arial" w:cs="Arial" w:eastAsia="Arial" w:hAnsi="Arial"/>
          <w:sz w:val="17"/>
          <w:szCs w:val="17"/>
          <w:color w:val="auto"/>
        </w:rPr>
        <w:t>Investors and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may obtain more detailed information regarding the names and interests in the Business Combination of ARYA’s directors and officers in ARYA’s filings with the SEC, including the Registration Statement filed with the SEC by ARYA, which includes the proxy statement of ARYA for the Business Combination, and such information and names of Nautilus’s directors and executive officers will also be in the Registration Statement to be filed with the SEC by ARYA, which will include the proxy statement of ARYA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208280</wp:posOffset>
            </wp:positionV>
            <wp:extent cx="715708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jc w:val="both"/>
        <w:ind w:firstLine="532"/>
        <w:spacing w:after="0" w:line="262"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but are not limited to, statements regarding future events, the Business Combination between ARYA and Nautilus, the estimated or anticipated future results and benefits of the combined company following the Business Combination, including the likelihood and ability of the parties to successfully consummate the Business Combination, future opportunities for the combined company, and other statements that are not historical facts. These statements are based on the current expectations of ARYA’s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Arya and Nautilus. These statements are subject to a number of risks and uncertainties regarding ARYA’s businesses and the Business Combination, and actual results may differ materially. These risks and uncertainties include, but are not limited to, general economic, political and business conditions; the inability of the parties to consummate the Business Combination or the occurrence of any event, change or other circumstances that could give rise to the termination of the Business Combination Agreement; the outcome of any legal proceedings that may be instituted against the parties following the announcement of the Business Combination; the receipt of an unsolicited offer from another party for an alternative business transaction that could interfere with the Business Combination; the risk that the approval of the shareholders of ARYA or Nautilus for the potential transaction is not obtained; failure to realize the anticipated benefits of the Business Combination, including as a result of a delay in consummating the potential transaction or difficulty in integrating the businesses of ARYA and Nautilus; the risk that the Business Combination disrupts current plans and operations as a result of the announcement and consummation of the Business Combination; the ability of the combined company to grow and manage growth profitably and retain its key employees; the amount of redemption requests made by ARYA’s shareholders; the inability to obtain or maintain the listing of the post-acquisition company’s securities on Nasdaq following the Business Combination; costs related to the Business Combination; and those factors discussed in ARYA’s Registration Statement or final prospectus relating to its initial public offering, dated August 6, 2020, and other filings with the SEC. There may be additional risks that ARYA presently does not know or that ARYA currently believes are immaterial that could also cause actual results to differ from those contained in the forward-looking statements. In addition, forward-looking statements provide ARYA’s expectations, plans or forecasts of future events and views as of the date of this communication. ARYA anticipates that subsequent events and developments will cause ARYA’s assessments to change. However, while ARYA may elect to update these forward-looking statements at some point in the future, ARYA specifically disclaims any obligation to do so. These forward-looking statements should not be relied upon as representing ARYA’s assessments as of any date subsequent to the date of this communication. Accordingly, undue reliance should not be placed upon the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198" w:lineRule="exact"/>
        <w:rPr>
          <w:sz w:val="20"/>
          <w:szCs w:val="20"/>
          <w:color w:val="auto"/>
        </w:rPr>
      </w:pPr>
    </w:p>
    <w:p>
      <w:pPr>
        <w:jc w:val="both"/>
        <w:ind w:firstLine="532"/>
        <w:spacing w:after="0" w:line="238" w:lineRule="auto"/>
        <w:rPr>
          <w:sz w:val="20"/>
          <w:szCs w:val="20"/>
          <w:color w:val="auto"/>
        </w:rPr>
      </w:pPr>
      <w:r>
        <w:rPr>
          <w:rFonts w:ascii="Arial" w:cs="Arial" w:eastAsia="Arial" w:hAnsi="Arial"/>
          <w:sz w:val="18"/>
          <w:szCs w:val="18"/>
          <w:color w:val="auto"/>
        </w:rPr>
        <w:t>This communication is for informational purposes only and is neither an offer to purchase, nor a solicitation of an offer to sell, subscribe for or buy any securities or the solicitation of any vote in any jurisdiction pursuant to the Business Combination or otherwise, nor shall there be any sale, issuance or transfer or securities in any jurisdiction in contravention of applicable law. No offer of securities shall be made except by means of a prospectus meeting the requirements of Section 10 of the Securities Act.</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(d)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260" w:type="dxa"/>
            <w:vAlign w:val="bottom"/>
            <w:gridSpan w:val="3"/>
          </w:tcPr>
          <w:p>
            <w:pPr>
              <w:jc w:val="center"/>
              <w:ind w:left="506"/>
              <w:spacing w:after="0"/>
              <w:rPr>
                <w:sz w:val="20"/>
                <w:szCs w:val="20"/>
                <w:color w:val="auto"/>
              </w:rPr>
            </w:pPr>
            <w:r>
              <w:rPr>
                <w:rFonts w:ascii="Arial" w:cs="Arial" w:eastAsia="Arial" w:hAnsi="Arial"/>
                <w:sz w:val="15"/>
                <w:szCs w:val="15"/>
                <w:b w:val="1"/>
                <w:bCs w:val="1"/>
                <w:color w:val="auto"/>
                <w:w w:val="95"/>
              </w:rPr>
              <w:t>Exhibit</w:t>
            </w:r>
          </w:p>
        </w:tc>
        <w:tc>
          <w:tcPr>
            <w:tcW w:w="9020" w:type="dxa"/>
            <w:vAlign w:val="bottom"/>
          </w:tcPr>
          <w:p>
            <w:pPr>
              <w:spacing w:after="0"/>
              <w:rPr>
                <w:sz w:val="15"/>
                <w:szCs w:val="15"/>
                <w:color w:val="auto"/>
              </w:rPr>
            </w:pPr>
          </w:p>
        </w:tc>
      </w:tr>
      <w:tr>
        <w:trPr>
          <w:trHeight w:val="194"/>
        </w:trPr>
        <w:tc>
          <w:tcPr>
            <w:tcW w:w="2260" w:type="dxa"/>
            <w:vAlign w:val="bottom"/>
            <w:tcBorders>
              <w:bottom w:val="single" w:sz="8" w:color="auto"/>
            </w:tcBorders>
            <w:gridSpan w:val="3"/>
          </w:tcPr>
          <w:p>
            <w:pPr>
              <w:jc w:val="center"/>
              <w:ind w:left="506"/>
              <w:spacing w:after="0"/>
              <w:rPr>
                <w:sz w:val="20"/>
                <w:szCs w:val="20"/>
                <w:color w:val="auto"/>
              </w:rPr>
            </w:pPr>
            <w:r>
              <w:rPr>
                <w:rFonts w:ascii="Arial" w:cs="Arial" w:eastAsia="Arial" w:hAnsi="Arial"/>
                <w:sz w:val="15"/>
                <w:szCs w:val="15"/>
                <w:b w:val="1"/>
                <w:bCs w:val="1"/>
                <w:color w:val="auto"/>
                <w:w w:val="91"/>
              </w:rPr>
              <w:t>Number</w:t>
            </w:r>
          </w:p>
        </w:tc>
        <w:tc>
          <w:tcPr>
            <w:tcW w:w="9020" w:type="dxa"/>
            <w:vAlign w:val="bottom"/>
            <w:tcBorders>
              <w:bottom w:val="single" w:sz="8" w:color="auto"/>
            </w:tcBorders>
          </w:tcPr>
          <w:p>
            <w:pPr>
              <w:ind w:left="4420"/>
              <w:spacing w:after="0"/>
              <w:rPr>
                <w:sz w:val="20"/>
                <w:szCs w:val="20"/>
                <w:color w:val="auto"/>
              </w:rPr>
            </w:pPr>
            <w:r>
              <w:rPr>
                <w:rFonts w:ascii="Arial" w:cs="Arial" w:eastAsia="Arial" w:hAnsi="Arial"/>
                <w:sz w:val="15"/>
                <w:szCs w:val="15"/>
                <w:b w:val="1"/>
                <w:bCs w:val="1"/>
                <w:color w:val="auto"/>
              </w:rPr>
              <w:t>Description</w:t>
            </w:r>
          </w:p>
        </w:tc>
      </w:tr>
      <w:tr>
        <w:trPr>
          <w:trHeight w:val="144"/>
        </w:trPr>
        <w:tc>
          <w:tcPr>
            <w:tcW w:w="2260" w:type="dxa"/>
            <w:vAlign w:val="bottom"/>
            <w:gridSpan w:val="3"/>
          </w:tcPr>
          <w:p>
            <w:pPr>
              <w:jc w:val="center"/>
              <w:ind w:left="486"/>
              <w:spacing w:after="0" w:line="144" w:lineRule="exact"/>
              <w:rPr>
                <w:rFonts w:ascii="Arial" w:cs="Arial" w:eastAsia="Arial" w:hAnsi="Arial"/>
                <w:sz w:val="15"/>
                <w:szCs w:val="15"/>
                <w:color w:val="0000EE"/>
                <w:w w:val="88"/>
              </w:rPr>
            </w:pPr>
            <w:hyperlink w:anchor="page5">
              <w:r>
                <w:rPr>
                  <w:rFonts w:ascii="Arial" w:cs="Arial" w:eastAsia="Arial" w:hAnsi="Arial"/>
                  <w:sz w:val="15"/>
                  <w:szCs w:val="15"/>
                  <w:color w:val="0000EE"/>
                  <w:w w:val="88"/>
                </w:rPr>
                <w:t>99.</w:t>
              </w:r>
              <w:r>
                <w:rPr>
                  <w:rFonts w:ascii="Arial" w:cs="Arial" w:eastAsia="Arial" w:hAnsi="Arial"/>
                  <w:sz w:val="15"/>
                  <w:szCs w:val="15"/>
                  <w:u w:val="single" w:color="auto"/>
                  <w:color w:val="0000EE"/>
                  <w:w w:val="88"/>
                </w:rPr>
                <w:t>1</w:t>
              </w:r>
            </w:hyperlink>
          </w:p>
        </w:tc>
        <w:tc>
          <w:tcPr>
            <w:tcW w:w="9020" w:type="dxa"/>
            <w:vAlign w:val="bottom"/>
          </w:tcPr>
          <w:p>
            <w:pPr>
              <w:ind w:left="560"/>
              <w:spacing w:after="0" w:line="144" w:lineRule="exact"/>
              <w:rPr>
                <w:sz w:val="20"/>
                <w:szCs w:val="20"/>
                <w:color w:val="auto"/>
              </w:rPr>
            </w:pPr>
            <w:r>
              <w:rPr>
                <w:rFonts w:ascii="Arial" w:cs="Arial" w:eastAsia="Arial" w:hAnsi="Arial"/>
                <w:sz w:val="15"/>
                <w:szCs w:val="15"/>
                <w:color w:val="auto"/>
              </w:rPr>
              <w:t>Employee Option Presentation, dated April 7, 2021.</w:t>
            </w:r>
          </w:p>
        </w:tc>
      </w:tr>
      <w:tr>
        <w:trPr>
          <w:trHeight w:val="359"/>
        </w:trPr>
        <w:tc>
          <w:tcPr>
            <w:tcW w:w="1280" w:type="dxa"/>
            <w:vAlign w:val="bottom"/>
            <w:tcBorders>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8"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right="600" w:firstLine="532"/>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0" w:type="dxa"/>
            <w:vAlign w:val="bottom"/>
          </w:tcPr>
          <w:p>
            <w:pPr>
              <w:spacing w:after="0"/>
              <w:rPr>
                <w:sz w:val="20"/>
                <w:szCs w:val="20"/>
                <w:color w:val="auto"/>
              </w:rPr>
            </w:pPr>
            <w:r>
              <w:rPr>
                <w:rFonts w:ascii="Arial" w:cs="Arial" w:eastAsia="Arial" w:hAnsi="Arial"/>
                <w:sz w:val="15"/>
                <w:szCs w:val="15"/>
                <w:color w:val="auto"/>
              </w:rPr>
              <w:t>Date: April 7, 2021</w:t>
            </w:r>
          </w:p>
        </w:tc>
        <w:tc>
          <w:tcPr>
            <w:tcW w:w="7880" w:type="dxa"/>
            <w:vAlign w:val="bottom"/>
            <w:gridSpan w:val="2"/>
          </w:tcPr>
          <w:p>
            <w:pPr>
              <w:ind w:left="2260"/>
              <w:spacing w:after="0"/>
              <w:rPr>
                <w:sz w:val="20"/>
                <w:szCs w:val="20"/>
                <w:color w:val="auto"/>
              </w:rPr>
            </w:pPr>
            <w:r>
              <w:rPr>
                <w:rFonts w:ascii="Arial" w:cs="Arial" w:eastAsia="Arial" w:hAnsi="Arial"/>
                <w:sz w:val="15"/>
                <w:szCs w:val="15"/>
                <w:color w:val="auto"/>
              </w:rPr>
              <w:t>ARYA SCIENCES ACQUISITION CORP III</w:t>
            </w:r>
          </w:p>
        </w:tc>
      </w:tr>
      <w:tr>
        <w:trPr>
          <w:trHeight w:val="358"/>
        </w:trPr>
        <w:tc>
          <w:tcPr>
            <w:tcW w:w="3400" w:type="dxa"/>
            <w:vAlign w:val="bottom"/>
          </w:tcPr>
          <w:p>
            <w:pPr>
              <w:spacing w:after="0"/>
              <w:rPr>
                <w:sz w:val="24"/>
                <w:szCs w:val="24"/>
                <w:color w:val="auto"/>
              </w:rPr>
            </w:pPr>
          </w:p>
        </w:tc>
        <w:tc>
          <w:tcPr>
            <w:tcW w:w="2800" w:type="dxa"/>
            <w:vAlign w:val="bottom"/>
          </w:tcPr>
          <w:p>
            <w:pPr>
              <w:ind w:left="2260"/>
              <w:spacing w:after="0"/>
              <w:rPr>
                <w:sz w:val="20"/>
                <w:szCs w:val="20"/>
                <w:color w:val="auto"/>
              </w:rPr>
            </w:pPr>
            <w:r>
              <w:rPr>
                <w:rFonts w:ascii="Arial" w:cs="Arial" w:eastAsia="Arial" w:hAnsi="Arial"/>
                <w:sz w:val="15"/>
                <w:szCs w:val="15"/>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Adam Stone</w:t>
            </w:r>
          </w:p>
        </w:tc>
      </w:tr>
      <w:tr>
        <w:trPr>
          <w:trHeight w:val="167"/>
        </w:trPr>
        <w:tc>
          <w:tcPr>
            <w:tcW w:w="3400" w:type="dxa"/>
            <w:vAlign w:val="bottom"/>
          </w:tcPr>
          <w:p>
            <w:pPr>
              <w:spacing w:after="0"/>
              <w:rPr>
                <w:sz w:val="14"/>
                <w:szCs w:val="14"/>
                <w:color w:val="auto"/>
              </w:rPr>
            </w:pPr>
          </w:p>
        </w:tc>
        <w:tc>
          <w:tcPr>
            <w:tcW w:w="2800" w:type="dxa"/>
            <w:vAlign w:val="bottom"/>
          </w:tcPr>
          <w:p>
            <w:pPr>
              <w:ind w:left="2260"/>
              <w:spacing w:after="0" w:line="167" w:lineRule="exact"/>
              <w:rPr>
                <w:sz w:val="20"/>
                <w:szCs w:val="20"/>
                <w:color w:val="auto"/>
              </w:rPr>
            </w:pPr>
            <w:r>
              <w:rPr>
                <w:rFonts w:ascii="Arial" w:cs="Arial" w:eastAsia="Arial" w:hAnsi="Arial"/>
                <w:sz w:val="15"/>
                <w:szCs w:val="15"/>
                <w:color w:val="auto"/>
              </w:rPr>
              <w:t>Name:</w:t>
            </w:r>
          </w:p>
        </w:tc>
        <w:tc>
          <w:tcPr>
            <w:tcW w:w="5080" w:type="dxa"/>
            <w:vAlign w:val="bottom"/>
          </w:tcPr>
          <w:p>
            <w:pPr>
              <w:spacing w:after="0" w:line="167" w:lineRule="exact"/>
              <w:rPr>
                <w:sz w:val="20"/>
                <w:szCs w:val="20"/>
                <w:color w:val="auto"/>
              </w:rPr>
            </w:pPr>
            <w:r>
              <w:rPr>
                <w:rFonts w:ascii="Arial" w:cs="Arial" w:eastAsia="Arial" w:hAnsi="Arial"/>
                <w:sz w:val="15"/>
                <w:szCs w:val="15"/>
                <w:color w:val="auto"/>
              </w:rPr>
              <w:t>Adam Stone</w:t>
            </w:r>
          </w:p>
        </w:tc>
      </w:tr>
      <w:tr>
        <w:trPr>
          <w:trHeight w:val="188"/>
        </w:trPr>
        <w:tc>
          <w:tcPr>
            <w:tcW w:w="3400" w:type="dxa"/>
            <w:vAlign w:val="bottom"/>
          </w:tcPr>
          <w:p>
            <w:pPr>
              <w:spacing w:after="0"/>
              <w:rPr>
                <w:sz w:val="16"/>
                <w:szCs w:val="16"/>
                <w:color w:val="auto"/>
              </w:rPr>
            </w:pPr>
          </w:p>
        </w:tc>
        <w:tc>
          <w:tcPr>
            <w:tcW w:w="2800" w:type="dxa"/>
            <w:vAlign w:val="bottom"/>
          </w:tcPr>
          <w:p>
            <w:pPr>
              <w:ind w:left="2260"/>
              <w:spacing w:after="0"/>
              <w:rPr>
                <w:sz w:val="20"/>
                <w:szCs w:val="20"/>
                <w:color w:val="auto"/>
              </w:rPr>
            </w:pPr>
            <w:r>
              <w:rPr>
                <w:rFonts w:ascii="Arial" w:cs="Arial" w:eastAsia="Arial" w:hAnsi="Arial"/>
                <w:sz w:val="15"/>
                <w:szCs w:val="15"/>
                <w:color w:val="auto"/>
              </w:rPr>
              <w:t>Title:</w:t>
            </w:r>
          </w:p>
        </w:tc>
        <w:tc>
          <w:tcPr>
            <w:tcW w:w="5080" w:type="dxa"/>
            <w:vAlign w:val="bottom"/>
          </w:tcPr>
          <w:p>
            <w:pPr>
              <w:spacing w:after="0"/>
              <w:rPr>
                <w:sz w:val="20"/>
                <w:szCs w:val="20"/>
                <w:color w:val="auto"/>
              </w:rPr>
            </w:pPr>
            <w:r>
              <w:rPr>
                <w:rFonts w:ascii="Arial" w:cs="Arial" w:eastAsia="Arial" w:hAnsi="Arial"/>
                <w:sz w:val="15"/>
                <w:szCs w:val="15"/>
                <w:color w:val="auto"/>
              </w:rPr>
              <w:t>Chief Executive Officer</w:t>
            </w:r>
          </w:p>
        </w:tc>
      </w:tr>
      <w:tr>
        <w:trPr>
          <w:trHeight w:val="491"/>
        </w:trPr>
        <w:tc>
          <w:tcPr>
            <w:tcW w:w="34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8"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708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085" cy="27940"/>
                    </a:xfrm>
                    <a:prstGeom prst="rect">
                      <a:avLst/>
                    </a:prstGeom>
                    <a:noFill/>
                  </pic:spPr>
                </pic:pic>
              </a:graphicData>
            </a:graphic>
          </wp:anchor>
        </w:drawing>
        <w:t>Exhibit 99.1</w:t>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Filed by ARYA Sciences Acquisition Corp III</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Pursuant to Rule 425 under the Securities Act of 1933</w:t>
      </w:r>
    </w:p>
    <w:p>
      <w:pPr>
        <w:spacing w:after="0" w:line="5"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and deemed filed pursuant to Rule 14a-12</w:t>
      </w:r>
    </w:p>
    <w:p>
      <w:pPr>
        <w:spacing w:after="0" w:line="5"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5"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Subject Company: ARYA Sciences Acquisition Corp III</w:t>
      </w:r>
    </w:p>
    <w:p>
      <w:pPr>
        <w:spacing w:after="0" w:line="5" w:lineRule="exact"/>
        <w:rPr>
          <w:sz w:val="20"/>
          <w:szCs w:val="20"/>
          <w:color w:val="auto"/>
        </w:rPr>
      </w:pPr>
    </w:p>
    <w:p>
      <w:pPr>
        <w:ind w:left="5640"/>
        <w:spacing w:after="0"/>
        <w:rPr>
          <w:sz w:val="20"/>
          <w:szCs w:val="20"/>
          <w:color w:val="auto"/>
        </w:rPr>
      </w:pPr>
      <w:r>
        <w:rPr>
          <w:rFonts w:ascii="Arial" w:cs="Arial" w:eastAsia="Arial" w:hAnsi="Arial"/>
          <w:sz w:val="15"/>
          <w:szCs w:val="15"/>
          <w:b w:val="1"/>
          <w:bCs w:val="1"/>
          <w:color w:val="auto"/>
        </w:rPr>
        <w:t>Commission File No. 001-39434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130175</wp:posOffset>
            </wp:positionV>
            <wp:extent cx="7207885" cy="4297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0" w:num="1">
            <w:col w:w="10140"/>
          </w:cols>
          <w:pgMar w:left="1440" w:top="250"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11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7885" cy="4311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297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7885" cy="429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207885" cy="4388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7885" cy="43884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2021-04-07T15:32:40Z</dcterms:created>
  <dcterms:modified xsi:type="dcterms:W3CDTF">2021-04-07T15:32:40Z</dcterms:modified>
</cp:coreProperties>
</file>