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8.jpeg" ContentType="image/jpeg"/>
  <Override PartName="/word/media/image10.jpeg" ContentType="image/jpeg"/>
  <Override PartName="/word/media/image18.jpeg" ContentType="image/jpeg"/>
  <Override PartName="/word/media/image17.jpeg" ContentType="image/jpeg"/>
  <Override PartName="/word/media/image16.jpeg" ContentType="image/jpeg"/>
  <Override PartName="/word/media/image15.jpeg" ContentType="image/jpeg"/>
  <Override PartName="/word/media/image14.jpeg" ContentType="image/jpeg"/>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media/image1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80"/>
        <w:ind w:left="0" w:right="0" w:firstLine="36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UNITED STATES</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SECURITIES AND EXCHANGE COMMISSION</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Washington, D.C. 20549</w:t>
      </w:r>
    </w:p>
    <w:p>
      <w:pPr>
        <w:pStyle w:val="TextBody"/>
        <w:bidi w:val="0"/>
        <w:spacing w:lineRule="auto" w:line="288" w:before="0" w:after="0"/>
        <w:jc w:val="center"/>
        <w:rPr>
          <w:rFonts w:ascii="Times New Roman;sans-serif" w:hAnsi="Times New Roman;sans-serif"/>
          <w:b w:val="false"/>
          <w:color w:val="000000"/>
          <w:sz w:val="14"/>
        </w:rPr>
      </w:pPr>
      <w:r>
        <w:rPr>
          <w:rFonts w:ascii="Times New Roman;sans-serif" w:hAnsi="Times New Roman;sans-serif"/>
          <w:b w:val="false"/>
          <w:color w:val="000000"/>
          <w:sz w:val="14"/>
        </w:rPr>
        <w:t>__________________________________________________________________________</w:t>
      </w:r>
    </w:p>
    <w:p>
      <w:pPr>
        <w:pStyle w:val="TextBody"/>
        <w:bidi w:val="0"/>
        <w:spacing w:lineRule="auto" w:line="288" w:before="0" w:after="0"/>
        <w:jc w:val="center"/>
        <w:rPr>
          <w:rFonts w:ascii="Times New Roman;sans-serif" w:hAnsi="Times New Roman;sans-serif"/>
          <w:b/>
          <w:color w:val="000000"/>
          <w:sz w:val="32"/>
        </w:rPr>
      </w:pPr>
      <w:r>
        <w:rPr>
          <w:rFonts w:ascii="Times New Roman;sans-serif" w:hAnsi="Times New Roman;sans-serif"/>
          <w:b/>
          <w:color w:val="000000"/>
          <w:sz w:val="32"/>
        </w:rPr>
        <w:t xml:space="preserve">FORM 10-K </w:t>
      </w:r>
    </w:p>
    <w:p>
      <w:pPr>
        <w:pStyle w:val="TextBody"/>
        <w:bidi w:val="0"/>
        <w:spacing w:before="0" w:after="100"/>
        <w:jc w:val="left"/>
        <w:rPr/>
      </w:pPr>
      <w:r>
        <w:rPr/>
      </w:r>
    </w:p>
    <w:tbl>
      <w:tblPr>
        <w:tblW w:w="9927" w:type="dxa"/>
        <w:jc w:val="left"/>
        <w:tblInd w:w="0" w:type="dxa"/>
        <w:tblLayout w:type="fixed"/>
        <w:tblCellMar>
          <w:top w:w="28" w:type="dxa"/>
          <w:left w:w="28" w:type="dxa"/>
          <w:bottom w:w="28" w:type="dxa"/>
          <w:right w:w="28" w:type="dxa"/>
        </w:tblCellMar>
      </w:tblPr>
      <w:tblGrid>
        <w:gridCol w:w="124"/>
        <w:gridCol w:w="109"/>
        <w:gridCol w:w="109"/>
        <w:gridCol w:w="2808"/>
        <w:gridCol w:w="2808"/>
        <w:gridCol w:w="396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8" w:type="dxa"/>
            <w:tcBorders/>
            <w:vAlign w:val="center"/>
          </w:tcPr>
          <w:p>
            <w:pPr>
              <w:pStyle w:val="TableContents"/>
              <w:bidi w:val="0"/>
              <w:spacing w:before="0" w:after="283"/>
              <w:jc w:val="left"/>
              <w:rPr>
                <w:sz w:val="4"/>
                <w:szCs w:val="4"/>
              </w:rPr>
            </w:pPr>
            <w:r>
              <w:rPr>
                <w:sz w:val="4"/>
                <w:szCs w:val="4"/>
              </w:rPr>
            </w:r>
          </w:p>
        </w:tc>
        <w:tc>
          <w:tcPr>
            <w:tcW w:w="2808" w:type="dxa"/>
            <w:tcBorders/>
            <w:vAlign w:val="center"/>
          </w:tcPr>
          <w:p>
            <w:pPr>
              <w:pStyle w:val="TableContents"/>
              <w:bidi w:val="0"/>
              <w:spacing w:before="0" w:after="283"/>
              <w:jc w:val="left"/>
              <w:rPr>
                <w:sz w:val="4"/>
                <w:szCs w:val="4"/>
              </w:rPr>
            </w:pPr>
            <w:r>
              <w:rPr>
                <w:sz w:val="4"/>
                <w:szCs w:val="4"/>
              </w:rPr>
            </w:r>
          </w:p>
        </w:tc>
        <w:tc>
          <w:tcPr>
            <w:tcW w:w="396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5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ANNUAL REPORT PURSUANT TO SECTION 13 OR 15(d) OF THE SECURITIES EXCHANGE ACT OF 1934</w:t>
            </w:r>
          </w:p>
        </w:tc>
      </w:tr>
    </w:tbl>
    <w:p>
      <w:pPr>
        <w:pStyle w:val="TextBody"/>
        <w:bidi w:val="0"/>
        <w:spacing w:lineRule="auto" w:line="288" w:before="100" w:after="283"/>
        <w:jc w:val="center"/>
        <w:rPr>
          <w:rFonts w:ascii="Times New Roman;sans-serif" w:hAnsi="Times New Roman;sans-serif"/>
          <w:b/>
          <w:color w:val="000000"/>
          <w:sz w:val="20"/>
        </w:rPr>
      </w:pPr>
      <w:r>
        <w:rPr>
          <w:rFonts w:ascii="Times New Roman;sans-serif" w:hAnsi="Times New Roman;sans-serif"/>
          <w:b/>
          <w:color w:val="000000"/>
          <w:sz w:val="20"/>
        </w:rPr>
        <w:t>For the fiscal year ended December 31, 2024</w:t>
      </w:r>
    </w:p>
    <w:p>
      <w:pPr>
        <w:pStyle w:val="TextBody"/>
        <w:bidi w:val="0"/>
        <w:spacing w:lineRule="auto" w:line="288" w:before="100" w:after="100"/>
        <w:jc w:val="center"/>
        <w:rPr>
          <w:rFonts w:ascii="Times New Roman;sans-serif" w:hAnsi="Times New Roman;sans-serif"/>
          <w:b/>
          <w:color w:val="000000"/>
          <w:sz w:val="20"/>
        </w:rPr>
      </w:pPr>
      <w:r>
        <w:rPr>
          <w:rFonts w:ascii="Times New Roman;sans-serif" w:hAnsi="Times New Roman;sans-serif"/>
          <w:b/>
          <w:color w:val="000000"/>
          <w:sz w:val="20"/>
        </w:rPr>
        <w:t>OR</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TRANSITION REPORT PURSUANT TO SECTION 13 OR 15(d) OF THE SECURITIES EXCHANGE ACT OF 1934</w:t>
            </w:r>
          </w:p>
        </w:tc>
      </w:tr>
    </w:tbl>
    <w:p>
      <w:pPr>
        <w:pStyle w:val="TextBody"/>
        <w:bidi w:val="0"/>
        <w:spacing w:lineRule="auto" w:line="307"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transition period from ___________  to  ___________ </w:t>
      </w:r>
    </w:p>
    <w:p>
      <w:pPr>
        <w:pStyle w:val="TextBody"/>
        <w:bidi w:val="0"/>
        <w:spacing w:lineRule="auto" w:line="40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Commission file number 001-39434 </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32"/>
        </w:rPr>
      </w:pPr>
      <w:r>
        <w:rPr>
          <w:rFonts w:ascii="Times New Roman;sans-serif" w:hAnsi="Times New Roman;sans-serif"/>
          <w:b/>
          <w:color w:val="000000"/>
          <w:sz w:val="32"/>
        </w:rPr>
        <w:t>NAUTILUS BIOTECHNOLOGY, INC.</w:t>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(Exact name of registrant as specified in its charter)</w:t>
      </w:r>
    </w:p>
    <w:tbl>
      <w:tblPr>
        <w:tblW w:w="7613" w:type="dxa"/>
        <w:jc w:val="left"/>
        <w:tblInd w:w="0" w:type="dxa"/>
        <w:tblLayout w:type="fixed"/>
        <w:tblCellMar>
          <w:top w:w="28" w:type="dxa"/>
          <w:left w:w="28" w:type="dxa"/>
          <w:bottom w:w="28" w:type="dxa"/>
          <w:right w:w="28" w:type="dxa"/>
        </w:tblCellMar>
      </w:tblPr>
      <w:tblGrid>
        <w:gridCol w:w="1553"/>
        <w:gridCol w:w="1364"/>
        <w:gridCol w:w="1372"/>
        <w:gridCol w:w="109"/>
        <w:gridCol w:w="109"/>
        <w:gridCol w:w="109"/>
        <w:gridCol w:w="109"/>
        <w:gridCol w:w="109"/>
        <w:gridCol w:w="109"/>
        <w:gridCol w:w="778"/>
        <w:gridCol w:w="778"/>
        <w:gridCol w:w="1114"/>
      </w:tblGrid>
      <w:tr>
        <w:trPr/>
        <w:tc>
          <w:tcPr>
            <w:tcW w:w="1553" w:type="dxa"/>
            <w:tcBorders/>
            <w:vAlign w:val="center"/>
          </w:tcPr>
          <w:p>
            <w:pPr>
              <w:pStyle w:val="TableContents"/>
              <w:bidi w:val="0"/>
              <w:spacing w:before="0" w:after="283"/>
              <w:jc w:val="left"/>
              <w:rPr>
                <w:sz w:val="4"/>
                <w:szCs w:val="4"/>
              </w:rPr>
            </w:pPr>
            <w:r>
              <w:rPr>
                <w:sz w:val="4"/>
                <w:szCs w:val="4"/>
              </w:rPr>
            </w:r>
          </w:p>
        </w:tc>
        <w:tc>
          <w:tcPr>
            <w:tcW w:w="1364" w:type="dxa"/>
            <w:tcBorders/>
            <w:vAlign w:val="center"/>
          </w:tcPr>
          <w:p>
            <w:pPr>
              <w:pStyle w:val="TableContents"/>
              <w:bidi w:val="0"/>
              <w:spacing w:before="0" w:after="283"/>
              <w:jc w:val="left"/>
              <w:rPr>
                <w:sz w:val="4"/>
                <w:szCs w:val="4"/>
              </w:rPr>
            </w:pPr>
            <w:r>
              <w:rPr>
                <w:sz w:val="4"/>
                <w:szCs w:val="4"/>
              </w:rPr>
            </w:r>
          </w:p>
        </w:tc>
        <w:tc>
          <w:tcPr>
            <w:tcW w:w="13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r>
      <w:tr>
        <w:trPr/>
        <w:tc>
          <w:tcPr>
            <w:tcW w:w="4289"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Times New Roman;sans-serif" w:hAnsi="Times New Roman;sans-serif"/>
                <w:b/>
                <w:color w:val="000000"/>
                <w:sz w:val="16"/>
              </w:rPr>
            </w:pPr>
            <w:r>
              <w:rPr>
                <w:rFonts w:ascii="Times New Roman;sans-serif" w:hAnsi="Times New Roman;sans-serif"/>
                <w:b/>
                <w:color w:val="000000"/>
                <w:sz w:val="16"/>
              </w:rPr>
              <w:t>Delaware</w:t>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98-1541723</w:t>
            </w:r>
          </w:p>
        </w:tc>
      </w:tr>
      <w:tr>
        <w:trPr/>
        <w:tc>
          <w:tcPr>
            <w:tcW w:w="4289"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Times New Roman;sans-serif" w:hAnsi="Times New Roman;sans-serif"/>
                <w:b w:val="false"/>
                <w:color w:val="000000"/>
                <w:sz w:val="16"/>
              </w:rPr>
            </w:pPr>
            <w:r>
              <w:rPr>
                <w:rFonts w:ascii="Times New Roman;sans-serif" w:hAnsi="Times New Roman;sans-serif"/>
                <w:b w:val="false"/>
                <w:color w:val="000000"/>
                <w:sz w:val="16"/>
              </w:rPr>
              <w:t>(State or other jurisdiction of incorporation or organization)</w:t>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Times New Roman;sans-serif" w:hAnsi="Times New Roman;sans-serif"/>
                <w:b w:val="false"/>
                <w:color w:val="000000"/>
                <w:sz w:val="16"/>
              </w:rPr>
            </w:pPr>
            <w:r>
              <w:rPr>
                <w:rFonts w:ascii="Times New Roman;sans-serif" w:hAnsi="Times New Roman;sans-serif"/>
                <w:b w:val="false"/>
                <w:color w:val="000000"/>
                <w:sz w:val="16"/>
              </w:rPr>
              <w:t>(I.R.S. Employer Identification No.)</w:t>
            </w:r>
          </w:p>
        </w:tc>
      </w:tr>
      <w:tr>
        <w:trPr/>
        <w:tc>
          <w:tcPr>
            <w:tcW w:w="461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Times New Roman;sans-serif" w:hAnsi="Times New Roman;sans-serif"/>
                <w:b/>
                <w:color w:val="000000"/>
                <w:sz w:val="16"/>
              </w:rPr>
            </w:pPr>
            <w:r>
              <w:rPr>
                <w:rFonts w:ascii="Times New Roman;sans-serif" w:hAnsi="Times New Roman;sans-serif"/>
                <w:b/>
                <w:color w:val="000000"/>
                <w:sz w:val="16"/>
              </w:rPr>
              <w:t>2701 Eastlake Avenue East Seattle, Washington</w:t>
            </w:r>
          </w:p>
        </w:tc>
        <w:tc>
          <w:tcPr>
            <w:tcW w:w="327" w:type="dxa"/>
            <w:gridSpan w:val="3"/>
            <w:tcBorders/>
            <w:tcMar>
              <w:top w:w="0" w:type="dxa"/>
              <w:left w:w="0" w:type="dxa"/>
              <w:bottom w:w="0" w:type="dxa"/>
              <w:right w:w="0" w:type="dxa"/>
            </w:tcMar>
            <w:vAlign w:val="center"/>
          </w:tcPr>
          <w:p>
            <w:pPr>
              <w:pStyle w:val="TableContents"/>
              <w:bidi w:val="0"/>
              <w:spacing w:before="0" w:after="18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180"/>
              <w:jc w:val="left"/>
              <w:rPr/>
            </w:pPr>
            <w:r>
              <w:rPr/>
            </w:r>
          </w:p>
        </w:tc>
        <w:tc>
          <w:tcPr>
            <w:tcW w:w="2670"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Times New Roman;sans-serif" w:hAnsi="Times New Roman;sans-serif"/>
                <w:b/>
                <w:color w:val="000000"/>
                <w:sz w:val="16"/>
              </w:rPr>
            </w:pPr>
            <w:r>
              <w:rPr>
                <w:rFonts w:ascii="Times New Roman;sans-serif" w:hAnsi="Times New Roman;sans-serif"/>
                <w:b/>
                <w:color w:val="000000"/>
                <w:sz w:val="16"/>
              </w:rPr>
              <w:t>98102</w:t>
            </w:r>
          </w:p>
        </w:tc>
      </w:tr>
      <w:tr>
        <w:trPr/>
        <w:tc>
          <w:tcPr>
            <w:tcW w:w="4289"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Times New Roman;sans-serif" w:hAnsi="Times New Roman;sans-serif"/>
                <w:b w:val="false"/>
                <w:color w:val="000000"/>
                <w:sz w:val="16"/>
              </w:rPr>
            </w:pPr>
            <w:r>
              <w:rPr>
                <w:rFonts w:ascii="Times New Roman;sans-serif" w:hAnsi="Times New Roman;sans-serif"/>
                <w:b w:val="false"/>
                <w:color w:val="000000"/>
                <w:sz w:val="16"/>
              </w:rPr>
              <w:t>(Address of Principal Executive Offices)</w:t>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Times New Roman;sans-serif" w:hAnsi="Times New Roman;sans-serif"/>
                <w:b w:val="false"/>
                <w:color w:val="000000"/>
                <w:sz w:val="16"/>
              </w:rPr>
            </w:pPr>
            <w:r>
              <w:rPr>
                <w:rFonts w:ascii="Times New Roman;sans-serif" w:hAnsi="Times New Roman;sans-serif"/>
                <w:b w:val="false"/>
                <w:color w:val="000000"/>
                <w:sz w:val="16"/>
              </w:rPr>
              <w:t>(Zip Code)</w:t>
            </w:r>
          </w:p>
        </w:tc>
      </w:tr>
    </w:tbl>
    <w:p>
      <w:pPr>
        <w:pStyle w:val="TextBody"/>
        <w:bidi w:val="0"/>
        <w:spacing w:lineRule="auto" w:line="307"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Registrant's telephone number, including area code: (206) 333-2001 </w:t>
      </w:r>
    </w:p>
    <w:p>
      <w:pPr>
        <w:pStyle w:val="TextBody"/>
        <w:bidi w:val="0"/>
        <w:spacing w:lineRule="auto" w:line="288" w:before="180" w:after="18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Securities registered pursuant to Section 12(b) of the Act: </w:t>
      </w:r>
    </w:p>
    <w:tbl>
      <w:tblPr>
        <w:tblW w:w="8008" w:type="dxa"/>
        <w:jc w:val="left"/>
        <w:tblInd w:w="0" w:type="dxa"/>
        <w:tblLayout w:type="fixed"/>
        <w:tblCellMar>
          <w:top w:w="28" w:type="dxa"/>
          <w:left w:w="28" w:type="dxa"/>
          <w:bottom w:w="28" w:type="dxa"/>
          <w:right w:w="28" w:type="dxa"/>
        </w:tblCellMar>
      </w:tblPr>
      <w:tblGrid>
        <w:gridCol w:w="1218"/>
        <w:gridCol w:w="1063"/>
        <w:gridCol w:w="1078"/>
        <w:gridCol w:w="474"/>
        <w:gridCol w:w="474"/>
        <w:gridCol w:w="476"/>
        <w:gridCol w:w="945"/>
        <w:gridCol w:w="945"/>
        <w:gridCol w:w="1335"/>
      </w:tblGrid>
      <w:tr>
        <w:trPr/>
        <w:tc>
          <w:tcPr>
            <w:tcW w:w="1218"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335" w:type="dxa"/>
            <w:tcBorders/>
            <w:vAlign w:val="center"/>
          </w:tcPr>
          <w:p>
            <w:pPr>
              <w:pStyle w:val="TableContents"/>
              <w:bidi w:val="0"/>
              <w:spacing w:before="0" w:after="283"/>
              <w:jc w:val="left"/>
              <w:rPr>
                <w:sz w:val="4"/>
                <w:szCs w:val="4"/>
              </w:rPr>
            </w:pPr>
            <w:r>
              <w:rPr>
                <w:sz w:val="4"/>
                <w:szCs w:val="4"/>
              </w:rPr>
            </w:r>
          </w:p>
        </w:tc>
      </w:tr>
      <w:tr>
        <w:trPr/>
        <w:tc>
          <w:tcPr>
            <w:tcW w:w="335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Title of each class</w:t>
            </w:r>
          </w:p>
        </w:tc>
        <w:tc>
          <w:tcPr>
            <w:tcW w:w="142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Trading Symbol(s)</w:t>
            </w:r>
          </w:p>
        </w:tc>
        <w:tc>
          <w:tcPr>
            <w:tcW w:w="322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Name of each exchange on which registered</w:t>
            </w:r>
          </w:p>
        </w:tc>
      </w:tr>
      <w:tr>
        <w:trPr/>
        <w:tc>
          <w:tcPr>
            <w:tcW w:w="335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 par value $0.0001 per share</w:t>
            </w:r>
          </w:p>
        </w:tc>
        <w:tc>
          <w:tcPr>
            <w:tcW w:w="142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NAUT</w:t>
            </w:r>
          </w:p>
        </w:tc>
        <w:tc>
          <w:tcPr>
            <w:tcW w:w="3225"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Times New Roman;sans-serif" w:hAnsi="Times New Roman;sans-serif"/>
                <w:b/>
                <w:color w:val="000000"/>
                <w:sz w:val="16"/>
              </w:rPr>
            </w:pPr>
            <w:r>
              <w:rPr>
                <w:rFonts w:ascii="Times New Roman;sans-serif" w:hAnsi="Times New Roman;sans-serif"/>
                <w:b/>
                <w:color w:val="000000"/>
                <w:sz w:val="16"/>
              </w:rPr>
              <w:t>The Nasdaq Stock Market LLC</w:t>
            </w:r>
          </w:p>
        </w:tc>
      </w:tr>
    </w:tbl>
    <w:p>
      <w:pPr>
        <w:pStyle w:val="TextBody"/>
        <w:bidi w:val="0"/>
        <w:spacing w:lineRule="auto" w:line="288" w:before="180" w:after="180"/>
        <w:ind w:left="0" w:right="0" w:firstLine="360"/>
        <w:jc w:val="left"/>
        <w:rPr/>
      </w:pPr>
      <w:r>
        <w:rPr>
          <w:rFonts w:ascii="Times New Roman;sans-serif" w:hAnsi="Times New Roman;sans-serif"/>
          <w:b w:val="false"/>
          <w:color w:val="000000"/>
          <w:sz w:val="18"/>
        </w:rPr>
        <w:t xml:space="preserve">Securities registered pursuant to section 12(g) of the Act: </w:t>
      </w:r>
      <w:r>
        <w:rPr>
          <w:rFonts w:ascii="Times New Roman;sans-serif" w:hAnsi="Times New Roman;sans-serif"/>
          <w:b/>
          <w:color w:val="000000"/>
          <w:sz w:val="18"/>
        </w:rPr>
        <w:t>None</w:t>
      </w:r>
    </w:p>
    <w:p>
      <w:pPr>
        <w:pStyle w:val="TextBody"/>
        <w:bidi w:val="0"/>
        <w:spacing w:lineRule="auto" w:line="288" w:before="0" w:after="180"/>
        <w:ind w:left="0" w:right="0" w:firstLine="36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Indicate by check mark if the registrant is a well-known seasoned issuer, as defined in Rule 405 of the Securities Act. Yes ☐ No ☒ </w:t>
      </w:r>
    </w:p>
    <w:p>
      <w:pPr>
        <w:pStyle w:val="TextBody"/>
        <w:bidi w:val="0"/>
        <w:spacing w:lineRule="auto" w:line="288" w:before="0" w:after="180"/>
        <w:ind w:left="0" w:right="0" w:firstLine="36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Indicate by check mark if the registrant is not required to file reports pursuant to Section 13 or Section 15(d) of the Act. Yes ☐ No ☒ </w:t>
      </w:r>
    </w:p>
    <w:p>
      <w:pPr>
        <w:pStyle w:val="TextBody"/>
        <w:bidi w:val="0"/>
        <w:spacing w:lineRule="auto" w:line="288" w:before="0" w:after="180"/>
        <w:ind w:left="0" w:right="0" w:firstLine="360"/>
        <w:jc w:val="left"/>
        <w:rPr>
          <w:rFonts w:ascii="Times New Roman;sans-serif" w:hAnsi="Times New Roman;sans-serif"/>
          <w:b w:val="false"/>
          <w:color w:val="000000"/>
          <w:sz w:val="18"/>
        </w:rPr>
      </w:pPr>
      <w:r>
        <w:rPr>
          <w:rFonts w:ascii="Times New Roman;sans-serif" w:hAnsi="Times New Roman;sans-serif"/>
          <w:b w:val="false"/>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lineRule="auto" w:line="288" w:before="0" w:after="180"/>
        <w:ind w:left="0" w:right="0" w:firstLine="360"/>
        <w:jc w:val="left"/>
        <w:rPr>
          <w:rFonts w:ascii="Times New Roman;sans-serif" w:hAnsi="Times New Roman;sans-serif"/>
          <w:b w:val="false"/>
          <w:color w:val="000000"/>
          <w:sz w:val="18"/>
        </w:rPr>
      </w:pPr>
      <w:r>
        <w:rPr>
          <w:rFonts w:ascii="Times New Roman;sans-serif" w:hAnsi="Times New Roman;sans-serif"/>
          <w:b w:val="false"/>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bidi w:val="0"/>
        <w:spacing w:lineRule="auto" w:line="288" w:before="0" w:after="100"/>
        <w:ind w:left="0" w:right="0" w:firstLine="360"/>
        <w:jc w:val="left"/>
        <w:rPr>
          <w:rFonts w:ascii="Times New Roman;sans-serif" w:hAnsi="Times New Roman;sans-serif"/>
          <w:b w:val="false"/>
          <w:color w:val="000000"/>
          <w:sz w:val="18"/>
        </w:rPr>
      </w:pPr>
      <w:r>
        <w:rPr>
          <w:rFonts w:ascii="Times New Roman;sans-serif" w:hAnsi="Times New Roman;sans-serif"/>
          <w:b w:val="false"/>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4389" w:type="dxa"/>
        <w:jc w:val="center"/>
        <w:tblInd w:w="0" w:type="dxa"/>
        <w:tblLayout w:type="fixed"/>
        <w:tblCellMar>
          <w:top w:w="28" w:type="dxa"/>
          <w:left w:w="28" w:type="dxa"/>
          <w:bottom w:w="28" w:type="dxa"/>
          <w:right w:w="28" w:type="dxa"/>
        </w:tblCellMar>
      </w:tblPr>
      <w:tblGrid>
        <w:gridCol w:w="603"/>
        <w:gridCol w:w="530"/>
        <w:gridCol w:w="532"/>
        <w:gridCol w:w="109"/>
        <w:gridCol w:w="109"/>
        <w:gridCol w:w="109"/>
        <w:gridCol w:w="674"/>
        <w:gridCol w:w="674"/>
        <w:gridCol w:w="677"/>
        <w:gridCol w:w="109"/>
        <w:gridCol w:w="109"/>
        <w:gridCol w:w="154"/>
      </w:tblGrid>
      <w:tr>
        <w:trPr/>
        <w:tc>
          <w:tcPr>
            <w:tcW w:w="60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180"/>
              <w:jc w:val="left"/>
              <w:rPr>
                <w:color w:val="000000"/>
              </w:rPr>
            </w:pPr>
            <w:r>
              <w:rPr>
                <w:color w:val="000000"/>
              </w:rPr>
              <w:t>☐</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Times New Roman;sans-serif" w:hAnsi="Times New Roman;sans-serif"/>
                <w:b w:val="false"/>
                <w:color w:val="000000"/>
                <w:sz w:val="16"/>
              </w:rPr>
            </w:pPr>
            <w:r>
              <w:rPr>
                <w:rFonts w:ascii="Times New Roman;sans-serif" w:hAnsi="Times New Roman;sans-serif"/>
                <w:b w:val="false"/>
                <w:color w:val="000000"/>
                <w:sz w:val="16"/>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180"/>
              <w:jc w:val="left"/>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Times New Roman;sans-serif" w:hAnsi="Times New Roman;sans-serif"/>
                <w:b w:val="false"/>
                <w:color w:val="000000"/>
                <w:sz w:val="16"/>
              </w:rPr>
            </w:pPr>
            <w:r>
              <w:rPr>
                <w:rFonts w:ascii="Times New Roman;sans-serif" w:hAnsi="Times New Roman;sans-serif"/>
                <w:b w:val="false"/>
                <w:color w:val="000000"/>
                <w:sz w:val="16"/>
              </w:rPr>
              <w:t>Non-accelerated filer  </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180"/>
              <w:jc w:val="left"/>
              <w:rPr>
                <w:color w:val="000000"/>
              </w:rPr>
            </w:pPr>
            <w:r>
              <w:rPr>
                <w:color w:val="000000"/>
              </w:rPr>
              <w:t>☒</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Times New Roman;sans-serif" w:hAnsi="Times New Roman;sans-serif"/>
                <w:b w:val="false"/>
                <w:color w:val="000000"/>
                <w:sz w:val="16"/>
              </w:rPr>
            </w:pPr>
            <w:r>
              <w:rPr>
                <w:rFonts w:ascii="Times New Roman;sans-serif" w:hAnsi="Times New Roman;sans-serif"/>
                <w:b w:val="false"/>
                <w:color w:val="000000"/>
                <w:sz w:val="16"/>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180"/>
              <w:jc w:val="left"/>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Times New Roman;sans-serif" w:hAnsi="Times New Roman;sans-serif"/>
                <w:b w:val="false"/>
                <w:color w:val="000000"/>
                <w:sz w:val="16"/>
              </w:rPr>
            </w:pPr>
            <w:r>
              <w:rPr>
                <w:rFonts w:ascii="Times New Roman;sans-serif" w:hAnsi="Times New Roman;sans-serif"/>
                <w:b w:val="false"/>
                <w:color w:val="000000"/>
                <w:sz w:val="16"/>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180"/>
              <w:jc w:val="left"/>
              <w:rPr>
                <w:color w:val="000000"/>
              </w:rPr>
            </w:pPr>
            <w:r>
              <w:rPr>
                <w:color w:val="000000"/>
              </w:rPr>
              <w:t>☒</w:t>
            </w:r>
          </w:p>
        </w:tc>
      </w:tr>
    </w:tbl>
    <w:p>
      <w:pPr>
        <w:pStyle w:val="TextBody"/>
        <w:bidi w:val="0"/>
        <w:spacing w:lineRule="auto" w:line="288" w:before="0" w:after="180"/>
        <w:ind w:left="0" w:right="0" w:firstLine="36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lineRule="auto" w:line="288" w:before="0" w:after="180"/>
        <w:ind w:left="0" w:right="0" w:firstLine="36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80"/>
                              <w:ind w:left="0" w:right="0" w:firstLine="3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ind w:left="0" w:right="0" w:firstLine="360"/>
                        <w:jc w:val="left"/>
                        <w:rPr/>
                      </w:pPr>
                      <w:r>
                        <w:rPr/>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ind w:left="0" w:right="0" w:firstLine="360"/>
        <w:jc w:val="left"/>
        <w:rPr>
          <w:rFonts w:ascii="Times New Roman;sans-serif" w:hAnsi="Times New Roman;sans-serif"/>
          <w:b w:val="false"/>
          <w:color w:val="000000"/>
          <w:sz w:val="18"/>
        </w:rPr>
      </w:pPr>
      <w:r>
        <w:rPr>
          <w:rFonts w:ascii="Times New Roman;sans-serif" w:hAnsi="Times New Roman;sans-serif"/>
          <w:b w:val="false"/>
          <w:color w:val="000000"/>
          <w:sz w:val="18"/>
        </w:rPr>
        <w:t>If securities are registered pursuant to Section 12(b) of the Act, indicate by check mark whether the financial statements of the registrant included in the filing reflect the correction of an error to previously issued financial statements. ☐</w:t>
      </w:r>
    </w:p>
    <w:p>
      <w:pPr>
        <w:pStyle w:val="TextBody"/>
        <w:bidi w:val="0"/>
        <w:spacing w:lineRule="auto" w:line="288" w:before="0" w:after="180"/>
        <w:ind w:left="0" w:right="0" w:firstLine="360"/>
        <w:jc w:val="left"/>
        <w:rPr>
          <w:rFonts w:ascii="Times New Roman;sans-serif" w:hAnsi="Times New Roman;sans-serif"/>
          <w:b w:val="false"/>
          <w:color w:val="000000"/>
          <w:sz w:val="18"/>
        </w:rPr>
      </w:pPr>
      <w:r>
        <w:rPr>
          <w:rFonts w:ascii="Times New Roman;sans-serif" w:hAnsi="Times New Roman;sans-serif"/>
          <w:b w:val="false"/>
          <w:color w:val="000000"/>
          <w:sz w:val="18"/>
        </w:rPr>
        <w:t>Indicate by check mark whether any of those error corrections are restatements that required a recovery analysis of incentive-based compensation received by any of the registrant’s executive officers during the relevant recovery period pursuant to §240.10D-1(b). ☐</w:t>
      </w:r>
    </w:p>
    <w:p>
      <w:pPr>
        <w:pStyle w:val="TextBody"/>
        <w:bidi w:val="0"/>
        <w:spacing w:lineRule="auto" w:line="288" w:before="0" w:after="180"/>
        <w:ind w:left="0" w:right="0" w:firstLine="360"/>
        <w:jc w:val="left"/>
        <w:rPr>
          <w:rFonts w:ascii="Times New Roman;sans-serif" w:hAnsi="Times New Roman;sans-serif"/>
          <w:b w:val="false"/>
          <w:color w:val="000000"/>
          <w:sz w:val="18"/>
        </w:rPr>
      </w:pPr>
      <w:r>
        <w:rPr>
          <w:rFonts w:ascii="Times New Roman;sans-serif" w:hAnsi="Times New Roman;sans-serif"/>
          <w:b w:val="false"/>
          <w:color w:val="000000"/>
          <w:sz w:val="18"/>
        </w:rPr>
        <w:t>Indicate by check mark whether the registrant is a shell company (as defined in Rule 12b-2 of the Act).     Yes ☐   No  ☒</w:t>
      </w:r>
    </w:p>
    <w:p>
      <w:pPr>
        <w:pStyle w:val="TextBody"/>
        <w:bidi w:val="0"/>
        <w:spacing w:lineRule="auto" w:line="288" w:before="0" w:after="180"/>
        <w:ind w:left="0" w:right="0" w:firstLine="360"/>
        <w:jc w:val="left"/>
        <w:rPr/>
      </w:pPr>
      <w:r>
        <w:rPr>
          <w:rFonts w:ascii="Times New Roman;sans-serif" w:hAnsi="Times New Roman;sans-serif"/>
          <w:b w:val="false"/>
          <w:color w:val="000000"/>
          <w:sz w:val="18"/>
        </w:rPr>
        <w:t xml:space="preserve">The aggregate market value of the registrant’s common stock held by non-affiliates, based upon the closing price of the common stock on June 30, </w:t>
      </w:r>
      <w:r>
        <w:rPr>
          <w:rFonts w:ascii="Times New Roman;sans-serif" w:hAnsi="Times New Roman;sans-serif"/>
          <w:b w:val="false"/>
          <w:color w:val="000000"/>
          <w:sz w:val="20"/>
        </w:rPr>
        <w:t>2024</w:t>
      </w:r>
      <w:r>
        <w:rPr>
          <w:rFonts w:ascii="Times New Roman;sans-serif" w:hAnsi="Times New Roman;sans-serif"/>
          <w:b w:val="false"/>
          <w:color w:val="000000"/>
          <w:sz w:val="18"/>
        </w:rPr>
        <w:t xml:space="preserve">, as reported by The Nasdaq Stock Market LLC, was $113 million. Shares of common stock held by each executive officer and director and by each other person who is deemed to be an affiliate of the registrant have been excluded from such computation. This determination of affiliate status is not necessarily a conclusive determination for other purposes. </w:t>
      </w:r>
    </w:p>
    <w:p>
      <w:pPr>
        <w:pStyle w:val="TextBody"/>
        <w:bidi w:val="0"/>
        <w:spacing w:lineRule="auto" w:line="288" w:before="0" w:after="180"/>
        <w:ind w:left="0" w:right="0" w:firstLine="360"/>
        <w:jc w:val="left"/>
        <w:rPr/>
      </w:pPr>
      <w:r>
        <w:rPr>
          <w:rFonts w:ascii="Times New Roman;sans-serif" w:hAnsi="Times New Roman;sans-serif"/>
          <w:b w:val="false"/>
          <w:color w:val="000000"/>
          <w:sz w:val="18"/>
        </w:rPr>
        <w:t xml:space="preserve">The registrant had outstanding 126,148,469 shares of common stock as of </w:t>
      </w:r>
      <w:r>
        <w:rPr>
          <w:rFonts w:ascii="Times New Roman;sans-serif" w:hAnsi="Times New Roman;sans-serif"/>
          <w:b w:val="false"/>
          <w:color w:val="000000"/>
          <w:sz w:val="20"/>
        </w:rPr>
        <w:t>February 21, 2025</w:t>
      </w:r>
      <w:r>
        <w:rPr>
          <w:rFonts w:ascii="Times New Roman;sans-serif" w:hAnsi="Times New Roman;sans-serif"/>
          <w:b w:val="false"/>
          <w:color w:val="000000"/>
          <w:sz w:val="18"/>
        </w:rPr>
        <w:t>.</w:t>
      </w:r>
    </w:p>
    <w:p>
      <w:pPr>
        <w:pStyle w:val="TextBody"/>
        <w:bidi w:val="0"/>
        <w:spacing w:lineRule="auto" w:line="288" w:before="18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 xml:space="preserve">DOCUMENTS INCORPORATED BY REFERENCE </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Portions of the registrant’s definitive Proxy Statement to be filed with the Securities and Exchange Commission in connection with the registrant’s 2025 Annual Meeting of Stockholders, which will be filed subsequent to the date hereof, are incorporated by reference into Part III of this Form 10-K. Such Proxy Statement will be filed with the Securities and Exchange Commission not later than 120 days following the end of the registrant’s fiscal year ended December 31, 2024. Except with respect to information specifically incorporated by reference, the Proxy Statement is not deemed to be filed as part of this Annual Report on Form 10-K.</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80"/>
                              <w:ind w:left="0" w:right="0" w:firstLine="3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ind w:left="0" w:right="0" w:firstLine="360"/>
                        <w:jc w:val="left"/>
                        <w:rPr/>
                      </w:pPr>
                      <w:r>
                        <w:rPr/>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484" w:before="0" w:after="0"/>
        <w:jc w:val="center"/>
        <w:rPr>
          <w:rFonts w:ascii="Times New Roman;sans-serif" w:hAnsi="Times New Roman;sans-serif"/>
          <w:b/>
          <w:color w:val="000000"/>
          <w:sz w:val="24"/>
        </w:rPr>
      </w:pPr>
      <w:r>
        <w:rPr>
          <w:rFonts w:ascii="Times New Roman;sans-serif" w:hAnsi="Times New Roman;sans-serif"/>
          <w:b/>
          <w:color w:val="000000"/>
          <w:sz w:val="24"/>
        </w:rPr>
        <w:t>Table of Contents</w:t>
      </w:r>
    </w:p>
    <w:p>
      <w:pPr>
        <w:pStyle w:val="TextBody"/>
        <w:bidi w:val="0"/>
        <w:spacing w:before="0" w:after="180"/>
        <w:ind w:left="0" w:right="0" w:firstLine="360"/>
        <w:jc w:val="left"/>
        <w:rPr/>
      </w:pPr>
      <w:r>
        <w:rPr/>
      </w:r>
    </w:p>
    <w:tbl>
      <w:tblPr>
        <w:tblW w:w="10205" w:type="dxa"/>
        <w:jc w:val="left"/>
        <w:tblInd w:w="0" w:type="dxa"/>
        <w:tblLayout w:type="fixed"/>
        <w:tblCellMar>
          <w:top w:w="28" w:type="dxa"/>
          <w:left w:w="28" w:type="dxa"/>
          <w:bottom w:w="28" w:type="dxa"/>
          <w:right w:w="28" w:type="dxa"/>
        </w:tblCellMar>
      </w:tblPr>
      <w:tblGrid>
        <w:gridCol w:w="3476"/>
        <w:gridCol w:w="3054"/>
        <w:gridCol w:w="3103"/>
        <w:gridCol w:w="167"/>
        <w:gridCol w:w="167"/>
        <w:gridCol w:w="238"/>
      </w:tblGrid>
      <w:tr>
        <w:trPr/>
        <w:tc>
          <w:tcPr>
            <w:tcW w:w="3476" w:type="dxa"/>
            <w:tcBorders/>
            <w:vAlign w:val="center"/>
          </w:tcPr>
          <w:p>
            <w:pPr>
              <w:pStyle w:val="TableContents"/>
              <w:bidi w:val="0"/>
              <w:spacing w:before="0" w:after="283"/>
              <w:jc w:val="left"/>
              <w:rPr>
                <w:sz w:val="4"/>
                <w:szCs w:val="4"/>
              </w:rPr>
            </w:pPr>
            <w:r>
              <w:rPr>
                <w:sz w:val="4"/>
                <w:szCs w:val="4"/>
              </w:rPr>
            </w:r>
          </w:p>
        </w:tc>
        <w:tc>
          <w:tcPr>
            <w:tcW w:w="3054" w:type="dxa"/>
            <w:tcBorders/>
            <w:vAlign w:val="center"/>
          </w:tcPr>
          <w:p>
            <w:pPr>
              <w:pStyle w:val="TableContents"/>
              <w:bidi w:val="0"/>
              <w:spacing w:before="0" w:after="283"/>
              <w:jc w:val="left"/>
              <w:rPr>
                <w:sz w:val="4"/>
                <w:szCs w:val="4"/>
              </w:rPr>
            </w:pPr>
            <w:r>
              <w:rPr>
                <w:sz w:val="4"/>
                <w:szCs w:val="4"/>
              </w:rPr>
            </w:r>
          </w:p>
        </w:tc>
        <w:tc>
          <w:tcPr>
            <w:tcW w:w="3103"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r>
      <w:tr>
        <w:trPr/>
        <w:tc>
          <w:tcPr>
            <w:tcW w:w="96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Page</w:t>
            </w:r>
          </w:p>
        </w:tc>
      </w:tr>
      <w:tr>
        <w:trPr/>
        <w:tc>
          <w:tcPr>
            <w:tcW w:w="9633" w:type="dxa"/>
            <w:gridSpan w:val="3"/>
            <w:tcBorders/>
            <w:tcMar>
              <w:top w:w="0" w:type="dxa"/>
              <w:left w:w="0" w:type="dxa"/>
              <w:bottom w:w="0" w:type="dxa"/>
              <w:right w:w="0" w:type="dxa"/>
            </w:tcMar>
            <w:vAlign w:val="center"/>
          </w:tcPr>
          <w:p>
            <w:pPr>
              <w:pStyle w:val="TableContents"/>
              <w:bidi w:val="0"/>
              <w:spacing w:lineRule="auto" w:line="288" w:before="0" w:after="180"/>
              <w:jc w:val="left"/>
              <w:rPr/>
            </w:pPr>
            <w:hyperlink w:anchor="ib4a7eeb1027e45c6b432da5f97d4d4b2_13">
              <w:r>
                <w:rPr>
                  <w:rStyle w:val="InternetLink"/>
                  <w:rFonts w:ascii="Times New Roman;sans-serif" w:hAnsi="Times New Roman;sans-serif"/>
                  <w:b/>
                  <w:strike w:val="false"/>
                  <w:dstrike w:val="false"/>
                  <w:color w:val="000000"/>
                  <w:sz w:val="20"/>
                  <w:u w:val="none"/>
                  <w:effect w:val="none"/>
                </w:rPr>
                <w:t>Part I</w:t>
              </w:r>
            </w:hyperlink>
          </w:p>
        </w:tc>
        <w:tc>
          <w:tcPr>
            <w:tcW w:w="5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33" w:type="dxa"/>
            <w:gridSpan w:val="3"/>
            <w:tcBorders/>
            <w:tcMar>
              <w:top w:w="0" w:type="dxa"/>
              <w:left w:w="0" w:type="dxa"/>
              <w:bottom w:w="0" w:type="dxa"/>
              <w:right w:w="0" w:type="dxa"/>
            </w:tcMar>
            <w:vAlign w:val="center"/>
          </w:tcPr>
          <w:p>
            <w:pPr>
              <w:pStyle w:val="TableContents"/>
              <w:bidi w:val="0"/>
              <w:spacing w:lineRule="auto" w:line="288" w:before="0" w:after="180"/>
              <w:jc w:val="left"/>
              <w:rPr/>
            </w:pPr>
            <w:hyperlink w:anchor="ib4a7eeb1027e45c6b432da5f97d4d4b2_16">
              <w:r>
                <w:rPr>
                  <w:rStyle w:val="InternetLink"/>
                  <w:rFonts w:ascii="Times New Roman;sans-serif" w:hAnsi="Times New Roman;sans-serif"/>
                  <w:b w:val="false"/>
                  <w:strike w:val="false"/>
                  <w:dstrike w:val="false"/>
                  <w:color w:val="0000FF"/>
                  <w:sz w:val="20"/>
                  <w:u w:val="none"/>
                  <w:effect w:val="none"/>
                </w:rPr>
                <w:t>Item 1. Business</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4a7eeb1027e45c6b432da5f97d4d4b2_16">
              <w:r>
                <w:rPr>
                  <w:rStyle w:val="InternetLink"/>
                  <w:rFonts w:ascii="Times New Roman;sans-serif" w:hAnsi="Times New Roman;sans-serif"/>
                  <w:b w:val="false"/>
                  <w:strike w:val="false"/>
                  <w:dstrike w:val="false"/>
                  <w:color w:val="000000"/>
                  <w:sz w:val="20"/>
                  <w:u w:val="none"/>
                  <w:effect w:val="none"/>
                </w:rPr>
                <w:t>6</w:t>
              </w:r>
            </w:hyperlink>
          </w:p>
        </w:tc>
      </w:tr>
      <w:tr>
        <w:trPr/>
        <w:tc>
          <w:tcPr>
            <w:tcW w:w="9633" w:type="dxa"/>
            <w:gridSpan w:val="3"/>
            <w:tcBorders/>
            <w:tcMar>
              <w:top w:w="0" w:type="dxa"/>
              <w:left w:w="0" w:type="dxa"/>
              <w:bottom w:w="0" w:type="dxa"/>
              <w:right w:w="0" w:type="dxa"/>
            </w:tcMar>
            <w:vAlign w:val="center"/>
          </w:tcPr>
          <w:p>
            <w:pPr>
              <w:pStyle w:val="TableContents"/>
              <w:bidi w:val="0"/>
              <w:spacing w:lineRule="auto" w:line="288" w:before="0" w:after="180"/>
              <w:jc w:val="left"/>
              <w:rPr/>
            </w:pPr>
            <w:hyperlink w:anchor="ib4a7eeb1027e45c6b432da5f97d4d4b2_19">
              <w:r>
                <w:rPr>
                  <w:rStyle w:val="InternetLink"/>
                  <w:rFonts w:ascii="Times New Roman;sans-serif" w:hAnsi="Times New Roman;sans-serif"/>
                  <w:b w:val="false"/>
                  <w:strike w:val="false"/>
                  <w:dstrike w:val="false"/>
                  <w:color w:val="0000FF"/>
                  <w:sz w:val="20"/>
                  <w:u w:val="none"/>
                  <w:effect w:val="none"/>
                </w:rPr>
                <w:t>Item 1A. Risk Factors </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4a7eeb1027e45c6b432da5f97d4d4b2_19">
              <w:r>
                <w:rPr>
                  <w:rStyle w:val="InternetLink"/>
                  <w:rFonts w:ascii="Times New Roman;sans-serif" w:hAnsi="Times New Roman;sans-serif"/>
                  <w:b w:val="false"/>
                  <w:strike w:val="false"/>
                  <w:dstrike w:val="false"/>
                  <w:color w:val="000000"/>
                  <w:sz w:val="20"/>
                  <w:u w:val="none"/>
                  <w:effect w:val="none"/>
                </w:rPr>
                <w:t>37</w:t>
              </w:r>
            </w:hyperlink>
          </w:p>
        </w:tc>
      </w:tr>
      <w:tr>
        <w:trPr/>
        <w:tc>
          <w:tcPr>
            <w:tcW w:w="9633" w:type="dxa"/>
            <w:gridSpan w:val="3"/>
            <w:tcBorders/>
            <w:tcMar>
              <w:top w:w="0" w:type="dxa"/>
              <w:left w:w="0" w:type="dxa"/>
              <w:bottom w:w="0" w:type="dxa"/>
              <w:right w:w="0" w:type="dxa"/>
            </w:tcMar>
            <w:vAlign w:val="center"/>
          </w:tcPr>
          <w:p>
            <w:pPr>
              <w:pStyle w:val="TableContents"/>
              <w:bidi w:val="0"/>
              <w:spacing w:lineRule="auto" w:line="288" w:before="0" w:after="180"/>
              <w:jc w:val="left"/>
              <w:rPr/>
            </w:pPr>
            <w:hyperlink w:anchor="ib4a7eeb1027e45c6b432da5f97d4d4b2_22">
              <w:r>
                <w:rPr>
                  <w:rStyle w:val="InternetLink"/>
                  <w:rFonts w:ascii="Times New Roman;sans-serif" w:hAnsi="Times New Roman;sans-serif"/>
                  <w:b w:val="false"/>
                  <w:strike w:val="false"/>
                  <w:dstrike w:val="false"/>
                  <w:color w:val="0000FF"/>
                  <w:sz w:val="20"/>
                  <w:u w:val="none"/>
                  <w:effect w:val="none"/>
                </w:rPr>
                <w:t>Item 1B. Unresolved Staff Comments </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4a7eeb1027e45c6b432da5f97d4d4b2_22">
              <w:r>
                <w:rPr>
                  <w:rStyle w:val="InternetLink"/>
                  <w:rFonts w:ascii="Times New Roman;sans-serif" w:hAnsi="Times New Roman;sans-serif"/>
                  <w:b w:val="false"/>
                  <w:strike w:val="false"/>
                  <w:dstrike w:val="false"/>
                  <w:color w:val="000000"/>
                  <w:sz w:val="20"/>
                  <w:u w:val="none"/>
                  <w:effect w:val="none"/>
                </w:rPr>
                <w:t>72</w:t>
              </w:r>
            </w:hyperlink>
          </w:p>
        </w:tc>
      </w:tr>
      <w:tr>
        <w:trPr/>
        <w:tc>
          <w:tcPr>
            <w:tcW w:w="9633" w:type="dxa"/>
            <w:gridSpan w:val="3"/>
            <w:tcBorders/>
            <w:tcMar>
              <w:top w:w="0" w:type="dxa"/>
              <w:left w:w="0" w:type="dxa"/>
              <w:bottom w:w="0" w:type="dxa"/>
              <w:right w:w="0" w:type="dxa"/>
            </w:tcMar>
            <w:vAlign w:val="center"/>
          </w:tcPr>
          <w:p>
            <w:pPr>
              <w:pStyle w:val="TableContents"/>
              <w:bidi w:val="0"/>
              <w:spacing w:lineRule="auto" w:line="288" w:before="0" w:after="180"/>
              <w:jc w:val="left"/>
              <w:rPr/>
            </w:pPr>
            <w:hyperlink w:anchor="ib4a7eeb1027e45c6b432da5f97d4d4b2_25">
              <w:bookmarkStart w:id="0" w:name="i9d07d036fb5c4b518a7b6e25f6fb1d99_5-0-1-"/>
              <w:bookmarkEnd w:id="0"/>
              <w:r>
                <w:rPr>
                  <w:rStyle w:val="InternetLink"/>
                  <w:rFonts w:ascii="Times New Roman;sans-serif" w:hAnsi="Times New Roman;sans-serif"/>
                  <w:b w:val="false"/>
                  <w:strike w:val="false"/>
                  <w:dstrike w:val="false"/>
                  <w:color w:val="0000FF"/>
                  <w:sz w:val="20"/>
                  <w:u w:val="none"/>
                  <w:effect w:val="none"/>
                </w:rPr>
                <w:t>Item 1C. Cybersecurity</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4a7eeb1027e45c6b432da5f97d4d4b2_25">
              <w:r>
                <w:rPr>
                  <w:rStyle w:val="InternetLink"/>
                  <w:rFonts w:ascii="Times New Roman;sans-serif" w:hAnsi="Times New Roman;sans-serif"/>
                  <w:b w:val="false"/>
                  <w:strike w:val="false"/>
                  <w:dstrike w:val="false"/>
                  <w:color w:val="000000"/>
                  <w:sz w:val="20"/>
                  <w:u w:val="none"/>
                  <w:effect w:val="none"/>
                </w:rPr>
                <w:t>72</w:t>
              </w:r>
            </w:hyperlink>
          </w:p>
        </w:tc>
      </w:tr>
      <w:tr>
        <w:trPr/>
        <w:tc>
          <w:tcPr>
            <w:tcW w:w="9633" w:type="dxa"/>
            <w:gridSpan w:val="3"/>
            <w:tcBorders/>
            <w:tcMar>
              <w:top w:w="0" w:type="dxa"/>
              <w:left w:w="0" w:type="dxa"/>
              <w:bottom w:w="0" w:type="dxa"/>
              <w:right w:w="0" w:type="dxa"/>
            </w:tcMar>
            <w:vAlign w:val="center"/>
          </w:tcPr>
          <w:p>
            <w:pPr>
              <w:pStyle w:val="TableContents"/>
              <w:bidi w:val="0"/>
              <w:spacing w:lineRule="auto" w:line="288" w:before="0" w:after="180"/>
              <w:jc w:val="left"/>
              <w:rPr/>
            </w:pPr>
            <w:hyperlink w:anchor="ib4a7eeb1027e45c6b432da5f97d4d4b2_28">
              <w:r>
                <w:rPr>
                  <w:rStyle w:val="InternetLink"/>
                  <w:rFonts w:ascii="Times New Roman;sans-serif" w:hAnsi="Times New Roman;sans-serif"/>
                  <w:b w:val="false"/>
                  <w:strike w:val="false"/>
                  <w:dstrike w:val="false"/>
                  <w:color w:val="0000FF"/>
                  <w:sz w:val="20"/>
                  <w:u w:val="none"/>
                  <w:effect w:val="none"/>
                </w:rPr>
                <w:t>Item 2. Properties</w:t>
              </w:r>
            </w:hyperlink>
            <w:r>
              <w:rPr>
                <w:color w:val="000000"/>
              </w:rPr>
              <w:t> </w:t>
            </w:r>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4a7eeb1027e45c6b432da5f97d4d4b2_28">
              <w:r>
                <w:rPr>
                  <w:rStyle w:val="InternetLink"/>
                  <w:rFonts w:ascii="Times New Roman;sans-serif" w:hAnsi="Times New Roman;sans-serif"/>
                  <w:b w:val="false"/>
                  <w:strike w:val="false"/>
                  <w:dstrike w:val="false"/>
                  <w:color w:val="000000"/>
                  <w:sz w:val="20"/>
                  <w:u w:val="none"/>
                  <w:effect w:val="none"/>
                </w:rPr>
                <w:t>73</w:t>
              </w:r>
            </w:hyperlink>
          </w:p>
        </w:tc>
      </w:tr>
      <w:tr>
        <w:trPr/>
        <w:tc>
          <w:tcPr>
            <w:tcW w:w="9633" w:type="dxa"/>
            <w:gridSpan w:val="3"/>
            <w:tcBorders/>
            <w:tcMar>
              <w:top w:w="0" w:type="dxa"/>
              <w:left w:w="0" w:type="dxa"/>
              <w:bottom w:w="0" w:type="dxa"/>
              <w:right w:w="0" w:type="dxa"/>
            </w:tcMar>
            <w:vAlign w:val="center"/>
          </w:tcPr>
          <w:p>
            <w:pPr>
              <w:pStyle w:val="TableContents"/>
              <w:bidi w:val="0"/>
              <w:spacing w:lineRule="auto" w:line="288" w:before="0" w:after="180"/>
              <w:jc w:val="left"/>
              <w:rPr/>
            </w:pPr>
            <w:hyperlink w:anchor="ib4a7eeb1027e45c6b432da5f97d4d4b2_31">
              <w:r>
                <w:rPr>
                  <w:rStyle w:val="InternetLink"/>
                  <w:rFonts w:ascii="Times New Roman;sans-serif" w:hAnsi="Times New Roman;sans-serif"/>
                  <w:b w:val="false"/>
                  <w:strike w:val="false"/>
                  <w:dstrike w:val="false"/>
                  <w:color w:val="0000FF"/>
                  <w:sz w:val="20"/>
                  <w:u w:val="none"/>
                  <w:effect w:val="none"/>
                </w:rPr>
                <w:t>Item 3. Legal Proceedings</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4a7eeb1027e45c6b432da5f97d4d4b2_31">
              <w:r>
                <w:rPr>
                  <w:rStyle w:val="InternetLink"/>
                  <w:rFonts w:ascii="Times New Roman;sans-serif" w:hAnsi="Times New Roman;sans-serif"/>
                  <w:b w:val="false"/>
                  <w:strike w:val="false"/>
                  <w:dstrike w:val="false"/>
                  <w:color w:val="000000"/>
                  <w:sz w:val="20"/>
                  <w:u w:val="none"/>
                  <w:effect w:val="none"/>
                </w:rPr>
                <w:t>74</w:t>
              </w:r>
            </w:hyperlink>
          </w:p>
        </w:tc>
      </w:tr>
      <w:tr>
        <w:trPr/>
        <w:tc>
          <w:tcPr>
            <w:tcW w:w="9633" w:type="dxa"/>
            <w:gridSpan w:val="3"/>
            <w:tcBorders/>
            <w:tcMar>
              <w:top w:w="0" w:type="dxa"/>
              <w:left w:w="0" w:type="dxa"/>
              <w:bottom w:w="0" w:type="dxa"/>
              <w:right w:w="0" w:type="dxa"/>
            </w:tcMar>
            <w:vAlign w:val="center"/>
          </w:tcPr>
          <w:p>
            <w:pPr>
              <w:pStyle w:val="TableContents"/>
              <w:bidi w:val="0"/>
              <w:spacing w:lineRule="auto" w:line="288" w:before="0" w:after="180"/>
              <w:jc w:val="left"/>
              <w:rPr/>
            </w:pPr>
            <w:hyperlink w:anchor="ib4a7eeb1027e45c6b432da5f97d4d4b2_34">
              <w:r>
                <w:rPr>
                  <w:rStyle w:val="InternetLink"/>
                  <w:rFonts w:ascii="Times New Roman;sans-serif" w:hAnsi="Times New Roman;sans-serif"/>
                  <w:b w:val="false"/>
                  <w:strike w:val="false"/>
                  <w:dstrike w:val="false"/>
                  <w:color w:val="0000FF"/>
                  <w:sz w:val="20"/>
                  <w:u w:val="none"/>
                  <w:effect w:val="none"/>
                </w:rPr>
                <w:t>Item 4. Mine Safety Disclosures </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4a7eeb1027e45c6b432da5f97d4d4b2_34">
              <w:r>
                <w:rPr>
                  <w:rStyle w:val="InternetLink"/>
                  <w:rFonts w:ascii="Times New Roman;sans-serif" w:hAnsi="Times New Roman;sans-serif"/>
                  <w:b w:val="false"/>
                  <w:strike w:val="false"/>
                  <w:dstrike w:val="false"/>
                  <w:color w:val="000000"/>
                  <w:sz w:val="20"/>
                  <w:u w:val="none"/>
                  <w:effect w:val="none"/>
                </w:rPr>
                <w:t>74</w:t>
              </w:r>
            </w:hyperlink>
          </w:p>
        </w:tc>
      </w:tr>
      <w:tr>
        <w:trPr/>
        <w:tc>
          <w:tcPr>
            <w:tcW w:w="9633" w:type="dxa"/>
            <w:gridSpan w:val="3"/>
            <w:tcBorders/>
            <w:tcMar>
              <w:top w:w="0" w:type="dxa"/>
              <w:left w:w="0" w:type="dxa"/>
              <w:bottom w:w="0" w:type="dxa"/>
              <w:right w:w="0" w:type="dxa"/>
            </w:tcMar>
            <w:vAlign w:val="center"/>
          </w:tcPr>
          <w:p>
            <w:pPr>
              <w:pStyle w:val="TableContents"/>
              <w:bidi w:val="0"/>
              <w:spacing w:lineRule="auto" w:line="288" w:before="0" w:after="180"/>
              <w:jc w:val="left"/>
              <w:rPr/>
            </w:pPr>
            <w:hyperlink w:anchor="ib4a7eeb1027e45c6b432da5f97d4d4b2_37">
              <w:r>
                <w:rPr>
                  <w:rStyle w:val="InternetLink"/>
                  <w:rFonts w:ascii="Times New Roman;sans-serif" w:hAnsi="Times New Roman;sans-serif"/>
                  <w:b/>
                  <w:strike w:val="false"/>
                  <w:dstrike w:val="false"/>
                  <w:color w:val="000000"/>
                  <w:sz w:val="20"/>
                  <w:u w:val="none"/>
                  <w:effect w:val="none"/>
                </w:rPr>
                <w:t>Part II</w:t>
              </w:r>
            </w:hyperlink>
          </w:p>
        </w:tc>
        <w:tc>
          <w:tcPr>
            <w:tcW w:w="5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33" w:type="dxa"/>
            <w:gridSpan w:val="3"/>
            <w:tcBorders/>
            <w:tcMar>
              <w:top w:w="0" w:type="dxa"/>
              <w:left w:w="0" w:type="dxa"/>
              <w:bottom w:w="0" w:type="dxa"/>
              <w:right w:w="0" w:type="dxa"/>
            </w:tcMar>
            <w:vAlign w:val="center"/>
          </w:tcPr>
          <w:p>
            <w:pPr>
              <w:pStyle w:val="TableContents"/>
              <w:bidi w:val="0"/>
              <w:spacing w:lineRule="auto" w:line="288" w:before="0" w:after="180"/>
              <w:jc w:val="left"/>
              <w:rPr/>
            </w:pPr>
            <w:hyperlink w:anchor="ib4a7eeb1027e45c6b432da5f97d4d4b2_40">
              <w:r>
                <w:rPr>
                  <w:rStyle w:val="InternetLink"/>
                  <w:rFonts w:ascii="Times New Roman;sans-serif" w:hAnsi="Times New Roman;sans-serif"/>
                  <w:b w:val="false"/>
                  <w:strike w:val="false"/>
                  <w:dstrike w:val="false"/>
                  <w:color w:val="0000FF"/>
                  <w:sz w:val="20"/>
                  <w:u w:val="none"/>
                  <w:effect w:val="none"/>
                </w:rPr>
                <w:t>Item 5. Market for Registrant's Common Equity, Related Stockholder Matters and Issuer Purchases of Equity Securities </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4a7eeb1027e45c6b432da5f97d4d4b2_40">
              <w:r>
                <w:rPr>
                  <w:rStyle w:val="InternetLink"/>
                  <w:rFonts w:ascii="Times New Roman;sans-serif" w:hAnsi="Times New Roman;sans-serif"/>
                  <w:b w:val="false"/>
                  <w:strike w:val="false"/>
                  <w:dstrike w:val="false"/>
                  <w:color w:val="000000"/>
                  <w:sz w:val="20"/>
                  <w:u w:val="none"/>
                  <w:effect w:val="none"/>
                </w:rPr>
                <w:t>75</w:t>
              </w:r>
            </w:hyperlink>
          </w:p>
        </w:tc>
      </w:tr>
      <w:tr>
        <w:trPr/>
        <w:tc>
          <w:tcPr>
            <w:tcW w:w="9633" w:type="dxa"/>
            <w:gridSpan w:val="3"/>
            <w:tcBorders/>
            <w:tcMar>
              <w:top w:w="0" w:type="dxa"/>
              <w:left w:w="0" w:type="dxa"/>
              <w:bottom w:w="0" w:type="dxa"/>
              <w:right w:w="0" w:type="dxa"/>
            </w:tcMar>
            <w:vAlign w:val="center"/>
          </w:tcPr>
          <w:p>
            <w:pPr>
              <w:pStyle w:val="TableContents"/>
              <w:bidi w:val="0"/>
              <w:spacing w:lineRule="auto" w:line="288" w:before="0" w:after="180"/>
              <w:jc w:val="left"/>
              <w:rPr/>
            </w:pPr>
            <w:hyperlink w:anchor="ib4a7eeb1027e45c6b432da5f97d4d4b2_43">
              <w:r>
                <w:rPr>
                  <w:rStyle w:val="InternetLink"/>
                  <w:rFonts w:ascii="Times New Roman;sans-serif" w:hAnsi="Times New Roman;sans-serif"/>
                  <w:b w:val="false"/>
                  <w:strike w:val="false"/>
                  <w:dstrike w:val="false"/>
                  <w:color w:val="0000FF"/>
                  <w:sz w:val="20"/>
                  <w:u w:val="none"/>
                  <w:effect w:val="none"/>
                </w:rPr>
                <w:t>Item 6. [ Reserved ]</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4a7eeb1027e45c6b432da5f97d4d4b2_43">
              <w:r>
                <w:rPr>
                  <w:rStyle w:val="InternetLink"/>
                  <w:rFonts w:ascii="Times New Roman;sans-serif" w:hAnsi="Times New Roman;sans-serif"/>
                  <w:b w:val="false"/>
                  <w:strike w:val="false"/>
                  <w:dstrike w:val="false"/>
                  <w:color w:val="000000"/>
                  <w:sz w:val="20"/>
                  <w:u w:val="none"/>
                  <w:effect w:val="none"/>
                </w:rPr>
                <w:t>75</w:t>
              </w:r>
            </w:hyperlink>
          </w:p>
        </w:tc>
      </w:tr>
      <w:tr>
        <w:trPr/>
        <w:tc>
          <w:tcPr>
            <w:tcW w:w="9633" w:type="dxa"/>
            <w:gridSpan w:val="3"/>
            <w:tcBorders/>
            <w:tcMar>
              <w:top w:w="0" w:type="dxa"/>
              <w:left w:w="0" w:type="dxa"/>
              <w:bottom w:w="0" w:type="dxa"/>
              <w:right w:w="0" w:type="dxa"/>
            </w:tcMar>
            <w:vAlign w:val="center"/>
          </w:tcPr>
          <w:p>
            <w:pPr>
              <w:pStyle w:val="TableContents"/>
              <w:bidi w:val="0"/>
              <w:spacing w:lineRule="auto" w:line="288" w:before="0" w:after="180"/>
              <w:jc w:val="left"/>
              <w:rPr/>
            </w:pPr>
            <w:hyperlink w:anchor="ib4a7eeb1027e45c6b432da5f97d4d4b2_46">
              <w:r>
                <w:rPr>
                  <w:rStyle w:val="InternetLink"/>
                  <w:rFonts w:ascii="Times New Roman;sans-serif" w:hAnsi="Times New Roman;sans-serif"/>
                  <w:b w:val="false"/>
                  <w:strike w:val="false"/>
                  <w:dstrike w:val="false"/>
                  <w:color w:val="0000FF"/>
                  <w:sz w:val="20"/>
                  <w:u w:val="none"/>
                  <w:effect w:val="none"/>
                </w:rPr>
                <w:t>Item 7. Management's Discussion and Analysis of Financial Condition and Results of Operations </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4a7eeb1027e45c6b432da5f97d4d4b2_46">
              <w:r>
                <w:rPr>
                  <w:rStyle w:val="InternetLink"/>
                  <w:rFonts w:ascii="Times New Roman;sans-serif" w:hAnsi="Times New Roman;sans-serif"/>
                  <w:b w:val="false"/>
                  <w:strike w:val="false"/>
                  <w:dstrike w:val="false"/>
                  <w:color w:val="000000"/>
                  <w:sz w:val="20"/>
                  <w:u w:val="none"/>
                  <w:effect w:val="none"/>
                </w:rPr>
                <w:t>76</w:t>
              </w:r>
            </w:hyperlink>
          </w:p>
        </w:tc>
      </w:tr>
      <w:tr>
        <w:trPr/>
        <w:tc>
          <w:tcPr>
            <w:tcW w:w="9633" w:type="dxa"/>
            <w:gridSpan w:val="3"/>
            <w:tcBorders/>
            <w:tcMar>
              <w:top w:w="0" w:type="dxa"/>
              <w:left w:w="0" w:type="dxa"/>
              <w:bottom w:w="0" w:type="dxa"/>
              <w:right w:w="0" w:type="dxa"/>
            </w:tcMar>
            <w:vAlign w:val="center"/>
          </w:tcPr>
          <w:p>
            <w:pPr>
              <w:pStyle w:val="TableContents"/>
              <w:bidi w:val="0"/>
              <w:spacing w:lineRule="auto" w:line="288" w:before="0" w:after="180"/>
              <w:jc w:val="left"/>
              <w:rPr/>
            </w:pPr>
            <w:hyperlink w:anchor="ib4a7eeb1027e45c6b432da5f97d4d4b2_73">
              <w:r>
                <w:rPr>
                  <w:rStyle w:val="InternetLink"/>
                  <w:rFonts w:ascii="Times New Roman;sans-serif" w:hAnsi="Times New Roman;sans-serif"/>
                  <w:b w:val="false"/>
                  <w:strike w:val="false"/>
                  <w:dstrike w:val="false"/>
                  <w:color w:val="0000FF"/>
                  <w:sz w:val="20"/>
                  <w:u w:val="none"/>
                  <w:effect w:val="none"/>
                </w:rPr>
                <w:t>Item 7A. Quantitative and Qualitative Disclosures About Market Risk </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4a7eeb1027e45c6b432da5f97d4d4b2_73">
              <w:r>
                <w:rPr>
                  <w:rStyle w:val="InternetLink"/>
                  <w:rFonts w:ascii="Times New Roman;sans-serif" w:hAnsi="Times New Roman;sans-serif"/>
                  <w:b w:val="false"/>
                  <w:strike w:val="false"/>
                  <w:dstrike w:val="false"/>
                  <w:color w:val="000000"/>
                  <w:sz w:val="20"/>
                  <w:u w:val="none"/>
                  <w:effect w:val="none"/>
                </w:rPr>
                <w:t>83</w:t>
              </w:r>
            </w:hyperlink>
          </w:p>
        </w:tc>
      </w:tr>
      <w:tr>
        <w:trPr/>
        <w:tc>
          <w:tcPr>
            <w:tcW w:w="9633" w:type="dxa"/>
            <w:gridSpan w:val="3"/>
            <w:tcBorders/>
            <w:tcMar>
              <w:top w:w="0" w:type="dxa"/>
              <w:left w:w="0" w:type="dxa"/>
              <w:bottom w:w="0" w:type="dxa"/>
              <w:right w:w="0" w:type="dxa"/>
            </w:tcMar>
            <w:vAlign w:val="center"/>
          </w:tcPr>
          <w:p>
            <w:pPr>
              <w:pStyle w:val="TableContents"/>
              <w:bidi w:val="0"/>
              <w:spacing w:lineRule="auto" w:line="288" w:before="0" w:after="180"/>
              <w:jc w:val="left"/>
              <w:rPr/>
            </w:pPr>
            <w:hyperlink w:anchor="ib4a7eeb1027e45c6b432da5f97d4d4b2_76">
              <w:r>
                <w:rPr>
                  <w:rStyle w:val="InternetLink"/>
                  <w:rFonts w:ascii="Times New Roman;sans-serif" w:hAnsi="Times New Roman;sans-serif"/>
                  <w:b w:val="false"/>
                  <w:strike w:val="false"/>
                  <w:dstrike w:val="false"/>
                  <w:color w:val="0000FF"/>
                  <w:sz w:val="20"/>
                  <w:u w:val="none"/>
                  <w:effect w:val="none"/>
                </w:rPr>
                <w:t xml:space="preserve">Item 8. Financial Statements and Supplementary Data </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4a7eeb1027e45c6b432da5f97d4d4b2_76">
              <w:r>
                <w:rPr>
                  <w:rStyle w:val="InternetLink"/>
                  <w:rFonts w:ascii="Times New Roman;sans-serif" w:hAnsi="Times New Roman;sans-serif"/>
                  <w:b w:val="false"/>
                  <w:strike w:val="false"/>
                  <w:dstrike w:val="false"/>
                  <w:color w:val="000000"/>
                  <w:sz w:val="20"/>
                  <w:u w:val="none"/>
                  <w:effect w:val="none"/>
                </w:rPr>
                <w:t>84</w:t>
              </w:r>
            </w:hyperlink>
          </w:p>
        </w:tc>
      </w:tr>
      <w:tr>
        <w:trPr/>
        <w:tc>
          <w:tcPr>
            <w:tcW w:w="9633" w:type="dxa"/>
            <w:gridSpan w:val="3"/>
            <w:tcBorders/>
            <w:tcMar>
              <w:top w:w="0" w:type="dxa"/>
              <w:left w:w="0" w:type="dxa"/>
              <w:bottom w:w="0" w:type="dxa"/>
              <w:right w:w="0" w:type="dxa"/>
            </w:tcMar>
            <w:vAlign w:val="center"/>
          </w:tcPr>
          <w:p>
            <w:pPr>
              <w:pStyle w:val="TableContents"/>
              <w:bidi w:val="0"/>
              <w:spacing w:lineRule="auto" w:line="288" w:before="0" w:after="180"/>
              <w:jc w:val="left"/>
              <w:rPr/>
            </w:pPr>
            <w:hyperlink w:anchor="ib4a7eeb1027e45c6b432da5f97d4d4b2_139">
              <w:r>
                <w:rPr>
                  <w:rStyle w:val="InternetLink"/>
                  <w:rFonts w:ascii="Times New Roman;sans-serif" w:hAnsi="Times New Roman;sans-serif"/>
                  <w:b w:val="false"/>
                  <w:strike w:val="false"/>
                  <w:dstrike w:val="false"/>
                  <w:color w:val="0000FF"/>
                  <w:sz w:val="20"/>
                  <w:u w:val="none"/>
                  <w:effect w:val="none"/>
                </w:rPr>
                <w:t>Item 9. Changes in and Disagreements With Accountants on Accounting and Financial Disclosure</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4a7eeb1027e45c6b432da5f97d4d4b2_139">
              <w:r>
                <w:rPr>
                  <w:rStyle w:val="InternetLink"/>
                  <w:rFonts w:ascii="Times New Roman;sans-serif" w:hAnsi="Times New Roman;sans-serif"/>
                  <w:b w:val="false"/>
                  <w:strike w:val="false"/>
                  <w:dstrike w:val="false"/>
                  <w:color w:val="000000"/>
                  <w:sz w:val="20"/>
                  <w:u w:val="none"/>
                  <w:effect w:val="none"/>
                </w:rPr>
                <w:t>108</w:t>
              </w:r>
            </w:hyperlink>
          </w:p>
        </w:tc>
      </w:tr>
      <w:tr>
        <w:trPr/>
        <w:tc>
          <w:tcPr>
            <w:tcW w:w="9633" w:type="dxa"/>
            <w:gridSpan w:val="3"/>
            <w:tcBorders/>
            <w:tcMar>
              <w:top w:w="0" w:type="dxa"/>
              <w:left w:w="0" w:type="dxa"/>
              <w:bottom w:w="0" w:type="dxa"/>
              <w:right w:w="0" w:type="dxa"/>
            </w:tcMar>
            <w:vAlign w:val="center"/>
          </w:tcPr>
          <w:p>
            <w:pPr>
              <w:pStyle w:val="TableContents"/>
              <w:bidi w:val="0"/>
              <w:spacing w:lineRule="auto" w:line="288" w:before="0" w:after="180"/>
              <w:jc w:val="left"/>
              <w:rPr/>
            </w:pPr>
            <w:hyperlink w:anchor="ib4a7eeb1027e45c6b432da5f97d4d4b2_142">
              <w:r>
                <w:rPr>
                  <w:rStyle w:val="InternetLink"/>
                  <w:rFonts w:ascii="Times New Roman;sans-serif" w:hAnsi="Times New Roman;sans-serif"/>
                  <w:b w:val="false"/>
                  <w:strike w:val="false"/>
                  <w:dstrike w:val="false"/>
                  <w:color w:val="0000FF"/>
                  <w:sz w:val="20"/>
                  <w:u w:val="none"/>
                  <w:effect w:val="none"/>
                </w:rPr>
                <w:t>Item 9A. Controls and Procedures </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4a7eeb1027e45c6b432da5f97d4d4b2_142">
              <w:r>
                <w:rPr>
                  <w:rStyle w:val="InternetLink"/>
                  <w:rFonts w:ascii="Times New Roman;sans-serif" w:hAnsi="Times New Roman;sans-serif"/>
                  <w:b w:val="false"/>
                  <w:strike w:val="false"/>
                  <w:dstrike w:val="false"/>
                  <w:color w:val="000000"/>
                  <w:sz w:val="20"/>
                  <w:u w:val="none"/>
                  <w:effect w:val="none"/>
                </w:rPr>
                <w:t>108</w:t>
              </w:r>
            </w:hyperlink>
          </w:p>
        </w:tc>
      </w:tr>
      <w:tr>
        <w:trPr/>
        <w:tc>
          <w:tcPr>
            <w:tcW w:w="9633" w:type="dxa"/>
            <w:gridSpan w:val="3"/>
            <w:tcBorders/>
            <w:tcMar>
              <w:top w:w="0" w:type="dxa"/>
              <w:left w:w="0" w:type="dxa"/>
              <w:bottom w:w="0" w:type="dxa"/>
              <w:right w:w="0" w:type="dxa"/>
            </w:tcMar>
            <w:vAlign w:val="center"/>
          </w:tcPr>
          <w:p>
            <w:pPr>
              <w:pStyle w:val="TableContents"/>
              <w:bidi w:val="0"/>
              <w:spacing w:lineRule="auto" w:line="288" w:before="0" w:after="180"/>
              <w:jc w:val="left"/>
              <w:rPr/>
            </w:pPr>
            <w:hyperlink w:anchor="ib4a7eeb1027e45c6b432da5f97d4d4b2_145">
              <w:r>
                <w:rPr>
                  <w:rStyle w:val="InternetLink"/>
                  <w:rFonts w:ascii="Times New Roman;sans-serif" w:hAnsi="Times New Roman;sans-serif"/>
                  <w:b w:val="false"/>
                  <w:strike w:val="false"/>
                  <w:dstrike w:val="false"/>
                  <w:color w:val="0000FF"/>
                  <w:sz w:val="20"/>
                  <w:u w:val="none"/>
                  <w:effect w:val="none"/>
                </w:rPr>
                <w:t>Item 9B. Other Information</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4a7eeb1027e45c6b432da5f97d4d4b2_145">
              <w:r>
                <w:rPr>
                  <w:rStyle w:val="InternetLink"/>
                  <w:rFonts w:ascii="Times New Roman;sans-serif" w:hAnsi="Times New Roman;sans-serif"/>
                  <w:b w:val="false"/>
                  <w:strike w:val="false"/>
                  <w:dstrike w:val="false"/>
                  <w:color w:val="000000"/>
                  <w:sz w:val="20"/>
                  <w:u w:val="none"/>
                  <w:effect w:val="none"/>
                </w:rPr>
                <w:t>108</w:t>
              </w:r>
            </w:hyperlink>
          </w:p>
        </w:tc>
      </w:tr>
      <w:tr>
        <w:trPr/>
        <w:tc>
          <w:tcPr>
            <w:tcW w:w="9633" w:type="dxa"/>
            <w:gridSpan w:val="3"/>
            <w:tcBorders/>
            <w:tcMar>
              <w:top w:w="0" w:type="dxa"/>
              <w:left w:w="0" w:type="dxa"/>
              <w:bottom w:w="0" w:type="dxa"/>
              <w:right w:w="0" w:type="dxa"/>
            </w:tcMar>
            <w:vAlign w:val="center"/>
          </w:tcPr>
          <w:p>
            <w:pPr>
              <w:pStyle w:val="TableContents"/>
              <w:bidi w:val="0"/>
              <w:spacing w:lineRule="auto" w:line="288" w:before="0" w:after="180"/>
              <w:jc w:val="left"/>
              <w:rPr/>
            </w:pPr>
            <w:r>
              <w:rPr>
                <w:color w:val="000000"/>
              </w:rPr>
              <w:t>            </w:t>
            </w:r>
            <w:hyperlink w:anchor="ib4a7eeb1027e45c6b432da5f97d4d4b2_148">
              <w:r>
                <w:rPr>
                  <w:rStyle w:val="InternetLink"/>
                  <w:rFonts w:ascii="Times New Roman;sans-serif" w:hAnsi="Times New Roman;sans-serif"/>
                  <w:b w:val="false"/>
                  <w:strike w:val="false"/>
                  <w:dstrike w:val="false"/>
                  <w:color w:val="0000FF"/>
                  <w:sz w:val="20"/>
                  <w:u w:val="none"/>
                  <w:effect w:val="none"/>
                </w:rPr>
                <w:t>Item 9C. Disclosure Regarding Foreign Jurisdictions that Prevent Inspections</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4a7eeb1027e45c6b432da5f97d4d4b2_148">
              <w:r>
                <w:rPr>
                  <w:rStyle w:val="InternetLink"/>
                  <w:rFonts w:ascii="Times New Roman;sans-serif" w:hAnsi="Times New Roman;sans-serif"/>
                  <w:b w:val="false"/>
                  <w:strike w:val="false"/>
                  <w:dstrike w:val="false"/>
                  <w:color w:val="000000"/>
                  <w:sz w:val="20"/>
                  <w:u w:val="none"/>
                  <w:effect w:val="none"/>
                </w:rPr>
                <w:t>108</w:t>
              </w:r>
            </w:hyperlink>
          </w:p>
        </w:tc>
      </w:tr>
      <w:tr>
        <w:trPr/>
        <w:tc>
          <w:tcPr>
            <w:tcW w:w="9633" w:type="dxa"/>
            <w:gridSpan w:val="3"/>
            <w:tcBorders/>
            <w:tcMar>
              <w:top w:w="0" w:type="dxa"/>
              <w:left w:w="0" w:type="dxa"/>
              <w:bottom w:w="0" w:type="dxa"/>
              <w:right w:w="0" w:type="dxa"/>
            </w:tcMar>
            <w:vAlign w:val="center"/>
          </w:tcPr>
          <w:p>
            <w:pPr>
              <w:pStyle w:val="TableContents"/>
              <w:bidi w:val="0"/>
              <w:spacing w:lineRule="auto" w:line="288" w:before="0" w:after="180"/>
              <w:jc w:val="left"/>
              <w:rPr/>
            </w:pPr>
            <w:hyperlink w:anchor="ib4a7eeb1027e45c6b432da5f97d4d4b2_151">
              <w:r>
                <w:rPr>
                  <w:rStyle w:val="InternetLink"/>
                  <w:rFonts w:ascii="Times New Roman;sans-serif" w:hAnsi="Times New Roman;sans-serif"/>
                  <w:b/>
                  <w:strike w:val="false"/>
                  <w:dstrike w:val="false"/>
                  <w:color w:val="000000"/>
                  <w:sz w:val="20"/>
                  <w:u w:val="none"/>
                  <w:effect w:val="none"/>
                </w:rPr>
                <w:t>Part III</w:t>
              </w:r>
            </w:hyperlink>
          </w:p>
        </w:tc>
        <w:tc>
          <w:tcPr>
            <w:tcW w:w="5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33" w:type="dxa"/>
            <w:gridSpan w:val="3"/>
            <w:tcBorders/>
            <w:tcMar>
              <w:top w:w="0" w:type="dxa"/>
              <w:left w:w="0" w:type="dxa"/>
              <w:bottom w:w="0" w:type="dxa"/>
              <w:right w:w="0" w:type="dxa"/>
            </w:tcMar>
            <w:vAlign w:val="center"/>
          </w:tcPr>
          <w:p>
            <w:pPr>
              <w:pStyle w:val="TableContents"/>
              <w:bidi w:val="0"/>
              <w:spacing w:lineRule="auto" w:line="288" w:before="0" w:after="180"/>
              <w:jc w:val="left"/>
              <w:rPr/>
            </w:pPr>
            <w:hyperlink w:anchor="ib4a7eeb1027e45c6b432da5f97d4d4b2_154">
              <w:r>
                <w:rPr>
                  <w:rStyle w:val="InternetLink"/>
                  <w:rFonts w:ascii="Times New Roman;sans-serif" w:hAnsi="Times New Roman;sans-serif"/>
                  <w:b w:val="false"/>
                  <w:strike w:val="false"/>
                  <w:dstrike w:val="false"/>
                  <w:color w:val="0000FF"/>
                  <w:sz w:val="20"/>
                  <w:u w:val="none"/>
                  <w:effect w:val="none"/>
                </w:rPr>
                <w:t>Item 10. Directors, Executive Officers and Corporate Governance </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4a7eeb1027e45c6b432da5f97d4d4b2_154">
              <w:r>
                <w:rPr>
                  <w:rStyle w:val="InternetLink"/>
                  <w:rFonts w:ascii="Times New Roman;sans-serif" w:hAnsi="Times New Roman;sans-serif"/>
                  <w:b w:val="false"/>
                  <w:strike w:val="false"/>
                  <w:dstrike w:val="false"/>
                  <w:color w:val="000000"/>
                  <w:sz w:val="20"/>
                  <w:u w:val="none"/>
                  <w:effect w:val="none"/>
                </w:rPr>
                <w:t>109</w:t>
              </w:r>
            </w:hyperlink>
          </w:p>
        </w:tc>
      </w:tr>
      <w:tr>
        <w:trPr/>
        <w:tc>
          <w:tcPr>
            <w:tcW w:w="9633" w:type="dxa"/>
            <w:gridSpan w:val="3"/>
            <w:tcBorders/>
            <w:tcMar>
              <w:top w:w="0" w:type="dxa"/>
              <w:left w:w="0" w:type="dxa"/>
              <w:bottom w:w="0" w:type="dxa"/>
              <w:right w:w="0" w:type="dxa"/>
            </w:tcMar>
            <w:vAlign w:val="center"/>
          </w:tcPr>
          <w:p>
            <w:pPr>
              <w:pStyle w:val="TableContents"/>
              <w:bidi w:val="0"/>
              <w:spacing w:lineRule="auto" w:line="288" w:before="0" w:after="180"/>
              <w:jc w:val="left"/>
              <w:rPr/>
            </w:pPr>
            <w:hyperlink w:anchor="ib4a7eeb1027e45c6b432da5f97d4d4b2_549755815388">
              <w:r>
                <w:rPr>
                  <w:rStyle w:val="InternetLink"/>
                  <w:rFonts w:ascii="Times New Roman;sans-serif" w:hAnsi="Times New Roman;sans-serif"/>
                  <w:b w:val="false"/>
                  <w:strike w:val="false"/>
                  <w:dstrike w:val="false"/>
                  <w:color w:val="0000FF"/>
                  <w:sz w:val="20"/>
                  <w:u w:val="none"/>
                  <w:effect w:val="none"/>
                </w:rPr>
                <w:t>Item 11. Executive Compensation </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4a7eeb1027e45c6b432da5f97d4d4b2_549755815388">
              <w:r>
                <w:rPr>
                  <w:rStyle w:val="InternetLink"/>
                  <w:rFonts w:ascii="Times New Roman;sans-serif" w:hAnsi="Times New Roman;sans-serif"/>
                  <w:b w:val="false"/>
                  <w:strike w:val="false"/>
                  <w:dstrike w:val="false"/>
                  <w:color w:val="000000"/>
                  <w:sz w:val="20"/>
                  <w:u w:val="none"/>
                  <w:effect w:val="none"/>
                </w:rPr>
                <w:t>109</w:t>
              </w:r>
            </w:hyperlink>
          </w:p>
        </w:tc>
      </w:tr>
      <w:tr>
        <w:trPr/>
        <w:tc>
          <w:tcPr>
            <w:tcW w:w="9633" w:type="dxa"/>
            <w:gridSpan w:val="3"/>
            <w:tcBorders/>
            <w:tcMar>
              <w:top w:w="0" w:type="dxa"/>
              <w:left w:w="0" w:type="dxa"/>
              <w:bottom w:w="0" w:type="dxa"/>
              <w:right w:w="0" w:type="dxa"/>
            </w:tcMar>
            <w:vAlign w:val="center"/>
          </w:tcPr>
          <w:p>
            <w:pPr>
              <w:pStyle w:val="TableContents"/>
              <w:bidi w:val="0"/>
              <w:spacing w:lineRule="auto" w:line="288" w:before="0" w:after="180"/>
              <w:jc w:val="left"/>
              <w:rPr/>
            </w:pPr>
            <w:hyperlink w:anchor="ib4a7eeb1027e45c6b432da5f97d4d4b2_549755815404">
              <w:r>
                <w:rPr>
                  <w:rStyle w:val="InternetLink"/>
                  <w:rFonts w:ascii="Times New Roman;sans-serif" w:hAnsi="Times New Roman;sans-serif"/>
                  <w:b w:val="false"/>
                  <w:strike w:val="false"/>
                  <w:dstrike w:val="false"/>
                  <w:color w:val="0000FF"/>
                  <w:sz w:val="20"/>
                  <w:u w:val="none"/>
                  <w:effect w:val="none"/>
                </w:rPr>
                <w:t>Item 12. Security Ownership of Certain Beneficial Owners and Management and Related Stockholder Matters </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4a7eeb1027e45c6b432da5f97d4d4b2_549755815404">
              <w:r>
                <w:rPr>
                  <w:rStyle w:val="InternetLink"/>
                  <w:rFonts w:ascii="Times New Roman;sans-serif" w:hAnsi="Times New Roman;sans-serif"/>
                  <w:b w:val="false"/>
                  <w:strike w:val="false"/>
                  <w:dstrike w:val="false"/>
                  <w:color w:val="000000"/>
                  <w:sz w:val="20"/>
                  <w:u w:val="none"/>
                  <w:effect w:val="none"/>
                </w:rPr>
                <w:t>109</w:t>
              </w:r>
            </w:hyperlink>
          </w:p>
        </w:tc>
      </w:tr>
      <w:tr>
        <w:trPr/>
        <w:tc>
          <w:tcPr>
            <w:tcW w:w="9633" w:type="dxa"/>
            <w:gridSpan w:val="3"/>
            <w:tcBorders/>
            <w:tcMar>
              <w:top w:w="0" w:type="dxa"/>
              <w:left w:w="0" w:type="dxa"/>
              <w:bottom w:w="0" w:type="dxa"/>
              <w:right w:w="0" w:type="dxa"/>
            </w:tcMar>
            <w:vAlign w:val="center"/>
          </w:tcPr>
          <w:p>
            <w:pPr>
              <w:pStyle w:val="TableContents"/>
              <w:bidi w:val="0"/>
              <w:spacing w:lineRule="auto" w:line="288" w:before="0" w:after="180"/>
              <w:jc w:val="left"/>
              <w:rPr/>
            </w:pPr>
            <w:hyperlink w:anchor="ib4a7eeb1027e45c6b432da5f97d4d4b2_549755815422">
              <w:r>
                <w:rPr>
                  <w:rStyle w:val="InternetLink"/>
                  <w:rFonts w:ascii="Times New Roman;sans-serif" w:hAnsi="Times New Roman;sans-serif"/>
                  <w:b w:val="false"/>
                  <w:strike w:val="false"/>
                  <w:dstrike w:val="false"/>
                  <w:color w:val="0000FF"/>
                  <w:sz w:val="20"/>
                  <w:u w:val="none"/>
                  <w:effect w:val="none"/>
                </w:rPr>
                <w:t>Item 13. Certain Relationships and Related Transactions, and Director Independence</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4a7eeb1027e45c6b432da5f97d4d4b2_549755815422">
              <w:r>
                <w:rPr>
                  <w:rStyle w:val="InternetLink"/>
                  <w:rFonts w:ascii="Times New Roman;sans-serif" w:hAnsi="Times New Roman;sans-serif"/>
                  <w:b w:val="false"/>
                  <w:strike w:val="false"/>
                  <w:dstrike w:val="false"/>
                  <w:color w:val="000000"/>
                  <w:sz w:val="20"/>
                  <w:u w:val="none"/>
                  <w:effect w:val="none"/>
                </w:rPr>
                <w:t>109</w:t>
              </w:r>
            </w:hyperlink>
          </w:p>
        </w:tc>
      </w:tr>
      <w:tr>
        <w:trPr/>
        <w:tc>
          <w:tcPr>
            <w:tcW w:w="9633" w:type="dxa"/>
            <w:gridSpan w:val="3"/>
            <w:tcBorders/>
            <w:tcMar>
              <w:top w:w="0" w:type="dxa"/>
              <w:left w:w="0" w:type="dxa"/>
              <w:bottom w:w="0" w:type="dxa"/>
              <w:right w:w="0" w:type="dxa"/>
            </w:tcMar>
            <w:vAlign w:val="center"/>
          </w:tcPr>
          <w:p>
            <w:pPr>
              <w:pStyle w:val="TableContents"/>
              <w:bidi w:val="0"/>
              <w:spacing w:lineRule="auto" w:line="288" w:before="0" w:after="180"/>
              <w:jc w:val="left"/>
              <w:rPr/>
            </w:pPr>
            <w:hyperlink w:anchor="ib4a7eeb1027e45c6b432da5f97d4d4b2_549755815437">
              <w:r>
                <w:rPr>
                  <w:rStyle w:val="InternetLink"/>
                  <w:rFonts w:ascii="Times New Roman;sans-serif" w:hAnsi="Times New Roman;sans-serif"/>
                  <w:b w:val="false"/>
                  <w:strike w:val="false"/>
                  <w:dstrike w:val="false"/>
                  <w:color w:val="0000FF"/>
                  <w:sz w:val="20"/>
                  <w:u w:val="none"/>
                  <w:effect w:val="none"/>
                </w:rPr>
                <w:t>Item 14. Principal Accountant Fees and Services </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4a7eeb1027e45c6b432da5f97d4d4b2_549755815437">
              <w:r>
                <w:rPr>
                  <w:rStyle w:val="InternetLink"/>
                  <w:rFonts w:ascii="Times New Roman;sans-serif" w:hAnsi="Times New Roman;sans-serif"/>
                  <w:b w:val="false"/>
                  <w:strike w:val="false"/>
                  <w:dstrike w:val="false"/>
                  <w:color w:val="000000"/>
                  <w:sz w:val="20"/>
                  <w:u w:val="none"/>
                  <w:effect w:val="none"/>
                </w:rPr>
                <w:t>109</w:t>
              </w:r>
            </w:hyperlink>
          </w:p>
        </w:tc>
      </w:tr>
      <w:tr>
        <w:trPr/>
        <w:tc>
          <w:tcPr>
            <w:tcW w:w="9633" w:type="dxa"/>
            <w:gridSpan w:val="3"/>
            <w:tcBorders/>
            <w:tcMar>
              <w:top w:w="0" w:type="dxa"/>
              <w:left w:w="0" w:type="dxa"/>
              <w:bottom w:w="0" w:type="dxa"/>
              <w:right w:w="0" w:type="dxa"/>
            </w:tcMar>
            <w:vAlign w:val="center"/>
          </w:tcPr>
          <w:p>
            <w:pPr>
              <w:pStyle w:val="TableContents"/>
              <w:bidi w:val="0"/>
              <w:spacing w:lineRule="auto" w:line="288" w:before="0" w:after="180"/>
              <w:jc w:val="left"/>
              <w:rPr/>
            </w:pPr>
            <w:hyperlink w:anchor="ib4a7eeb1027e45c6b432da5f97d4d4b2_169">
              <w:r>
                <w:rPr>
                  <w:rStyle w:val="InternetLink"/>
                  <w:rFonts w:ascii="Times New Roman;sans-serif" w:hAnsi="Times New Roman;sans-serif"/>
                  <w:b/>
                  <w:strike w:val="false"/>
                  <w:dstrike w:val="false"/>
                  <w:color w:val="000000"/>
                  <w:sz w:val="20"/>
                  <w:u w:val="none"/>
                  <w:effect w:val="none"/>
                </w:rPr>
                <w:t>Part IV</w:t>
              </w:r>
            </w:hyperlink>
          </w:p>
        </w:tc>
        <w:tc>
          <w:tcPr>
            <w:tcW w:w="5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33" w:type="dxa"/>
            <w:gridSpan w:val="3"/>
            <w:tcBorders/>
            <w:tcMar>
              <w:top w:w="0" w:type="dxa"/>
              <w:left w:w="0" w:type="dxa"/>
              <w:bottom w:w="0" w:type="dxa"/>
              <w:right w:w="0" w:type="dxa"/>
            </w:tcMar>
            <w:vAlign w:val="center"/>
          </w:tcPr>
          <w:p>
            <w:pPr>
              <w:pStyle w:val="TableContents"/>
              <w:bidi w:val="0"/>
              <w:spacing w:lineRule="auto" w:line="288" w:before="0" w:after="180"/>
              <w:jc w:val="left"/>
              <w:rPr/>
            </w:pPr>
            <w:hyperlink w:anchor="ib4a7eeb1027e45c6b432da5f97d4d4b2_172">
              <w:r>
                <w:rPr>
                  <w:rStyle w:val="InternetLink"/>
                  <w:rFonts w:ascii="Times New Roman;sans-serif" w:hAnsi="Times New Roman;sans-serif"/>
                  <w:b w:val="false"/>
                  <w:strike w:val="false"/>
                  <w:dstrike w:val="false"/>
                  <w:color w:val="0000FF"/>
                  <w:sz w:val="20"/>
                  <w:u w:val="none"/>
                  <w:effect w:val="none"/>
                </w:rPr>
                <w:t>Item 15. Exhibit and Financial Statement Schedules </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4a7eeb1027e45c6b432da5f97d4d4b2_172">
              <w:r>
                <w:rPr>
                  <w:rStyle w:val="InternetLink"/>
                  <w:rFonts w:ascii="Times New Roman;sans-serif" w:hAnsi="Times New Roman;sans-serif"/>
                  <w:b w:val="false"/>
                  <w:strike w:val="false"/>
                  <w:dstrike w:val="false"/>
                  <w:color w:val="000000"/>
                  <w:sz w:val="20"/>
                  <w:u w:val="none"/>
                  <w:effect w:val="none"/>
                </w:rPr>
                <w:t>110</w:t>
              </w:r>
            </w:hyperlink>
          </w:p>
        </w:tc>
      </w:tr>
      <w:tr>
        <w:trPr/>
        <w:tc>
          <w:tcPr>
            <w:tcW w:w="9633" w:type="dxa"/>
            <w:gridSpan w:val="3"/>
            <w:tcBorders/>
            <w:tcMar>
              <w:top w:w="0" w:type="dxa"/>
              <w:left w:w="0" w:type="dxa"/>
              <w:bottom w:w="0" w:type="dxa"/>
              <w:right w:w="0" w:type="dxa"/>
            </w:tcMar>
            <w:vAlign w:val="center"/>
          </w:tcPr>
          <w:p>
            <w:pPr>
              <w:pStyle w:val="TableContents"/>
              <w:bidi w:val="0"/>
              <w:spacing w:lineRule="auto" w:line="288" w:before="0" w:after="180"/>
              <w:jc w:val="left"/>
              <w:rPr/>
            </w:pPr>
            <w:hyperlink w:anchor="ib4a7eeb1027e45c6b432da5f97d4d4b2_178">
              <w:r>
                <w:rPr>
                  <w:rStyle w:val="InternetLink"/>
                  <w:rFonts w:ascii="Times New Roman;sans-serif" w:hAnsi="Times New Roman;sans-serif"/>
                  <w:b w:val="false"/>
                  <w:strike w:val="false"/>
                  <w:dstrike w:val="false"/>
                  <w:color w:val="0000FF"/>
                  <w:sz w:val="20"/>
                  <w:u w:val="none"/>
                  <w:effect w:val="none"/>
                </w:rPr>
                <w:t>Item 16. Form 10-K Summary </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4a7eeb1027e45c6b432da5f97d4d4b2_178">
              <w:r>
                <w:rPr>
                  <w:rStyle w:val="InternetLink"/>
                  <w:rFonts w:ascii="Times New Roman;sans-serif" w:hAnsi="Times New Roman;sans-serif"/>
                  <w:b w:val="false"/>
                  <w:strike w:val="false"/>
                  <w:dstrike w:val="false"/>
                  <w:color w:val="000000"/>
                  <w:sz w:val="20"/>
                  <w:u w:val="none"/>
                  <w:effect w:val="none"/>
                </w:rPr>
                <w:t>113</w:t>
              </w:r>
            </w:hyperlink>
          </w:p>
        </w:tc>
      </w:tr>
      <w:tr>
        <w:trPr/>
        <w:tc>
          <w:tcPr>
            <w:tcW w:w="9633" w:type="dxa"/>
            <w:gridSpan w:val="3"/>
            <w:tcBorders/>
            <w:tcMar>
              <w:top w:w="0" w:type="dxa"/>
              <w:left w:w="0" w:type="dxa"/>
              <w:bottom w:w="0" w:type="dxa"/>
              <w:right w:w="0" w:type="dxa"/>
            </w:tcMar>
            <w:vAlign w:val="center"/>
          </w:tcPr>
          <w:p>
            <w:pPr>
              <w:pStyle w:val="TableContents"/>
              <w:bidi w:val="0"/>
              <w:spacing w:lineRule="auto" w:line="288" w:before="0" w:after="180"/>
              <w:jc w:val="left"/>
              <w:rPr/>
            </w:pPr>
            <w:hyperlink w:anchor="ib4a7eeb1027e45c6b432da5f97d4d4b2_181">
              <w:r>
                <w:rPr>
                  <w:rStyle w:val="InternetLink"/>
                  <w:rFonts w:ascii="Times New Roman;sans-serif" w:hAnsi="Times New Roman;sans-serif"/>
                  <w:b/>
                  <w:strike w:val="false"/>
                  <w:dstrike w:val="false"/>
                  <w:color w:val="000000"/>
                  <w:sz w:val="20"/>
                  <w:u w:val="none"/>
                  <w:effect w:val="none"/>
                </w:rPr>
                <w:t>Signatures</w:t>
              </w:r>
            </w:hyperlink>
          </w:p>
        </w:tc>
        <w:tc>
          <w:tcPr>
            <w:tcW w:w="5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8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31445"/>
                <wp:effectExtent l="0" t="0" r="0" b="0"/>
                <wp:wrapNone/>
                <wp:docPr id="3" name="Frame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3</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180" w:after="18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SPECIAL NOTE REGARDING FORWARD-LOOKING STATEMENTS</w:t>
      </w:r>
    </w:p>
    <w:p>
      <w:pPr>
        <w:pStyle w:val="TextBody"/>
        <w:bidi w:val="0"/>
        <w:spacing w:lineRule="auto" w:line="288" w:before="0" w:after="180"/>
        <w:ind w:left="0" w:right="0" w:firstLine="36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This Annual Report on Form 10-K contains forward-looking statements within the meaning of Section 27A of the Securities Act of 1933, as amended, or the Securities Act, and Section 21E of the Securities Exchange Act of 1934, as amended, or the Exchange Act, that are based on our management’s beliefs and assumptions and on information currently available to our management. The forward-looking statements are contained principally in the section entitled “Risk Factors” and “Management’s Discussion and Analysis of Financial Condition and Results of Operations.” Forward-looking statements include, but are not limited to, statements concerning the following:</w:t>
      </w:r>
    </w:p>
    <w:p>
      <w:pPr>
        <w:pStyle w:val="TextBody"/>
        <w:bidi w:val="0"/>
        <w:spacing w:lineRule="auto" w:line="288" w:before="0" w:after="180"/>
        <w:ind w:left="0" w:right="0" w:firstLine="360"/>
        <w:jc w:val="left"/>
        <w:rPr/>
      </w:pPr>
      <w:r>
        <w:rPr>
          <w:color w:val="000000"/>
          <w:shd w:fill="FFFFFF" w:val="clear"/>
        </w:rPr>
        <w:t>•</w:t>
      </w:r>
      <w:r>
        <w:rPr>
          <w:rFonts w:ascii="Times New Roman;sans-serif" w:hAnsi="Times New Roman;sans-serif"/>
          <w:b w:val="false"/>
          <w:color w:val="000000"/>
          <w:sz w:val="20"/>
        </w:rPr>
        <w:t>our dependence on the success of our proteomics platform (the “Nautilus platform”), which remains in the development stage and subject to scientific and technical validation;</w:t>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rPr>
        <w:t>our expectations regarding the timing and progress of the development of the Nautilus platform and any commercialization timelines;</w:t>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rPr>
        <w:t>our expectations regarding the functionality of the Nautilus platform;</w:t>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rPr>
        <w:t>our expectations regarding the availability of private and public research funding for proteomics research and development activities;</w:t>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rPr>
        <w:t>our estimates of our addressable market, market growth, future revenue, key performance indicators, expenses, capital requirements and needs for additional financing;</w:t>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rPr>
        <w:t>our expectations regarding the rate and degree of market acceptance of the Nautilus platform;</w:t>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rPr>
        <w:t>the impact of the Nautilus platform on the field of proteomics and the size and growth of the addressable proteomics market;</w:t>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rPr>
        <w:t>our ability to manage and grow our business and commercialize our Nautilus platform;</w:t>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rPr>
        <w:t>our ability to successfully implement our three phase commercial launch plan;</w:t>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rPr>
        <w:t>the implementation of our business model and strategic plans for the Nautilus platform;</w:t>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rPr>
        <w:t>our ability to establish and maintain intellectual property protection for our products or avoid or defend claims of infringement;</w:t>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rPr>
        <w:t>our expectations regarding the use of proceeds from the Business Combination (as defined in Part I, Item 1 of this Annual Report on Form 10-K);</w:t>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rPr>
        <w:t>the performance of third-party partners, manufacturers and suppliers;</w:t>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rPr>
        <w:t>changes in applicable laws or regulations;</w:t>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rPr>
        <w:t>our ability to raise financing in the future;</w:t>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rPr>
        <w:t>our expectations regarding the length of time that our existing cash resources will fund our operations;</w:t>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rPr>
        <w:t>our success in retaining or recruiting, or changes required in, our officers, key employees or directors or other key personnel;</w:t>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rPr>
        <w:t>the volatility of the trading price of our common stock;</w:t>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rPr>
        <w:t>our ability to develop, manufacture, support, and commercialize new products;</w:t>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rPr>
        <w:t>our expectations about market trends;</w:t>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rPr>
        <w:t>the impact of local, regional, national and international economic conditions and events, instability in the global financial markets and general economic downturns, on the foregoing; and</w:t>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rPr>
        <w:t>other factors including but not limited to those detailed under the section entitled “</w:t>
      </w:r>
      <w:r>
        <w:rPr>
          <w:rFonts w:ascii="Times New Roman;sans-serif" w:hAnsi="Times New Roman;sans-serif"/>
          <w:b w:val="false"/>
          <w:i/>
          <w:color w:val="000000"/>
          <w:sz w:val="20"/>
        </w:rPr>
        <w:t>Risk Factors</w:t>
      </w:r>
      <w:r>
        <w:rPr>
          <w:rFonts w:ascii="Times New Roman;sans-serif" w:hAnsi="Times New Roman;sans-serif"/>
          <w:b w:val="false"/>
          <w:color w:val="000000"/>
          <w:sz w:val="20"/>
        </w:rPr>
        <w:t>.”</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Forward-looking statements include statements that are not historical facts and can be identified by terms such as “anticipates,” “believes,” “could,” “seeks,” “estimates,” “expects,” “intends,” “may,” “plans,” “potential,” “predicts,” “projects,” “should,” “will,” “would,” or similar expressions and the negatives of those terms.</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Forward-looking statements involve known and unknown risks, uncertainties, and other factors that may cause our actual results, performance, or achievements to be materially different from any future results, performance, or achievements expressed or implied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31445"/>
                <wp:effectExtent l="0" t="0" r="0" b="0"/>
                <wp:wrapNone/>
                <wp:docPr id="4" name="Frame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4</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by the forward-looking statements. We discuss these risks in greater detail in Part I, Item 1A, “Risk Factors,” elsewhere in this Annual Report on Form 10-K. Given these uncertainties, you should not place undue reliance on these forward-looking statements. Moreover, we operate in a very competitive and rapidly changing environment. New risks emerge from time to time. It is not possible for us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future events and trends discussed in this Annual Report on Form 10-K may not occur and actual results could differ materially and adversely from those anticipated or implied in the forward-looking statements.</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forward-looking statements made in this Annual Report on Form 10-K relate only to events as of the date on which the statements are made. Except as required by law, we assume no obligation to update these forward-looking statements, or to update the reasons actual results could differ materially from those anticipated in these forward-looking statements, even if new information becomes available in the future.</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This Annual Report on Form 10-K also contains estimates, projections and other information concerning our industry, our business, and market opportunity, including data regarding the estimated size of the market. Information that is based on estimates, forecasts, projections, market research or similar methodologies is inherently subject to uncertainties and actual events or circumstances may differ materially from events and circumstances reflected in this information. Unless otherwise expressly stated, we obtained this industry, business, market and other data from reports, research surveys, studies and similar data prepared by market research firms and other third parties, industry, medical and general publications, government data and similar sources.</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This Annual Report on Form 10-K contains references to trademarks and service marks belonging to other entities. Solely for convenience, trademarks and trade names referred to in this Annual Report on Form 10-K may appear without the ® or TM symbols, but such references are not intended to indicate, in any way, that the applicable licensor will not assert, to the fullest extent under applicable law, its rights to these trademarks and trade names. We do not intend our use or display of other companies’ trade names, trademarks or service marks to imply a relationship with, or endorsement or sponsorship of it by, any other companies.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31445"/>
                <wp:effectExtent l="0" t="0" r="0" b="0"/>
                <wp:wrapNone/>
                <wp:docPr id="5" name="Frame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5</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484" w:before="0" w:after="0"/>
        <w:jc w:val="center"/>
        <w:rPr>
          <w:rFonts w:ascii="Times New Roman;sans-serif" w:hAnsi="Times New Roman;sans-serif"/>
          <w:b/>
          <w:color w:val="000000"/>
          <w:sz w:val="24"/>
        </w:rPr>
      </w:pPr>
      <w:r>
        <w:rPr>
          <w:rFonts w:ascii="Times New Roman;sans-serif" w:hAnsi="Times New Roman;sans-serif"/>
          <w:b/>
          <w:color w:val="000000"/>
          <w:sz w:val="24"/>
        </w:rPr>
        <w:t>Part 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Item 1. Business </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BACKGROUND OF BUSINESS COMBINATION</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On June 9, 2021 (the “Closing Date”), Nautilus Biotechnology, Inc., a Delaware corporation (f/k/a ARYA Sciences Acquisition Corp III (“ARYA”)), consummated the business combination (the “Business Combination”) pursuant to the terms of that certain Business Combination Agreement, dated as of February 7, 2021 (the “Business Combination Agreement”), by and among ARYA, Mako Merger Sub, Inc., a Delaware corporation and wholly-owned subsidiary of ARYA (“Mako Merger Sub”), and Nautilus Subsidiary, Inc., a Delaware corporation (f/k/a Nautilus Biotechnology, Inc.) (“Legacy Nautilus”). The Business Combination Agreement provided for, among other things, (i) the domestication of ARYA as a corporation incorporated under the laws of the State of Delaware, upon which ARYA changed its name to “Nautilus Biotechnology, Inc.” (together with its consolidated subsidiary, the “Company” “New Nautilus” or “Nautilus”) and (ii) the merger of Mako Merger Sub with and into Legacy Nautilus (the “Merger”), with Legacy Nautilus as the surviving company in the Merger and, after giving effect to such Merger, Legacy Nautilus becoming a wholly-owned subsidiary of New Nautilus.</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Concurrently with the execution of the Business Combination Agreement, ARYA entered into Subscription Agreements (each, a “Subscription Agreement”) with certain investors (each, a “PIPE Investor”), pursuant to which the PIPE Investors subscribed for and purchased, and ARYA issued and sold to the PIPE Investors, on the Closing Date, an aggregate of 20,000,000 shares of common stock of New Nautilus (“Common Stock”) for aggregate gross proceeds of $200,000,000 (the “PIPE Financing”). </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As of the open of trading on June 10, 2021, the Common Stock began trading on the Nasdaq Global Select Market (“Nasdaq”) under the symbol “NAUT.”</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Unless expressly indicated or the context requires otherwise, the terms “Nautilus,” “New Nautilus,” the “Company,” the “Registrant,” “we,” “us” and “our” in this Form 10-K refer to Nautilus Biotechnology, Inc., the parent entity formerly named ARYA Sciences Acquisition Corp III, and where appropriate, our wholly-owned subsidiaries (including Legacy Nautilus).</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are a development stage life sciences company creating a platform technology for quantifying and unlocking the complexity of the proteome. Our mission is to transform the field of proteomics by democratizing access to the proteome and enabling fundamental advancements across human health and medicine. We were founded on the belief that incremental advancements of existing technologies are inadequate, and that a bold scientific leap would be required to radically reinvent proteomics and revolutionize precision medicine. Our vision is to integrate our breakthrough innovations in computer science, engineering, and biochemistry to develop and commercialize a proteomic analysis technology of extreme sensitivity and scale. To accomplish this, we have built a prototype of a proteome analysis system, an instrument to perform massively parallel single protein molecule measurements which will be further developed to deliver the speed, simplicity, accuracy, and versatility that we believe is necessary to establish a new gold standard in the field. </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human proteome, the make-up of all the proteins in a human, is among the most dynamic and valuable sources of biological insight in modern-day science. Unlike the genome, which is largely unchanging throughout an individual’s lifetime, the proteome is an ever-changing source of biological information. Our proteins directly control and determine the functions of our cells, yet we lack the ability to measure all of them with the ease, breadth and sensitivity that is used to measure DNA today. We believe that deep characterization of the proteome will have the potential to unveil an entirely new layer of complexity and valuable biological information that may have significant implications across life sciences, healthcare and drug development. Approximately 95% of FDA-approved drug targets are proteins, and yet today we still lack the ability to routinely read and quantify all of the proteins in our cells, or to fully map the downstream changes and modifications to those proteins which may define their biological function.</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By leveraging our novel platform design coupled with advanced machine learning software, we believe our Nautilus platform, which includes our end-to-end solution comprised of the proteome analysis system, consumables, and software, has the potential to rapidly and reproducibly identify up to approximately 95% of proteins in a sample from virtually any organism, and could have the ability to detect and map the diverse landscape of modifications on those proteins. We believe that unlocking proteomics has the potential to create a long-term transformation of basic science, translational research, and healthcare. </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Current proteomics platforms for broadly quantifying the abundance of proteins within samples generally fall into two classes: affinity-based and mass spectrometry-based methods. For years, these methods have facilitated novel drug development and improved diagnostics. As with most technology platforms however, these also suffer from distinct limitations that make simple, high-throughput, ultra-deep characterization of the proteome challenging. Mass spectrometry approaches have tremendous flexibility and thus have been applied to a wide range of applications, however their use requires a trade-off to be made between either depth or throughput; meaning that a researcher can either look at one sample in a deep analysis or at many samples in a shallow analysis.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31445"/>
                <wp:effectExtent l="0" t="0" r="0" b="0"/>
                <wp:wrapNone/>
                <wp:docPr id="6" name="Frame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6</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Additionally, challenges in operational complexity and sensitivity have limited the ability of mass spectrometry-based methods from easily, comprehensively, and quickly characterizing the entirety of the proteome. </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Affinity-based approaches use the binding attraction of antibodies to proteins to capture and measure protein targets. Many of these legacy technologies measure only a single-target, or are multiplexed to cover a few specific protein targets per reaction. Newer technologies have further expanded their multiplexing capability by using a next-generation sequencing readout. However, affinity-based proteomics is inherently dependent on the availability of high quality, specific and sensitive affinity reagents, which can impact scalability, reproducibility and accuracy. Consequently, we believe researchers are forced into an unattractive trade-off between the number of samples in a study and the depth and breadth of the analysis. These trade-offs limit researchers’ ability to advance characterization of the proteome to match the current, and highly valuable, characterization of the genome. We believe the limitations of both mass spectrometry and affinity-based technologies have prevented progress towards achieving comprehensive proteome characterization, including measurement of the many known modifications to proteins. If detecting and quantifying the complexity of the human proteome were as simple and easy as detecting an entire human genome, we believe a new set of questions could be asked: </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Down to the very low frequencies of expressed proteins, how are healthy tissue cells different from diseased cells?</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What will a comprehensive map of nearly all proteins by organ tissue type tell us about our biology?</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What specific patterns of protein modifications are present in disease, and why?</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What happens to our proteome when we get sick, and how does it change with treatment?</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believe that our Nautilus platform has the potential to position us to answer these questions, and many others that have not previously been possible to fully investigate. Due to the extensive applications and broad potential of large-scale proteomic characterization, we believe the proteomics market is currently among one of the largest untapped opportunities in the biological sciences today. According to BCC Research, the existing proteomics research market is currently estimated to be approximately $27 billion annual spend as of 2022, made up primarily of mass spectrometry and affinity-based quantification methods. Over the longer-term, the proteomics market is expected to reach approximately $55 billion by 2027, representing a compound annual growth rate, or CAGR, of 15% over the five-year period. Further, we believe there are substantial adjacent opportunities across translational research in drug target discovery, precision medicine development, clinical diagnostics, and other disciplines such as food and environmental science. </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plan to initially target the life sciences proteomics research market and are currently entering the first phase of our product development and commercialization strategy. In this first phase, we are focused on developing partnerships with key biopharma companies and leading academic institutions to create a founding group of collaborators that will gain experience with our technology, jointly publish research using our Nautilus platform, and generally help validate our initial applications. As of the date of filing this Annual Report, we have research collaborations with Genentech, Amgen, The University of Texas MD Anderson Cancer Research Center, and The Buck Institute for Research on Aging. In the second phase of our product development and commercialization we plan to launch an early access program offering more standardized applications to an expanded group of collaborators. We believe this growing group of collaborators will become important reference sites and key influencers that will aid in the market adoption of our Nautilus platform, and will help us build a strong value proposition ahead of full commercial launch. In our third phase of commercialization, we intend to execute a broad commercial launch of our Nautilus platform including the introduction of our proteome analysis system, which is an integrated fluidics and optics system for massively parallel single protein molecule detection, accompanied by consumable reagents and analysis software, in direct sales to customers across academia and industry. The launch of our proteome analysis system is expected to be done with a multi-year product roadmap of system enhancements and new applications designed to help our future customers achieve their research objectives and expand the utility of our Nautilus platform. We also plan to leverage our machine learning software to build a data analysis and insights engine that improves over time as we grow our data sources and the analysis learns to deliver better accuracy and identify new potential discoveries. We believe by following this methodical pathway, we can optimize the development of our Nautilus platform, establish a steady flow of validating publications, appropriately scale our operations, deliver exceptional customer experiences, and help ensure we are delivering long term value and revenue growth. </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Since inception in 2016, we have worked diligently to secure a strong intellectual property portfolio, and we have successfully filed and obtained numerous key patents. Our management team also brings a unique combination of experiences from the fields of technology and life sciences, with a proven track record of building successful businesses based on novel technology. Our company is a highly interdisciplinary organization with deep subject matter expertise across scientific disciplines in chemistry, molecular biology, physics and bioinformatics, and as of December 31, 2024 over one-third of our employees have a Ph.D. Our organization is driven by the pursuit of deep, hard science, and our Scientific Advisory Board is comprised of world-renowned scientific leaders that support our vision.</w:t>
      </w:r>
    </w:p>
    <w:p>
      <w:pPr>
        <w:pStyle w:val="TextBody"/>
        <w:bidi w:val="0"/>
        <w:spacing w:before="0" w:after="180"/>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31445"/>
                <wp:effectExtent l="0" t="0" r="0" b="0"/>
                <wp:wrapNone/>
                <wp:docPr id="7" name="Frame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7</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OUR STRENGTHS</w:t>
      </w:r>
    </w:p>
    <w:p>
      <w:pPr>
        <w:pStyle w:val="TextBody"/>
        <w:bidi w:val="0"/>
        <w:spacing w:lineRule="auto" w:line="288" w:before="0" w:after="180"/>
        <w:ind w:left="0" w:right="0" w:hanging="360"/>
        <w:jc w:val="left"/>
        <w:rPr/>
      </w:pPr>
      <w:r>
        <w:rPr>
          <w:color w:val="000000"/>
        </w:rPr>
        <w:t>•</w:t>
      </w:r>
      <w:r>
        <w:rPr>
          <w:rFonts w:ascii="Times New Roman;sans-serif" w:hAnsi="Times New Roman;sans-serif"/>
          <w:b/>
          <w:i/>
          <w:color w:val="000000"/>
          <w:sz w:val="20"/>
        </w:rPr>
        <w:t>Highly disruptive proteomics technology.</w:t>
      </w:r>
      <w:r>
        <w:rPr>
          <w:color w:val="000000"/>
        </w:rPr>
        <w:t xml:space="preserve"> </w:t>
      </w:r>
      <w:r>
        <w:rPr>
          <w:rFonts w:ascii="Times New Roman;sans-serif" w:hAnsi="Times New Roman;sans-serif"/>
          <w:b w:val="false"/>
          <w:color w:val="000000"/>
          <w:sz w:val="20"/>
        </w:rPr>
        <w:t xml:space="preserve">Our Nautilus proteome analysis platform is designed to be a completely novel, single protein molecule analysis technology of extreme sensitivity, high throughput, and ease-of-use. Leveraging a scalable and flexible system architecture, advanced machine learning and algorithms, we believe our Nautilus platform has the potential to identify substantially all proteins in a sample from almost any organism. We also believe that by measuring single intact protein molecules, our platform has a highly differentiated and unique ability to also detect and quantify combinations and patterns of post-translational modifications, which are strongly suspected to be critical drivers of biology and have been largely invisible to legacy technologies to date. </w:t>
      </w:r>
    </w:p>
    <w:p>
      <w:pPr>
        <w:pStyle w:val="TextBody"/>
        <w:bidi w:val="0"/>
        <w:spacing w:lineRule="auto" w:line="288" w:before="0" w:after="180"/>
        <w:ind w:left="0" w:right="0" w:hanging="360"/>
        <w:jc w:val="left"/>
        <w:rPr/>
      </w:pPr>
      <w:r>
        <w:rPr>
          <w:color w:val="000000"/>
        </w:rPr>
        <w:t>•</w:t>
      </w:r>
      <w:r>
        <w:rPr>
          <w:rFonts w:ascii="Times New Roman;sans-serif" w:hAnsi="Times New Roman;sans-serif"/>
          <w:b/>
          <w:i/>
          <w:color w:val="000000"/>
          <w:sz w:val="20"/>
        </w:rPr>
        <w:t>Novel end-to-end proteomics detection platform of extreme sensitivity.</w:t>
      </w:r>
      <w:r>
        <w:rPr>
          <w:color w:val="000000"/>
        </w:rPr>
        <w:t xml:space="preserve"> </w:t>
      </w:r>
      <w:r>
        <w:rPr>
          <w:rFonts w:ascii="Times New Roman;sans-serif" w:hAnsi="Times New Roman;sans-serif"/>
          <w:b w:val="false"/>
          <w:color w:val="000000"/>
          <w:sz w:val="20"/>
        </w:rPr>
        <w:t>We aim to be the first commercially available proteomics detection platform technology and end-to-end solution to decode and quantify approximately 95% of the entire proteome, including the variations and modifications of proteins. Our Nautilus platform consists of instruments, reagent consumables and software that we believe has the potential to deliver broad proteomic profiling to the market and potentially unlock the vast, dynamic, and valuable biological information contained in the proteome. With each instrument sale, there is expected to be accompanying recurring revenue comprised of reagent consumable sales, instrumentation service, support, and software that creates a comprehensive proteomics solution.</w:t>
      </w:r>
    </w:p>
    <w:p>
      <w:pPr>
        <w:pStyle w:val="TextBody"/>
        <w:bidi w:val="0"/>
        <w:spacing w:lineRule="auto" w:line="288" w:before="0" w:after="180"/>
        <w:ind w:left="0" w:right="0" w:hanging="360"/>
        <w:jc w:val="left"/>
        <w:rPr/>
      </w:pPr>
      <w:r>
        <w:rPr>
          <w:color w:val="000000"/>
        </w:rPr>
        <w:t>•</w:t>
      </w:r>
      <w:r>
        <w:rPr>
          <w:rFonts w:ascii="Times New Roman;sans-serif" w:hAnsi="Times New Roman;sans-serif"/>
          <w:b/>
          <w:i/>
          <w:color w:val="000000"/>
          <w:sz w:val="20"/>
        </w:rPr>
        <w:t>Open, flexible and customizable technology platform.</w:t>
      </w:r>
      <w:r>
        <w:rPr>
          <w:color w:val="000000"/>
        </w:rPr>
        <w:t xml:space="preserve"> </w:t>
      </w:r>
      <w:r>
        <w:rPr>
          <w:rFonts w:ascii="Times New Roman;sans-serif" w:hAnsi="Times New Roman;sans-serif"/>
          <w:b w:val="false"/>
          <w:color w:val="000000"/>
          <w:sz w:val="20"/>
        </w:rPr>
        <w:t xml:space="preserve">Our Nautilus platform is designed to allow our customers to analyze their samples in a variety of run configurations by utilizing flow cells which each contain 4 discrete and independent lanes, analyzed on an instrument that can be loaded with up to 3 flow cells per run. Our platform is currently designed to either maximize analysis depth by running all 12 lanes on 1 sample, or maximize analysis throughput by running a single sample per lane. This design is also highly compatible with molecular barcoding, which may be introduced in the future to multiplex increasingly larger sample numbers per run. Further, with the introduction of an affinity reagent labeling kit, our platform is also designed to be able to incorporate off-the-shelf affinity reagents that have already been created by biopharma, academia, or commercial affinity reagent manufacturers. We believe that the ability to customize the type of analysis performed by adding or combining these affinity reagent probes with our Nautilus provided reagent kits could provide a very powerful and desirable analysis for our customers. </w:t>
      </w:r>
    </w:p>
    <w:p>
      <w:pPr>
        <w:pStyle w:val="TextBody"/>
        <w:bidi w:val="0"/>
        <w:spacing w:lineRule="auto" w:line="288" w:before="0" w:after="180"/>
        <w:ind w:left="0" w:right="0" w:hanging="360"/>
        <w:jc w:val="left"/>
        <w:rPr/>
      </w:pPr>
      <w:r>
        <w:rPr>
          <w:color w:val="000000"/>
        </w:rPr>
        <w:t>•</w:t>
      </w:r>
      <w:r>
        <w:rPr>
          <w:rFonts w:ascii="Times New Roman;sans-serif" w:hAnsi="Times New Roman;sans-serif"/>
          <w:b/>
          <w:i/>
          <w:color w:val="000000"/>
          <w:sz w:val="20"/>
        </w:rPr>
        <w:t>Immense data production capacity coupled with machine learning can unlock new proteomic insights.</w:t>
      </w:r>
      <w:r>
        <w:rPr>
          <w:color w:val="000000"/>
        </w:rPr>
        <w:t xml:space="preserve"> </w:t>
      </w:r>
      <w:r>
        <w:rPr>
          <w:rFonts w:ascii="Times New Roman;sans-serif" w:hAnsi="Times New Roman;sans-serif"/>
          <w:b w:val="false"/>
          <w:color w:val="000000"/>
          <w:sz w:val="20"/>
        </w:rPr>
        <w:t xml:space="preserve">We have designed the Nautilus platform to create and process a vast amount of proteomic data. The Nautilus platform is expected to generate up to approximately 35 terabytes of digital protein data per run, which will then be decoded using our proprietary machine learning algorithms and cloud-based data processing infrastructure. As we expand and enrich our database with increasing amounts of digital proteomic data over time, we plan to deploy our machine learning algorithms to continuously improve and benefit from each new experiment generated with our Nautilus platform. We believe that this feedback loop has the potential to deliver future value to our customers through the continuous improvements in our analytics, thereby encouraging the analysis, and re-analysis, of more samples through our Nautilus platform to benefit from these advancements. </w:t>
      </w:r>
    </w:p>
    <w:p>
      <w:pPr>
        <w:pStyle w:val="TextBody"/>
        <w:bidi w:val="0"/>
        <w:spacing w:lineRule="auto" w:line="288" w:before="0" w:after="180"/>
        <w:ind w:left="0" w:right="0" w:hanging="360"/>
        <w:jc w:val="left"/>
        <w:rPr/>
      </w:pPr>
      <w:r>
        <w:rPr>
          <w:color w:val="000000"/>
        </w:rPr>
        <w:t>•</w:t>
      </w:r>
      <w:r>
        <w:rPr>
          <w:rFonts w:ascii="Times New Roman;sans-serif" w:hAnsi="Times New Roman;sans-serif"/>
          <w:b/>
          <w:i/>
          <w:color w:val="000000"/>
          <w:sz w:val="20"/>
        </w:rPr>
        <w:t>Commercial model with clear market entry point, designed to support a wide variety of customers and applications.</w:t>
      </w:r>
      <w:r>
        <w:rPr>
          <w:color w:val="000000"/>
        </w:rPr>
        <w:t xml:space="preserve"> </w:t>
      </w:r>
      <w:r>
        <w:rPr>
          <w:rFonts w:ascii="Times New Roman;sans-serif" w:hAnsi="Times New Roman;sans-serif"/>
          <w:b w:val="false"/>
          <w:color w:val="000000"/>
          <w:sz w:val="20"/>
        </w:rPr>
        <w:t xml:space="preserve">Many successful life sciences research tools companies with disruptive technology have employed a business model similar to our planned commercial model. However, we believe a key advantage for us is the near-term commercial opportunity of capitalizing on the existing mass spectrometry-based proteomics marketplace estimated at over 16,000 installed systems. Our price point is expected to be in-line with mass spectrometry system budgets allocated for broad scale proteomics applications, and thus with a premium instrumentation average selling price, we plan to operate with a very efficient sales model. Further, since the early days of our product development, we have consulted with biopharma companies, academic institutions and research organizations to inform our product development plan and specifically address our target customer needs. </w:t>
      </w:r>
    </w:p>
    <w:p>
      <w:pPr>
        <w:pStyle w:val="TextBody"/>
        <w:bidi w:val="0"/>
        <w:spacing w:lineRule="auto" w:line="288" w:before="0" w:after="180"/>
        <w:ind w:left="0" w:right="0" w:hanging="360"/>
        <w:jc w:val="left"/>
        <w:rPr/>
      </w:pPr>
      <w:r>
        <w:rPr>
          <w:color w:val="000000"/>
        </w:rPr>
        <w:t>•</w:t>
      </w:r>
      <w:r>
        <w:rPr>
          <w:rFonts w:ascii="Times New Roman;sans-serif" w:hAnsi="Times New Roman;sans-serif"/>
          <w:b/>
          <w:i/>
          <w:color w:val="000000"/>
          <w:sz w:val="20"/>
        </w:rPr>
        <w:t>Our Nautilus platform technology could position us as a leader in a large initial life sciences research market and provide a path to the clinical diagnostics.</w:t>
      </w:r>
      <w:r>
        <w:rPr>
          <w:color w:val="000000"/>
        </w:rPr>
        <w:t xml:space="preserve"> </w:t>
      </w:r>
      <w:r>
        <w:rPr>
          <w:rFonts w:ascii="Times New Roman;sans-serif" w:hAnsi="Times New Roman;sans-serif"/>
          <w:b w:val="false"/>
          <w:color w:val="000000"/>
          <w:sz w:val="20"/>
        </w:rPr>
        <w:t>The global proteomics market is estimated to be approximately $27 billion annually as of 2022 and is expected to grow at an estimated 15% CAGR from 2022 to 2027 according to BCC Research. Furthermore, we believe our Nautilus platform has the potential to facilitate a broader transformation across life sciences and healthcare, and therefore significantly augment our total addressable market over time. We believe there are multiple high-value research applications in precision and personalized medicine, drug discovery, and clinical diagnostics that can be unlocked by accurate, reproduceable, and cost effective proteomic profiling. As the proteomics market continues to mature, and if our technology is validated across translational research applications, we believe our Nautilus platform could transfer well into the clinical setting prior technologies have thus far been unable reach.</w:t>
      </w:r>
    </w:p>
    <w:p>
      <w:pPr>
        <w:pStyle w:val="TextBody"/>
        <w:bidi w:val="0"/>
        <w:spacing w:lineRule="auto" w:line="288" w:before="0" w:after="180"/>
        <w:ind w:left="0" w:right="0" w:hanging="360"/>
        <w:jc w:val="left"/>
        <w:rPr/>
      </w:pPr>
      <w:r>
        <w:rPr>
          <w:color w:val="000000"/>
        </w:rPr>
        <w:t>•</w:t>
      </w:r>
      <w:r>
        <w:rPr>
          <w:rFonts w:ascii="Times New Roman;sans-serif" w:hAnsi="Times New Roman;sans-serif"/>
          <w:b/>
          <w:i/>
          <w:color w:val="000000"/>
          <w:sz w:val="20"/>
        </w:rPr>
        <w:t xml:space="preserve">Our experienced, multidisciplinary team brings together a group of individuals with diverse backgrounds to disrupt the field of proteomics. </w:t>
      </w:r>
      <w:r>
        <w:rPr>
          <w:rFonts w:ascii="Times New Roman;sans-serif" w:hAnsi="Times New Roman;sans-serif"/>
          <w:b w:val="false"/>
          <w:color w:val="000000"/>
          <w:sz w:val="20"/>
        </w:rPr>
        <w:t xml:space="preserve">Nautilus’ leadership team represents a unique and valuable hybrid of technology and biotech experience. Several members of the executive team and board of directors held leadership roles at Illumina, Agilent Technologies, and Isilon, and helped to guide strategy and manage execution both before and throughout the rapid growth and success for those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31445"/>
                <wp:effectExtent l="0" t="0" r="0" b="0"/>
                <wp:wrapNone/>
                <wp:docPr id="8" name="Frame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8</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businesses. We view the core design thesis behind the Nautilus platform technology development as a non-traditional approach to new product development within life sciences that requires thinking at the intersection of three unique disciplines not often found together—life sciences, computer and data sciences, and physical sciences and engineering. As such, we have assembled a team of individuals with experience across many different disciplines, including protein biochemists, nano-fabrication engineers, software and machine learning engineers, single-molecule biophysicists, optical engineers and others, all working together toward our common goal.</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OUR STRATEGY</w:t>
      </w:r>
    </w:p>
    <w:p>
      <w:pPr>
        <w:pStyle w:val="TextBody"/>
        <w:bidi w:val="0"/>
        <w:spacing w:lineRule="auto" w:line="288" w:before="0" w:after="180"/>
        <w:ind w:left="0" w:right="0" w:hanging="360"/>
        <w:jc w:val="left"/>
        <w:rPr/>
      </w:pPr>
      <w:r>
        <w:rPr>
          <w:color w:val="000000"/>
        </w:rPr>
        <w:t>•</w:t>
      </w:r>
      <w:r>
        <w:rPr>
          <w:rFonts w:ascii="Times New Roman;sans-serif" w:hAnsi="Times New Roman;sans-serif"/>
          <w:b/>
          <w:i/>
          <w:color w:val="000000"/>
          <w:sz w:val="20"/>
        </w:rPr>
        <w:t>Drive adoption of our Nautilus platform by providing the life sciences industry with access to the proteome.</w:t>
      </w:r>
      <w:r>
        <w:rPr>
          <w:color w:val="000000"/>
        </w:rPr>
        <w:t xml:space="preserve"> </w:t>
      </w:r>
      <w:r>
        <w:rPr>
          <w:rFonts w:ascii="Times New Roman;sans-serif" w:hAnsi="Times New Roman;sans-serif"/>
          <w:b w:val="false"/>
          <w:color w:val="000000"/>
          <w:sz w:val="20"/>
        </w:rPr>
        <w:t xml:space="preserve">We believe our Nautilus platform has the potential to provide value across the life sciences ecosystem as the first end-to-end solution capable of substantially quantifying the proteome. The utility and potential applications are expected to be broad and serve basic research and discovery, translational and clinical research, and ultimately enable clinical diagnostic market segments. We intend to drive adoption of our Nautilus platform through a three-phase commercial strategy that begins with an initial partnership and collaboration phase with biopharma companies (such as our existing relationships with Genentech and Amgen), academic institutions (such as our existing relationship with The University of Texas MD Anderson Cancer Center and The Buck Institute for Research on Aging, and others) and research organizations where we aim to jointly publish data utilizing the first versions of our Nautilus platform, followed by a pre-sales or early access program to drive awareness and demand, and finally culminating in a full commercial launch. </w:t>
      </w:r>
    </w:p>
    <w:p>
      <w:pPr>
        <w:pStyle w:val="TextBody"/>
        <w:bidi w:val="0"/>
        <w:spacing w:lineRule="auto" w:line="288" w:before="0" w:after="180"/>
        <w:ind w:left="0" w:right="0" w:hanging="360"/>
        <w:jc w:val="left"/>
        <w:rPr/>
      </w:pPr>
      <w:r>
        <w:rPr>
          <w:color w:val="000000"/>
        </w:rPr>
        <w:t>•</w:t>
      </w:r>
      <w:r>
        <w:rPr>
          <w:rFonts w:ascii="Times New Roman;sans-serif" w:hAnsi="Times New Roman;sans-serif"/>
          <w:b/>
          <w:i/>
          <w:color w:val="000000"/>
          <w:sz w:val="20"/>
        </w:rPr>
        <w:t xml:space="preserve">Continuously innovate and scale our Nautilus platform’s capabilities to enable further advancement of proteomic research. </w:t>
      </w:r>
      <w:r>
        <w:rPr>
          <w:rFonts w:ascii="Times New Roman;sans-serif" w:hAnsi="Times New Roman;sans-serif"/>
          <w:b w:val="false"/>
          <w:color w:val="000000"/>
          <w:sz w:val="20"/>
        </w:rPr>
        <w:t>Through both internal R&amp;D projects and external collaborations with our customers and partners, we plan to continuously innovate and develop new products, applications, workflows, and analysis tools that simplify and accelerate the ability for our customers to generate new sources of proteomic data and drive novel biological insights. We believe our sustainable advantage could come from a continued stream of development and commercialization of new products and applications using our core technology to help our customers succeed in their research endeavors. We believe if our customers win, we all win.</w:t>
      </w:r>
    </w:p>
    <w:p>
      <w:pPr>
        <w:pStyle w:val="TextBody"/>
        <w:bidi w:val="0"/>
        <w:spacing w:lineRule="auto" w:line="288" w:before="0" w:after="180"/>
        <w:ind w:left="0" w:right="0" w:hanging="360"/>
        <w:jc w:val="left"/>
        <w:rPr/>
      </w:pPr>
      <w:r>
        <w:rPr>
          <w:color w:val="000000"/>
        </w:rPr>
        <w:t>•</w:t>
      </w:r>
      <w:r>
        <w:rPr>
          <w:rFonts w:ascii="Times New Roman;sans-serif" w:hAnsi="Times New Roman;sans-serif"/>
          <w:b/>
          <w:i/>
          <w:color w:val="000000"/>
          <w:sz w:val="20"/>
        </w:rPr>
        <w:t>Multiple pathways to build and expand our manufacturing capacity to support our commercial launch and the sustained growth of our business</w:t>
      </w:r>
      <w:r>
        <w:rPr>
          <w:rFonts w:ascii="Times New Roman;sans-serif" w:hAnsi="Times New Roman;sans-serif"/>
          <w:b w:val="false"/>
          <w:color w:val="000000"/>
          <w:sz w:val="20"/>
        </w:rPr>
        <w:t xml:space="preserve">. Our technology is comprised of many off the shelf component parts that help to create efficient sourcing and manufacturing processes. We have established a manufacturing process for our technology utilizing a combination of both external contract manufacturers and internal resources based in our San Carlos, CA facility, with the ability to support substantially all of our current core activities during development. We believe there are many potential options we can use in order to increase the manufacturing and production capabilities for our products, including expanding our outsourced manufacturing and supply to multiple suppliers to ensure our quality and production capacity will meet our commercial plan. </w:t>
      </w:r>
    </w:p>
    <w:p>
      <w:pPr>
        <w:pStyle w:val="TextBody"/>
        <w:bidi w:val="0"/>
        <w:spacing w:lineRule="auto" w:line="288" w:before="0" w:after="180"/>
        <w:ind w:left="0" w:right="0" w:hanging="360"/>
        <w:jc w:val="left"/>
        <w:rPr/>
      </w:pPr>
      <w:r>
        <w:rPr>
          <w:color w:val="000000"/>
        </w:rPr>
        <w:t>•</w:t>
      </w:r>
      <w:r>
        <w:rPr>
          <w:rFonts w:ascii="Times New Roman;sans-serif" w:hAnsi="Times New Roman;sans-serif"/>
          <w:b/>
          <w:i/>
          <w:color w:val="000000"/>
          <w:sz w:val="20"/>
        </w:rPr>
        <w:t>Build long-term value by leveraging the open design of our Nautilus platform to create an ecosystem of products and services based on our core technology.</w:t>
      </w:r>
      <w:r>
        <w:rPr>
          <w:color w:val="000000"/>
        </w:rPr>
        <w:t xml:space="preserve"> </w:t>
      </w:r>
      <w:r>
        <w:rPr>
          <w:rFonts w:ascii="Times New Roman;sans-serif" w:hAnsi="Times New Roman;sans-serif"/>
          <w:b w:val="false"/>
          <w:color w:val="000000"/>
          <w:sz w:val="20"/>
        </w:rPr>
        <w:t xml:space="preserve">Our Nautilus platform is compatible with a wide variety of protein affinity reagents, which we believe will allow us to create a broad menu of applications compatible with our technology. Our Nautilus platform is also designed to be highly customizable, which we believe will allow us to create an infrastructure that enables our customers to design their own custom solutions and applications. We believe that commercializing our technology with a set of standard product applications, alongside the ability to maintain a flexible approach for designing new applications with our customers, could potentially lead to an entire ecosystem of products and services leveraging our core technology. </w:t>
      </w:r>
    </w:p>
    <w:p>
      <w:pPr>
        <w:pStyle w:val="TextBody"/>
        <w:bidi w:val="0"/>
        <w:spacing w:lineRule="auto" w:line="288" w:before="0" w:after="180"/>
        <w:ind w:left="0" w:right="0" w:hanging="360"/>
        <w:jc w:val="left"/>
        <w:rPr/>
      </w:pPr>
      <w:r>
        <w:rPr>
          <w:color w:val="000000"/>
        </w:rPr>
        <w:t>•</w:t>
      </w:r>
      <w:r>
        <w:rPr>
          <w:rFonts w:ascii="Times New Roman;sans-serif" w:hAnsi="Times New Roman;sans-serif"/>
          <w:b/>
          <w:i/>
          <w:color w:val="000000"/>
          <w:sz w:val="20"/>
        </w:rPr>
        <w:t>Expand adoption of our Nautilus platform into new markets.</w:t>
      </w:r>
      <w:r>
        <w:rPr>
          <w:color w:val="000000"/>
        </w:rPr>
        <w:t xml:space="preserve"> </w:t>
      </w:r>
      <w:r>
        <w:rPr>
          <w:rFonts w:ascii="Times New Roman;sans-serif" w:hAnsi="Times New Roman;sans-serif"/>
          <w:b w:val="false"/>
          <w:color w:val="000000"/>
          <w:sz w:val="20"/>
        </w:rPr>
        <w:t>Our market entry strategy involves identifying markets that are constrained by their inability to access comprehensive proteomic information, which we believe can be addressed by our Nautilus platform. We recognize that these opportunities extend into ancillary markets across life sciences, including clinical and translational research, and clinical diagnostics, where we believe there are substantial unmet needs our Nautilus platform can address in the future. We expect to drive expansion into these adjacent markets by developing and validating new product configurations and workflows targeting high impact applications, either by adapting our existing workflows or by partnering with leaders in those markets to develop workflows that address their immediate needs and will provide broader general value for other customers in that market segment.</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A PRIMER ON PROTEOMICS</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Over the past decade, the study of genomics, or DNA, and transcriptomics, or RNA, have been central to drug development and healthcare. Proteomics is the next step in the study of biological information systems and is believed by many to be one of the most important disciplines for exposing disease-causing protein pathways, uncovering new drug targets, highlighting novel therapeutic indications and identifying clinically relevant biomarkers for use in precision medicine.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31445"/>
                <wp:effectExtent l="0" t="0" r="0" b="0"/>
                <wp:wrapNone/>
                <wp:docPr id="9" name="Frame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9</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Molecular profiling techniques, such as next generation sequencing (“NGS”), have led to widespread genomic characterization and unprecedented access to genomic information. While this information has certainly enhanced our knowledge of complex biological systems, there is still a tremendous amount of detail at the protein level that remains largely unknown. The field of proteomics seeks to address this gap, and is an area of scientific research that involves the identification, characterization, and quantification of proteins in whole cells, tissues, or body fluids. To date, there has been very little technological advancement in how to physically measure a protein, and this has been a major impediment towards creating the same level of access to proteomic detail as we have with genomic detail today.</w:t>
      </w:r>
    </w:p>
    <w:p>
      <w:pPr>
        <w:pStyle w:val="TextBody"/>
        <w:bidi w:val="0"/>
        <w:spacing w:before="0" w:after="180"/>
        <w:jc w:val="center"/>
        <w:rPr/>
      </w:pPr>
      <w:r>
        <w:rPr/>
        <w:drawing>
          <wp:inline distT="0" distB="0" distL="0" distR="0">
            <wp:extent cx="5295900" cy="2781300"/>
            <wp:effectExtent l="0" t="0" r="0" b="0"/>
            <wp:docPr id="10"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 descr=""/>
                    <pic:cNvPicPr>
                      <a:picLocks noChangeAspect="1" noChangeArrowheads="1"/>
                    </pic:cNvPicPr>
                  </pic:nvPicPr>
                  <pic:blipFill>
                    <a:blip r:embed="rId2"/>
                    <a:stretch>
                      <a:fillRect/>
                    </a:stretch>
                  </pic:blipFill>
                  <pic:spPr bwMode="auto">
                    <a:xfrm>
                      <a:off x="0" y="0"/>
                      <a:ext cx="5295900" cy="2781300"/>
                    </a:xfrm>
                    <a:prstGeom prst="rect">
                      <a:avLst/>
                    </a:prstGeom>
                  </pic:spPr>
                </pic:pic>
              </a:graphicData>
            </a:graphic>
          </wp:inline>
        </w:drawing>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proteome ultimately drives the function of a cell and tissue, and therefore it dictates the physically observable characteristics known as the phenotype. The proteome undergoes dynamic changes as it continuously responds to chemical signals, blood-borne mediators, temperature, drug treatment, and developing disease over time. This complex interplay of factors contributes to the complexity of proteomics research. However, the detailed and complex information provided from proteomics has the potential to help in identifying novel and causal drug targets and to enable more efficient and effective drug development. A few examples of the way proteomics may lead to novel insights in research are highlighted below.</w:t>
      </w:r>
    </w:p>
    <w:p>
      <w:pPr>
        <w:pStyle w:val="TextBody"/>
        <w:bidi w:val="0"/>
        <w:spacing w:lineRule="auto" w:line="288" w:before="0" w:after="180"/>
        <w:ind w:left="0" w:right="0" w:hanging="360"/>
        <w:jc w:val="left"/>
        <w:rPr/>
      </w:pPr>
      <w:r>
        <w:rPr>
          <w:color w:val="000000"/>
        </w:rPr>
        <w:t>•</w:t>
      </w:r>
      <w:r>
        <w:rPr>
          <w:rFonts w:ascii="Times New Roman;sans-serif" w:hAnsi="Times New Roman;sans-serif"/>
          <w:b/>
          <w:i/>
          <w:color w:val="000000"/>
          <w:sz w:val="20"/>
        </w:rPr>
        <w:t>Better understanding of biology</w:t>
      </w:r>
      <w:r>
        <w:rPr>
          <w:rFonts w:ascii="Times New Roman;sans-serif" w:hAnsi="Times New Roman;sans-serif"/>
          <w:b w:val="false"/>
          <w:color w:val="000000"/>
          <w:sz w:val="20"/>
        </w:rPr>
        <w:t>. Protein research contributes to a better understanding of how molecular information controls and influences an individual’s physiology.</w:t>
      </w:r>
    </w:p>
    <w:p>
      <w:pPr>
        <w:pStyle w:val="TextBody"/>
        <w:bidi w:val="0"/>
        <w:spacing w:lineRule="auto" w:line="288" w:before="0" w:after="180"/>
        <w:ind w:left="0" w:right="0" w:hanging="360"/>
        <w:jc w:val="left"/>
        <w:rPr/>
      </w:pPr>
      <w:r>
        <w:rPr>
          <w:color w:val="000000"/>
        </w:rPr>
        <w:t>•</w:t>
      </w:r>
      <w:r>
        <w:rPr>
          <w:rFonts w:ascii="Times New Roman;sans-serif" w:hAnsi="Times New Roman;sans-serif"/>
          <w:b/>
          <w:i/>
          <w:color w:val="000000"/>
          <w:sz w:val="20"/>
        </w:rPr>
        <w:t xml:space="preserve">Identification of novel drug targets. </w:t>
      </w:r>
      <w:r>
        <w:rPr>
          <w:rFonts w:ascii="Times New Roman;sans-serif" w:hAnsi="Times New Roman;sans-serif"/>
          <w:b w:val="false"/>
          <w:color w:val="000000"/>
          <w:sz w:val="20"/>
        </w:rPr>
        <w:t>Cellular function and dysfunction is driven by our proteins; increasing our ability to directly measure even the rarest proteins involved in disease may increase the likelihood of identifying new drug targets.</w:t>
      </w:r>
    </w:p>
    <w:p>
      <w:pPr>
        <w:pStyle w:val="TextBody"/>
        <w:bidi w:val="0"/>
        <w:spacing w:lineRule="auto" w:line="288" w:before="0" w:after="180"/>
        <w:ind w:left="0" w:right="0" w:hanging="360"/>
        <w:jc w:val="left"/>
        <w:rPr/>
      </w:pPr>
      <w:r>
        <w:rPr>
          <w:color w:val="000000"/>
        </w:rPr>
        <w:t>•</w:t>
      </w:r>
      <w:r>
        <w:rPr>
          <w:rFonts w:ascii="Times New Roman;sans-serif" w:hAnsi="Times New Roman;sans-serif"/>
          <w:b/>
          <w:i/>
          <w:color w:val="000000"/>
          <w:sz w:val="20"/>
        </w:rPr>
        <w:t>Patient stratification</w:t>
      </w:r>
      <w:r>
        <w:rPr>
          <w:rFonts w:ascii="Times New Roman;sans-serif" w:hAnsi="Times New Roman;sans-serif"/>
          <w:b w:val="false"/>
          <w:color w:val="000000"/>
          <w:sz w:val="20"/>
        </w:rPr>
        <w:t>. The separation of patients into groups with similar molecular features that may be more likely to respond to specific therapeutic treatments.</w:t>
      </w:r>
    </w:p>
    <w:p>
      <w:pPr>
        <w:pStyle w:val="TextBody"/>
        <w:bidi w:val="0"/>
        <w:spacing w:lineRule="auto" w:line="288" w:before="0" w:after="180"/>
        <w:ind w:left="0" w:right="0" w:hanging="360"/>
        <w:jc w:val="left"/>
        <w:rPr/>
      </w:pPr>
      <w:r>
        <w:rPr>
          <w:color w:val="000000"/>
        </w:rPr>
        <w:t>•</w:t>
      </w:r>
      <w:r>
        <w:rPr>
          <w:rFonts w:ascii="Times New Roman;sans-serif" w:hAnsi="Times New Roman;sans-serif"/>
          <w:b/>
          <w:i/>
          <w:color w:val="000000"/>
          <w:sz w:val="20"/>
        </w:rPr>
        <w:t>Prediction of disease and treatment outcome.</w:t>
      </w:r>
      <w:r>
        <w:rPr>
          <w:color w:val="000000"/>
        </w:rPr>
        <w:t xml:space="preserve"> </w:t>
      </w:r>
      <w:r>
        <w:rPr>
          <w:rFonts w:ascii="Times New Roman;sans-serif" w:hAnsi="Times New Roman;sans-serif"/>
          <w:b w:val="false"/>
          <w:color w:val="000000"/>
          <w:sz w:val="20"/>
        </w:rPr>
        <w:t>The identification of biomarkers that can assist in the early diagnosis of diseases, inform prognosis or monitor the efficacy and safety of ongoing treatments.</w:t>
      </w:r>
    </w:p>
    <w:p>
      <w:pPr>
        <w:pStyle w:val="TextBody"/>
        <w:bidi w:val="0"/>
        <w:spacing w:lineRule="auto" w:line="288" w:before="0" w:after="180"/>
        <w:ind w:left="0" w:right="0" w:hanging="360"/>
        <w:jc w:val="left"/>
        <w:rPr/>
      </w:pPr>
      <w:r>
        <w:rPr>
          <w:color w:val="000000"/>
        </w:rPr>
        <w:t>•</w:t>
      </w:r>
      <w:r>
        <w:rPr>
          <w:rFonts w:ascii="Times New Roman;sans-serif" w:hAnsi="Times New Roman;sans-serif"/>
          <w:b/>
          <w:i/>
          <w:color w:val="000000"/>
          <w:sz w:val="20"/>
        </w:rPr>
        <w:t>Wellness: from health to disease.</w:t>
      </w:r>
      <w:r>
        <w:rPr>
          <w:color w:val="000000"/>
        </w:rPr>
        <w:t xml:space="preserve"> </w:t>
      </w:r>
      <w:r>
        <w:rPr>
          <w:rFonts w:ascii="Times New Roman;sans-serif" w:hAnsi="Times New Roman;sans-serif"/>
          <w:b w:val="false"/>
          <w:color w:val="000000"/>
          <w:sz w:val="20"/>
        </w:rPr>
        <w:t>Biomarkers can monitor and guide individuals to tailor lifestyle choices to maximize health and avoid the onset of diseases before they develop.</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Not only would advancements in the field of proteomics have the potential to directly unlock new insights on their own, but they would also have the potential to increase the value of data and insights generated in related fields such as genetics, gene expression, and metabolism. </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OUR MARKET OPPORTUNITY</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believe that our Nautilus platform has the potential to be uniquely positioned in the proteomics market. In our mission to democratize proteomics, we see initial research applications in precision and personalized medicine, with a natural growth path into clinical diagnostics, as well as in machine-learning powered drug discovery. However, we believe that the opportunity could extend far beyond this.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31445"/>
                <wp:effectExtent l="0" t="0" r="0" b="0"/>
                <wp:wrapNone/>
                <wp:docPr id="11" name="Frame10"/>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10</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Market Environment</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At Nautilus, we recognize the need for a radical breakthrough in proteomics. </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Since 2002, global R&amp;D expenditure has increased close to three-fold and is expected to reach approximately $366 billion by 2030 according to EvaluatePharma’s 2024 report. Despite such investments, the number of new drugs approved each year has failed to increase proportionally. It can take more than 10 years to bring a drug to market, and the cost has grown significantly in the past decade from approximately $1.2 billion in 2010 to approximately $2.0 billion in 2019. The increasing cost, time and complexity of drug development have driven down the rate of return on R&amp;D to less than 2% in 2019 for the 12 leading biopharmaceutical companies analyzed in a 2020 report by the Deloitte Center for Health Solutions.</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Approximately 95% of FDA-approved drug targets are proteins, and most other drugs interact with, or are influenced by signal transduction cascades mediated by proteins. As such, an understanding of the proteome is paramount to understanding pharmacology. </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As existing approaches only allow us to routinely quantify a fraction of the proteome, biopharmaceutical companies have become increasingly adept at identifying possible targets within what is currently observable, and as such, many viable targets have been exhausted. Despite the many hundreds of thousands of biomarker research studies estimated to have been published to date, there are only approximately 180 unique pharmacogenomic biomarkers with FDA approval for use with therapies today. This number of approved biomarkers is alarmingly low, and further highlights the shortfall of attempting to predict a protein biomarker’s expression level and function primarily from genetic data. Unfortunately, researchers have been forced to use this method, given the availability of powerful tools in genomics without the corresponding power and breadth of tools available in proteomics. With an advancement such as the Nautilus platform, we believe researchers will have the power to deeply and comprehensively measure the physical proteins at the root of disease, dramatically increasing the potential to identify more clinically meaningful biomarkers with greater precision in the practice of medicine. We believe a breakthrough increase in throughput would enable researchers to more deeply measure large cohorts, thereby powering studies at the scale required to quickly and cost-effectively discover new critically important biomarkers.</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inability to easily and reliably quantify the proteins that drive every aspect of human physiology has been a fundamental hindrance to a greater understanding of cellular and molecular biology. With this in mind, we aim to democratize proteomics to make it possible for the broader scientific community to undertake a wider range of high-value scientific inquiries, thereby accelerating research and ultimately enhancing our fundamental understanding of biology and the mechanisms of disease.</w:t>
      </w:r>
    </w:p>
    <w:p>
      <w:pPr>
        <w:pStyle w:val="TextBody"/>
        <w:bidi w:val="0"/>
        <w:spacing w:lineRule="auto" w:line="288"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The Missing Piece: The Proteome</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Improvements in NGS technology have greatly enhanced the understanding of the genome, but when contemplating the number of proteins that can arise from a single gene and their role in the regulation of biological processes, both physiological and pathological, we believe that a better understanding of DNA is simply insufficient. Beyond the genome lies a vast multi-level network of biological interactions with important ramifications across the organism that remains coded and hidden within unique protein patterns. Many scientific and industry leaders believe these patterns may hold the key to a deeper understanding of biological processes at both a molecular and a systems level. </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From the day we are born to the day we die, proteins are responsible for regulating all aspects of our physiology. The genome, which represents the complete set of genes within each organism, remains largely unchanged throughout the course of life. Over the years, it has been estimated that humans possess approximately 20,000 protein-encoding genes, many of which have been well characterized. However, to coordinate the myriad of processes that occur within organisms at all times, the genome has evolved multiple ways to generate further biological complexity. DNA genes are expressed in the form of RNA transcripts, which control the expression and regulation of these different genes in the cell. These RNA transcripts are then translated into individual proteins, and protein isoforms, which are subtle variations of the individual proteins themselves. Scientists have estimated that there may be as many as 70,000 or more human protein isoforms. The resulting proteome is not only highly dynamic and in a constant state of flux by regulating the quantity and type of each protein isoform, but it also exhibits great diversity across cells and tissues. This complexity, which governs all biological processes, both healthy and sick, cannot be captured or characterized routinely by current methods.</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However, the molecular complexity of our proteome doesn’t stop here, it actually grows dramatically even beyond the abundance of protein isoforms that are dynamically rising and falling. After a protein isoform has been translated, it can be modified further by biological processes that more precisely control that protein isoform’s location, specific activity, or interaction partners, and these downstream changes are together called post-translational modifications. There are a wide variety of post-translational modifications known today, which result in a tremendous increase in molecular complexity by creating different “forms” of the same basic protein, known as “proteoforms”. In total, our original 20,000 protein-coding genes are estimated to produce as many as 6,000,000 different proteoforms, as illustrated in the figure below. The existence of these proteoforms indicates that there may actually be well over two orders of magnitude (or 100 times) more complexity present across our proteome than there is across our genome. It is strongly suspected that it is within this proteoform space of molecular information that fundamental biological processes are present that govern our cells, and our molecular health.</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31445"/>
                <wp:effectExtent l="0" t="0" r="0" b="0"/>
                <wp:wrapNone/>
                <wp:docPr id="12" name="Frame11"/>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11</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Post-Translational Modifications Create Multiple Forms of Proteins That Are Estimated to Contain Over 100 Times More Information Complexity Than the Coding Genes in the Genome</w:t>
      </w:r>
    </w:p>
    <w:p>
      <w:pPr>
        <w:pStyle w:val="TextBody"/>
        <w:bidi w:val="0"/>
        <w:spacing w:before="0" w:after="180"/>
        <w:jc w:val="center"/>
        <w:rPr/>
      </w:pPr>
      <w:r>
        <w:rPr/>
        <w:drawing>
          <wp:inline distT="0" distB="0" distL="0" distR="0">
            <wp:extent cx="5943600" cy="3162300"/>
            <wp:effectExtent l="0" t="0" r="0" b="0"/>
            <wp:docPr id="13"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2" descr=""/>
                    <pic:cNvPicPr>
                      <a:picLocks noChangeAspect="1" noChangeArrowheads="1"/>
                    </pic:cNvPicPr>
                  </pic:nvPicPr>
                  <pic:blipFill>
                    <a:blip r:embed="rId3"/>
                    <a:stretch>
                      <a:fillRect/>
                    </a:stretch>
                  </pic:blipFill>
                  <pic:spPr bwMode="auto">
                    <a:xfrm>
                      <a:off x="0" y="0"/>
                      <a:ext cx="5943600" cy="3162300"/>
                    </a:xfrm>
                    <a:prstGeom prst="rect">
                      <a:avLst/>
                    </a:prstGeom>
                  </pic:spPr>
                </pic:pic>
              </a:graphicData>
            </a:graphic>
          </wp:inline>
        </w:drawing>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While the past several decades have seen advances in proteomics technologies, typical solutions only capture a fraction of the proteome in samples derived from blood or cells, as illustrated in the figure below. On the left, using mass spectrometry-based methods, approximately 8% of proteins are routinely detectable from blood and approximately 30% are routinely detectable from cells. On the right, there is currently no method to easily detect and map the landscape of proteoforms, which would allow for the exploration of the estimated 6,000,000 different forms and patterns of modified proteins serving some biological function. Furthermore, shortfalls in the ability of bioinformatics to predict the existence as well as the function of genes have further illustrated the need for enhanced protein analysis techniques. Today, we believe the field of proteomics is at the very beginning of a significant growth phase. We are of the firm belief that every scientist should have access to the proteome, including proteoforms, in the same way that access to the genome has been made broadly available over recent years.</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Current Technologies are Unable to Routinely Access the Full Proteome or Detect Proteoforms</w:t>
      </w:r>
    </w:p>
    <w:p>
      <w:pPr>
        <w:pStyle w:val="TextBody"/>
        <w:bidi w:val="0"/>
        <w:spacing w:before="0" w:after="180"/>
        <w:jc w:val="center"/>
        <w:rPr/>
      </w:pPr>
      <w:r>
        <w:rPr/>
        <w:drawing>
          <wp:inline distT="0" distB="0" distL="0" distR="0">
            <wp:extent cx="6858000" cy="2905125"/>
            <wp:effectExtent l="0" t="0" r="0" b="0"/>
            <wp:docPr id="14"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3" descr=""/>
                    <pic:cNvPicPr>
                      <a:picLocks noChangeAspect="1" noChangeArrowheads="1"/>
                    </pic:cNvPicPr>
                  </pic:nvPicPr>
                  <pic:blipFill>
                    <a:blip r:embed="rId4"/>
                    <a:stretch>
                      <a:fillRect/>
                    </a:stretch>
                  </pic:blipFill>
                  <pic:spPr bwMode="auto">
                    <a:xfrm>
                      <a:off x="0" y="0"/>
                      <a:ext cx="6858000" cy="2905125"/>
                    </a:xfrm>
                    <a:prstGeom prst="rect">
                      <a:avLst/>
                    </a:prstGeom>
                  </pic:spPr>
                </pic:pic>
              </a:graphicData>
            </a:graphic>
          </wp:inline>
        </w:drawing>
      </w:r>
    </w:p>
    <w:p>
      <w:pPr>
        <w:pStyle w:val="TextBody"/>
        <w:bidi w:val="0"/>
        <w:spacing w:lineRule="auto" w:line="288"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Market Opportunity</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Due to the extensive applications and broad potential, we believe that the proteomics market represents one of the largest untapped opportunities in the biological sciences today. According to BCC Research, the global proteomics market was valued at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31445"/>
                <wp:effectExtent l="0" t="0" r="0" b="0"/>
                <wp:wrapNone/>
                <wp:docPr id="15" name="Frame1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12</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approximately $27 billion as of 2022. This encompasses only the fraction of the proteomics market that is currently available to us via mass spectrometry and other quantification methods and does not include diagnostics. The overall proteomics market is projected to reach approximately $55 billion in 2027, representing a CAGR of 15% for the five-year period.</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believe that as the proteomics market evolves, substantial adjacent opportunities will arise due to the potential applications in not only precision and personalized medicine, clinical diagnostics, and machine-learning powered drug discovery, as well as other disciplines such as food and environmental science. Within the biomedical sciences, the application of proteomic technologies to clinical specimens has the potential to revolutionize multiple aspects of the diagnosis and treatment of many diseases, propelled by biomarker discovery and validation of personalized therapies which we believe will greatly increase the power of prediction, diagnosis and prognosis.</w:t>
      </w:r>
    </w:p>
    <w:p>
      <w:pPr>
        <w:pStyle w:val="TextBody"/>
        <w:bidi w:val="0"/>
        <w:spacing w:before="0" w:after="180"/>
        <w:jc w:val="center"/>
        <w:rPr/>
      </w:pPr>
      <w:r>
        <w:rPr/>
        <w:drawing>
          <wp:inline distT="0" distB="0" distL="0" distR="0">
            <wp:extent cx="5619750" cy="3267075"/>
            <wp:effectExtent l="0" t="0" r="0" b="0"/>
            <wp:docPr id="16"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4" descr=""/>
                    <pic:cNvPicPr>
                      <a:picLocks noChangeAspect="1" noChangeArrowheads="1"/>
                    </pic:cNvPicPr>
                  </pic:nvPicPr>
                  <pic:blipFill>
                    <a:blip r:embed="rId5"/>
                    <a:stretch>
                      <a:fillRect/>
                    </a:stretch>
                  </pic:blipFill>
                  <pic:spPr bwMode="auto">
                    <a:xfrm>
                      <a:off x="0" y="0"/>
                      <a:ext cx="5619750" cy="3267075"/>
                    </a:xfrm>
                    <a:prstGeom prst="rect">
                      <a:avLst/>
                    </a:prstGeom>
                  </pic:spPr>
                </pic:pic>
              </a:graphicData>
            </a:graphic>
          </wp:inline>
        </w:drawing>
      </w:r>
    </w:p>
    <w:p>
      <w:pPr>
        <w:pStyle w:val="TextBody"/>
        <w:bidi w:val="0"/>
        <w:spacing w:lineRule="auto" w:line="288"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Existing Proteomics Technologies and Shortfalls</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Over the past decade, the importance of proteomics in the field of diagnosis and drug research &amp; development has increased dramatically due to the direct biological relevance of analyzing the interaction of proteins in living organisms. However, the analysis of the proteome is substantially more complex than the analysis of the genome or transcriptome. Unlike DNA and RNA, proteins themselves cannot be amplified. Consequently, measurement tools must address the challenges of sensitively detecting the minute quantities of low frequency expressed targets. This challenge is exacerbated by the exceptionally large dynamic range of proteins in both cells and in blood spanning more than seven orders of magnitude. For example, some critical and influential proteins such as transcription factors may be present with only a few copies per cell, whereas abundant proteins such as cytoskeleton or ribosomal proteins may be present in millions of copies per cell. Quantifying both the low frequency and the abundant proteins within a single sample is very challenging and stands in stark contrast to genome or transcriptome analysis which only contends with a dynamic range of approximately three orders of magnitude. Furthermore, the biochemical and physical diversity of proteins far exceeds that of DNA or RNA as proteins are created from 20 highly distinct amino acids, whereas genes and transcripts are created from only 4 distinct nucleotides. These inherent complexities have hampered progress in the development of life science tools that can sensitively and comprehensively quantify the proteome. Additionally, the ability to identify unique proteoform composition and frequency in a single complex sample is not achievable today. Currently available tools can be broadly segmented into mass spectrometry-based and affinity-based methods.</w:t>
      </w:r>
    </w:p>
    <w:p>
      <w:pPr>
        <w:pStyle w:val="TextBody"/>
        <w:bidi w:val="0"/>
        <w:spacing w:lineRule="auto" w:line="288" w:before="0" w:after="180"/>
        <w:ind w:left="0" w:right="0" w:firstLine="360"/>
        <w:jc w:val="left"/>
        <w:rPr>
          <w:rFonts w:ascii="Times New Roman;sans-serif" w:hAnsi="Times New Roman;sans-serif"/>
          <w:b w:val="false"/>
          <w:i/>
          <w:color w:val="000000"/>
          <w:sz w:val="20"/>
        </w:rPr>
      </w:pPr>
      <w:r>
        <w:rPr>
          <w:rFonts w:ascii="Times New Roman;sans-serif" w:hAnsi="Times New Roman;sans-serif"/>
          <w:b w:val="false"/>
          <w:i/>
          <w:color w:val="000000"/>
          <w:sz w:val="20"/>
        </w:rPr>
        <w:t>Mass Spectrometry-based Approaches</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Mass spectrometry is a powerful tool for the measurement of proteins and has progressed the field of proteomics immensely, similar to the impact that Sanger sequencing had to the founding of large-scale genomics research. However, for the powerful data that is generated, current mass spectrometry workflows still remain complex and time consuming. The mass-spectrometry workflows and processes are not fully automated requiring skilled professionals to prepare samples and operate instruments, which limits the impact of these powerful technologies. Mass spectrometry is also known to have poor sensitivity to detect proteins present at low frequencies within biological samples, which is where many believe important drivers of biology exist. Lastly, the most widespread approach called shotgun mass spectrometry, requires proteins are first broken apart into small pieces called peptides in order to measure them.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31445"/>
                <wp:effectExtent l="0" t="0" r="0" b="0"/>
                <wp:wrapNone/>
                <wp:docPr id="17" name="Frame1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13</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This detection method can only measure the individual protein fragments, and is therefore unable to identify specific patterns of post-translational modifications and proteoforms visible on intact proteins across a sample. Despite these challenges, there has still been a strong appetite for protein data given its importance in biology and drug development, and the proteomics research marketplace is estimated to have over 16,000 installed mass spectrometry systems.</w:t>
      </w:r>
    </w:p>
    <w:p>
      <w:pPr>
        <w:pStyle w:val="TextBody"/>
        <w:bidi w:val="0"/>
        <w:spacing w:lineRule="auto" w:line="288" w:before="0" w:after="180"/>
        <w:ind w:left="0" w:right="0" w:firstLine="360"/>
        <w:jc w:val="left"/>
        <w:rPr>
          <w:rFonts w:ascii="Times New Roman;sans-serif" w:hAnsi="Times New Roman;sans-serif"/>
          <w:b w:val="false"/>
          <w:i/>
          <w:color w:val="000000"/>
          <w:sz w:val="20"/>
        </w:rPr>
      </w:pPr>
      <w:r>
        <w:rPr>
          <w:rFonts w:ascii="Times New Roman;sans-serif" w:hAnsi="Times New Roman;sans-serif"/>
          <w:b w:val="false"/>
          <w:i/>
          <w:color w:val="000000"/>
          <w:sz w:val="20"/>
        </w:rPr>
        <w:t>Limitations with Affinity-based Approaches</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Where mass spectrometry-based approaches have been widely used for broad scale protein discovery applications, affinity-based approaches have generally been used for targeted protein measurements. Affinity-based protein detection commonly utilizes affinity reagents that are designed to be very specific to an individual protein target that is already known to the researcher. Additionally, the ability of an affinity reagent to selectively bind to its target may also be impacted by protein specific factors, such as the protein’s folded structure and orientation. Lastly, affinity-based approaches intended to target more than one protein at once in a sample commonly require a different affinity reagent for each target. Despite decades of ongoing efforts, there are still nowhere near the number of affinity reagents in existence today to attempt to measure the full proteome. In general, affinity-based approaches are most useful when the end user has a relatively small pre-defined set of targets they want to measure, and because the affinity reagents themselves only detect a small portion of the intended target, this method is also not capable of resolving unique proteoform patterns at the single protein molecule level today.</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THE NAUTILUS APPROACH</w:t>
      </w:r>
    </w:p>
    <w:p>
      <w:pPr>
        <w:pStyle w:val="TextBody"/>
        <w:bidi w:val="0"/>
        <w:spacing w:lineRule="auto" w:line="288"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Our Guiding Principles</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Nautilus is driven by a desire to enable the research community to rapidly and comprehensively access and quantify the proteome, thereby transforming our ability to examine disease mechanisms, and develop new therapeutics and diagnostics. This mission is guided by a recognition that major advances in proteomics have generally lagged behind genomics, primarily due to a lack of available tools for measuring the proteome as easily or completely as one can measure the genome and transcriptome.</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believe that evolutionary or incremental improvements to existing technologies will not suffice; that a fundamentally new approach is required to unlock this large opportunity in biological science. In pursuit of that mission, we are developing our innovative Nautilus platform to be an end-to-end single protein molecule analysis solution composed of instrumentation, reagent consumables, and software that processes a sample and returns valuable and unique biological data and insight. We have designed the Nautilus platform to enable extreme sensitivity and scale, without compromising on ease of use. Leveraging a unique architecture and advanced machine learning software, we believe our Nautilus platform has the potential to identify substantially all proteins in a sample from almost any organism. </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view many of the core ideas underlying the Nautilus platform as “counterintuitive”, as it required innovations at the intersection of three distinct disciplines not often found in harmony: life sciences, computer and data sciences, and physical sciences and engineering. We have designed the Nautilus platform to integrate a variety of both computational and experimental approaches, diverse measurement modalities, and the best available analytical tools to accelerate biomarker discovery and precision medicine. Several Nautilus platform technology elements (e.g., cloud computing and machine learning) are disciplines that have now sufficiently matured to create this timely opportunity for Nautilus to pursue the deep, hard science required to bring to market a potentially revolutionary capability that we believe will help democratize access to proteomics data.</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31445"/>
                <wp:effectExtent l="0" t="0" r="0" b="0"/>
                <wp:wrapNone/>
                <wp:docPr id="18" name="Frame1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14</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Our Nautilus Platform Design Criteria</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To achieve our ambitious goals, and to meet the unmet needs of scientists and researchers, we recognized early on that we would need to tackle the deep, hard, novel science required to innovate and commercialize a fundamentally new detection technology capable of reading and quantifying the proteome and associated proteoforms. As such, we designed the Nautilus platform – from the ground up – to accomplish the following goals:</w:t>
      </w:r>
    </w:p>
    <w:p>
      <w:pPr>
        <w:pStyle w:val="TextBody"/>
        <w:bidi w:val="0"/>
        <w:spacing w:before="0" w:after="180"/>
        <w:jc w:val="center"/>
        <w:rPr/>
      </w:pPr>
      <w:r>
        <w:rPr/>
        <w:drawing>
          <wp:inline distT="0" distB="0" distL="0" distR="0">
            <wp:extent cx="4762500" cy="2809875"/>
            <wp:effectExtent l="0" t="0" r="0" b="0"/>
            <wp:docPr id="19"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5" descr=""/>
                    <pic:cNvPicPr>
                      <a:picLocks noChangeAspect="1" noChangeArrowheads="1"/>
                    </pic:cNvPicPr>
                  </pic:nvPicPr>
                  <pic:blipFill>
                    <a:blip r:embed="rId6"/>
                    <a:stretch>
                      <a:fillRect/>
                    </a:stretch>
                  </pic:blipFill>
                  <pic:spPr bwMode="auto">
                    <a:xfrm>
                      <a:off x="0" y="0"/>
                      <a:ext cx="4762500" cy="2809875"/>
                    </a:xfrm>
                    <a:prstGeom prst="rect">
                      <a:avLst/>
                    </a:prstGeom>
                  </pic:spPr>
                </pic:pic>
              </a:graphicData>
            </a:graphic>
          </wp:inline>
        </w:drawing>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 core design criterion was that the Nautilus platform needed to be comprehensive. One of the largest challenges with existing “shotgun” proteomics technologies is that replicate analyses are likely to sample different subsets of the proteome. </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Next, the Nautilus platform needed to be ultra-sensitive. Unlike NGS technologies, where one can leverage natural processes and enzymes (e.g., polymerases) to amplify DNA and RNA, proteins cannot be amplified from the original molecule. To achieve the goal of measuring the complete proteome, scientists and researchers needed a new analysis method with unprecedented sensitivity.</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Nautilus platform was designed to cover a very large dynamic range in a simple workflow in order to scale to the full proteome.</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the process needed to be reproducible and robust, maximizing the chance that the results derived in one experiment are the same as the results derived in subsequent experiments. </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Importantly, the Nautilus platform needed to be fast and able to analyze tens of thousands of samples in a reasonable time period.</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It also needed to be sufficiently easy-to-use so that virtually any lab could benefit from using it, not just labs that are explicitly focused on proteomics or analytical chemistry.</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 order to fully support the wide-ranging needs of our future customers, the platform can also support multiple run configurations. Our design accommodates both low throughput and high throughput run configurations, and will also employ in-lane sample multiplexing to enable our customers to meet the high-volume data production needs of large-scale studies or core facilities.</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With these objectives identified as our core design criteria, we set out to create a transformative technology with the potential to achieve all of these criteria. The resulting Nautilus platform has embodied many technical innovations across sample preparation, reagent consumables, instrumentation, and downstream protein analysis. However, we believe there are four critically important key technical innovations that, when brought together, make the achievement of our Nautilus platform design specifications and benefits possible:</w:t>
      </w:r>
    </w:p>
    <w:p>
      <w:pPr>
        <w:pStyle w:val="TextBody"/>
        <w:bidi w:val="0"/>
        <w:spacing w:lineRule="auto" w:line="288"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A Single Protein Molecule Flow Cell</w:t>
      </w:r>
    </w:p>
    <w:p>
      <w:pPr>
        <w:pStyle w:val="TextBody"/>
        <w:bidi w:val="0"/>
        <w:spacing w:lineRule="auto" w:line="288"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The Proteome Analysis System: An Integrated Multi-cycle Optical and Fluidics Instrument</w:t>
      </w:r>
    </w:p>
    <w:p>
      <w:pPr>
        <w:pStyle w:val="TextBody"/>
        <w:bidi w:val="0"/>
        <w:spacing w:lineRule="auto" w:line="288"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A Novel Class of Affinity Reagent Probes for Efficient Whole Proteome Analysis</w:t>
      </w:r>
    </w:p>
    <w:p>
      <w:pPr>
        <w:pStyle w:val="TextBody"/>
        <w:bidi w:val="0"/>
        <w:spacing w:lineRule="auto" w:line="288"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Machine Learning Protein Decoding Analytics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31445"/>
                <wp:effectExtent l="0" t="0" r="0" b="0"/>
                <wp:wrapNone/>
                <wp:docPr id="20" name="Frame1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15</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Key Innovations</w:t>
      </w:r>
    </w:p>
    <w:p>
      <w:pPr>
        <w:pStyle w:val="TextBody"/>
        <w:bidi w:val="0"/>
        <w:spacing w:lineRule="auto" w:line="288" w:before="0" w:after="180"/>
        <w:ind w:left="0" w:right="0" w:firstLine="360"/>
        <w:jc w:val="left"/>
        <w:rPr/>
      </w:pPr>
      <w:r>
        <w:rPr>
          <w:rFonts w:ascii="Times New Roman;sans-serif" w:hAnsi="Times New Roman;sans-serif"/>
          <w:b/>
          <w:i/>
          <w:color w:val="000000"/>
          <w:sz w:val="20"/>
        </w:rPr>
        <w:t>1.</w:t>
      </w:r>
      <w:r>
        <w:rPr>
          <w:rFonts w:ascii="Times New Roman;sans-serif" w:hAnsi="Times New Roman;sans-serif"/>
          <w:b/>
          <w:i/>
          <w:color w:val="000000"/>
          <w:sz w:val="20"/>
        </w:rPr>
        <w:t>Single Protein Molecule Flow Cell</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vast majority of protein analysis tools, such as affinity-based methods like an ELISA (Enzyme-Linked Immunosorbent Assay), typically measure proteins in bulk. This approach works well for measuring small numbers of proteins, however, it quickly becomes very challenging when measuring hundreds to thousands of proteins. Additionally, going through multiple intermediaries to assess a protein’s concentration (such as protein capture, secondary detection, calibration between fluorescent output and concentration) places limitations on the accuracy, sensitivity, dynamic range and reproducibility. Genomic studies are able to get around these limitations by amplifying DNA or RNA, but unfortunately, there is no equivalent approach for amplifying proteins available. Consequently, the limit of detection for most immunoassays has been bounded primarily by the signal-to-noise ratio provided by the instrument used to detect antibody-antigen binding and by non-specific binding, which in a 50uL sample could represent tens-of-thousands of molecules. Accordingly, the dynamic range of such platforms are typically about 1-order of magnitude, though this can be scaled through dilution at the upper end. </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Nautilus recognized early on that in order to achieve its goals for creating extreme protein detection sensitivity it would require measuring proteins whose frequency in a sample might vary from only a few, to hundreds of millions of molecules in a sample. In our view, it was clear that any bulk measurement technology would struggle to cover this immense dynamic range, and that a single protein molecule detection approach would be required to overcome a problem that has long been a barrier to major advancement in the field. Additionally, transitioning from bulk protein measurements to single protein molecule measurements fundamentally changes the nature of the protein quantification problem where the challenges of protein identification and quantification converge. If one is able to identify each protein molecule, quantification arises simply from counting those identifications, and furthermore, single protein molecule counters are by definition the most sensitive detection modalities available.</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 break through these barriers, we have designed our Nautilus platform with a fundamentally different approach: to measure billions of individual protein molecules at a time, in a massively parallel and efficient workflow. Our internal testing has demonstrated that our hyper-dense single-molecule protein nanoarrays contain over 3 billion landing pads per chip. Our team has developed a process for manufacturing our nanoarray as the foundational component of our flow cell consumable. The flow cell itself is comprised of a nanometer-scale fabricated chip that holds the individual protein molecules in place on the surface in a landing pad, encapsulated by a fluidics channel that allows for reagents to flow across the surface. Our design includes the isolation of individual proteins in a protein library preparation by binding them to a much larger nanoparticle scaffold which has been created to hold exactly one protein molecule. </w:t>
      </w:r>
    </w:p>
    <w:p>
      <w:pPr>
        <w:pStyle w:val="TextBody"/>
        <w:bidi w:val="0"/>
        <w:spacing w:before="0" w:after="180"/>
        <w:jc w:val="center"/>
        <w:rPr/>
      </w:pPr>
      <w:r>
        <w:rPr/>
        <w:drawing>
          <wp:inline distT="0" distB="0" distL="0" distR="0">
            <wp:extent cx="6515100" cy="2828925"/>
            <wp:effectExtent l="0" t="0" r="0" b="0"/>
            <wp:docPr id="21"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6" descr=""/>
                    <pic:cNvPicPr>
                      <a:picLocks noChangeAspect="1" noChangeArrowheads="1"/>
                    </pic:cNvPicPr>
                  </pic:nvPicPr>
                  <pic:blipFill>
                    <a:blip r:embed="rId7"/>
                    <a:stretch>
                      <a:fillRect/>
                    </a:stretch>
                  </pic:blipFill>
                  <pic:spPr bwMode="auto">
                    <a:xfrm>
                      <a:off x="0" y="0"/>
                      <a:ext cx="6515100" cy="2828925"/>
                    </a:xfrm>
                    <a:prstGeom prst="rect">
                      <a:avLst/>
                    </a:prstGeom>
                  </pic:spPr>
                </pic:pic>
              </a:graphicData>
            </a:graphic>
          </wp:inline>
        </w:drawing>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These nanoparticle scaffolds can be reliably made to precise sizes, and the flow cell nanoarray surface can then be generated by well understood manufacturing processes to create surface features, which we call landing pads, that match the dimension of the scaffold. As each landing pad can only hold one scaffold, and each scaffold can only hold one protein molecule, the introduction of scaffold-protein complex onto the nanoarray surface generates a self-assembling, high-density single protein molecule array (as seen in the above and below illustrations). The attachment between the scaffold and the nanoarray surface is extremely robust, enabling scaffolds to persist through extensive reagent washing across many cycles.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31445"/>
                <wp:effectExtent l="0" t="0" r="0" b="0"/>
                <wp:wrapNone/>
                <wp:docPr id="22" name="Frame1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16</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Nautilus Single Protein Molecule Flow Cell Designed to Capture One Individual Scaffold-Protein Complex per Landing Pad</w:t>
      </w:r>
    </w:p>
    <w:p>
      <w:pPr>
        <w:pStyle w:val="TextBody"/>
        <w:bidi w:val="0"/>
        <w:spacing w:before="0" w:after="180"/>
        <w:jc w:val="center"/>
        <w:rPr/>
      </w:pPr>
      <w:r>
        <w:rPr/>
        <w:drawing>
          <wp:inline distT="0" distB="0" distL="0" distR="0">
            <wp:extent cx="6105525" cy="2895600"/>
            <wp:effectExtent l="0" t="0" r="0" b="0"/>
            <wp:docPr id="23"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7" descr=""/>
                    <pic:cNvPicPr>
                      <a:picLocks noChangeAspect="1" noChangeArrowheads="1"/>
                    </pic:cNvPicPr>
                  </pic:nvPicPr>
                  <pic:blipFill>
                    <a:blip r:embed="rId8"/>
                    <a:stretch>
                      <a:fillRect/>
                    </a:stretch>
                  </pic:blipFill>
                  <pic:spPr bwMode="auto">
                    <a:xfrm>
                      <a:off x="0" y="0"/>
                      <a:ext cx="6105525" cy="2895600"/>
                    </a:xfrm>
                    <a:prstGeom prst="rect">
                      <a:avLst/>
                    </a:prstGeom>
                  </pic:spPr>
                </pic:pic>
              </a:graphicData>
            </a:graphic>
          </wp:inline>
        </w:drawing>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discussed above, our flow cell is designed with the capability to capture up to tens of billions of individual, intact protein molecules. The single protein molecule nature of the Nautilus platform is designed to enable extreme sensitivity, which we have observed in our internal testing as shown in the “Nautilus Platform Sensitivity” section below, and the sheer scale of proteins captured enables the measurement of proteins across an exceptionally wide dynamic range. Flow cells with loaded protein libraries can then be introduced into our proteome analysis system for the analysis and quantitation of the captured protein library. </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Nautilus Single Protein Molecule Flow Cell is Designed at Nanometer-Scale to Cover the Information Density Needed to Measure Approximately 95% of the Human Proteome</w:t>
      </w:r>
    </w:p>
    <w:p>
      <w:pPr>
        <w:pStyle w:val="TextBody"/>
        <w:bidi w:val="0"/>
        <w:spacing w:before="0" w:after="180"/>
        <w:jc w:val="center"/>
        <w:rPr/>
      </w:pPr>
      <w:r>
        <w:rPr/>
        <w:drawing>
          <wp:inline distT="0" distB="0" distL="0" distR="0">
            <wp:extent cx="4381500" cy="2924175"/>
            <wp:effectExtent l="0" t="0" r="0" b="0"/>
            <wp:docPr id="24"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8" descr=""/>
                    <pic:cNvPicPr>
                      <a:picLocks noChangeAspect="1" noChangeArrowheads="1"/>
                    </pic:cNvPicPr>
                  </pic:nvPicPr>
                  <pic:blipFill>
                    <a:blip r:embed="rId9"/>
                    <a:stretch>
                      <a:fillRect/>
                    </a:stretch>
                  </pic:blipFill>
                  <pic:spPr bwMode="auto">
                    <a:xfrm>
                      <a:off x="0" y="0"/>
                      <a:ext cx="4381500" cy="2924175"/>
                    </a:xfrm>
                    <a:prstGeom prst="rect">
                      <a:avLst/>
                    </a:prstGeom>
                  </pic:spPr>
                </pic:pic>
              </a:graphicData>
            </a:graphic>
          </wp:inline>
        </w:drawing>
      </w:r>
    </w:p>
    <w:p>
      <w:pPr>
        <w:pStyle w:val="TextBody"/>
        <w:bidi w:val="0"/>
        <w:spacing w:lineRule="auto" w:line="288" w:before="0" w:after="180"/>
        <w:ind w:left="0" w:right="0" w:firstLine="360"/>
        <w:jc w:val="left"/>
        <w:rPr/>
      </w:pPr>
      <w:r>
        <w:rPr>
          <w:rFonts w:ascii="Times New Roman;sans-serif" w:hAnsi="Times New Roman;sans-serif"/>
          <w:b/>
          <w:i/>
          <w:color w:val="000000"/>
          <w:sz w:val="20"/>
        </w:rPr>
        <w:t>2.</w:t>
      </w:r>
      <w:r>
        <w:rPr>
          <w:rFonts w:ascii="Times New Roman;sans-serif" w:hAnsi="Times New Roman;sans-serif"/>
          <w:b/>
          <w:i/>
          <w:color w:val="000000"/>
          <w:sz w:val="20"/>
        </w:rPr>
        <w:t>Our Proteome Analysis System: An Integrated Multi-cycle Optical and Fluidics Instrument</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Typically, protein measurement approaches, like the ELISA described earlier, are designed to perform a single measurement of the proteins in a sample, after which the sample is either damaged, destroyed or discarded. However, if proteins captured in a sample can be repeatedly probed, it becomes possible to gain far more insight on the individual molecules. With our platform, each protein molecule has a unique coordinate address on the flow cell, and repeated probing enables deeper characterization of each individual molecule with each cycle, unlocking the ability to characterize proteoforms and ultimately decode approximately 95% of the proteome.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31445"/>
                <wp:effectExtent l="0" t="0" r="0" b="0"/>
                <wp:wrapNone/>
                <wp:docPr id="25" name="Frame1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17</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Nautilus Platform Multi-Cycle Affinity Reagent Probe Binding, Imaging, Washing, and Re-Binding</w:t>
      </w:r>
    </w:p>
    <w:p>
      <w:pPr>
        <w:pStyle w:val="TextBody"/>
        <w:bidi w:val="0"/>
        <w:spacing w:before="0" w:after="180"/>
        <w:jc w:val="center"/>
        <w:rPr/>
      </w:pPr>
      <w:r>
        <w:rPr/>
        <w:drawing>
          <wp:inline distT="0" distB="0" distL="0" distR="0">
            <wp:extent cx="5857875" cy="3400425"/>
            <wp:effectExtent l="0" t="0" r="0" b="0"/>
            <wp:docPr id="26"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9" descr=""/>
                    <pic:cNvPicPr>
                      <a:picLocks noChangeAspect="1" noChangeArrowheads="1"/>
                    </pic:cNvPicPr>
                  </pic:nvPicPr>
                  <pic:blipFill>
                    <a:blip r:embed="rId10"/>
                    <a:stretch>
                      <a:fillRect/>
                    </a:stretch>
                  </pic:blipFill>
                  <pic:spPr bwMode="auto">
                    <a:xfrm>
                      <a:off x="0" y="0"/>
                      <a:ext cx="5857875" cy="3400425"/>
                    </a:xfrm>
                    <a:prstGeom prst="rect">
                      <a:avLst/>
                    </a:prstGeom>
                  </pic:spPr>
                </pic:pic>
              </a:graphicData>
            </a:graphic>
          </wp:inline>
        </w:drawing>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 achieve extreme sensitivity and scale, we have designed a novel instrument that integrates reagent fluidics with a sensitive high-resolution optical imaging system to cyclically measure all single protein molecules captured on the flow cell. Our affinity reagent probes are labeled with proprietary fluorescent labels that help improve both the signal-to-noise and speed of our assay chemistry. The instrument introduces labeled affinity reagent probes into our flow cell, allowing them to briefly incubate, then rinse off unbound molecules, and then rapidly images the entire surface. During the imaging process, a laser system is used to excite and illuminate the fluorescent labels. The high-resolution imaging components allow resolution sufficient to characterize each individual protein molecule, generating data as shown in the above illustration. </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Once an imaging pass is complete, the instrument then washes the flow cell, leaving the proteins fully immobilized, and rinses out the wash reagent before pursuing additional cycles. Samples may be multiplexed in a variety of ways to enable higher sample throughput and to reduce the cost per sample. A typical full scale proteome run will generate approximately 35 terabytes of data, which is then compressed to a digital binding matrix for downstream analysis by our cloud-based software-as-a-service, SaaS, analytics suite.</w:t>
      </w:r>
    </w:p>
    <w:p>
      <w:pPr>
        <w:pStyle w:val="TextBody"/>
        <w:bidi w:val="0"/>
        <w:spacing w:lineRule="auto" w:line="288" w:before="0" w:after="180"/>
        <w:ind w:left="0" w:right="0" w:firstLine="360"/>
        <w:jc w:val="left"/>
        <w:rPr/>
      </w:pPr>
      <w:r>
        <w:rPr>
          <w:rFonts w:ascii="Times New Roman;sans-serif" w:hAnsi="Times New Roman;sans-serif"/>
          <w:b/>
          <w:i/>
          <w:color w:val="000000"/>
          <w:sz w:val="20"/>
        </w:rPr>
        <w:t>3.</w:t>
      </w:r>
      <w:r>
        <w:rPr>
          <w:rFonts w:ascii="Times New Roman;sans-serif" w:hAnsi="Times New Roman;sans-serif"/>
          <w:b/>
          <w:i/>
          <w:color w:val="000000"/>
          <w:sz w:val="20"/>
        </w:rPr>
        <w:t>Multi-Cycle Binding and Detection using Affinity Reagent Probes Enables an Entirely New Way to Detect Proteins and their Modifications</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Our Nautilus platform technology is designed with fundamentally different principles of how to use and exploit the properties of affinity reagents compared to prior methods. Historically, affinity reagents have been qualified for use based on their specificity to a given protein target, and showing the ability to bind strongly to that specific target. In order to see and measure a single protein target, a researcher would require an affinity reagent of sufficient specificity to detect it. These higher specificity affinity reagents are commonly used for bulk measurements, and are typically only used for one single bulk measurement event (or cycle) and then discarded.</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By using these same high specificity reagents in our multi-cycle system, we believe it is possible to detect each specific protein target now at the single-molecule level, enabling digital quantitation. We further believe it is possible to expand this concept, and use our Nautilus platform with a wide variety of “off-the-shelf” affinity reagents that are highly specific to multiple individual protein targets. Also and of particular importance, is these off-the-shelf affinity reagents can often also target very specific sites on the protein itself, such as post-translational modification sites. Using affinity reagent probes that target very specific locations and features of proteins will allow the Nautilus platform to detect and quantify the different patterns and varieties of post-translational modifications (i.e. the proteoforms).</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 highly innovative and counterintuitive way, our Nautilus platform has also been designed to exploit low specificity affinity reagents. Identifying the tens-of-thousands of different proteins in a proteome would require a prohibitively large number of traditional highly specific affinity reagents. We therefore explored the possibility of using affinity reagents that bind short, linear epitopes (e.g., target protein sequences of 3-4 amino acids each) with moderate specificity, such that each affinity binding reagent probes and binds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31445"/>
                <wp:effectExtent l="0" t="0" r="0" b="0"/>
                <wp:wrapNone/>
                <wp:docPr id="27" name="Frame1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18</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to many different proteins that contain the short linear epitope target, each we describe as a “multi-affinity reagent probe”. While the binding of a single multi-affinity reagent probe is not sufficient to identify a given protein, sequential binding events using a series of multi-affinity reagent probes can create enough information that it is sufficiently powerful to accurately identify an exceptionally broad number of proteins present in a sample. In this approach, each new multi-affinity reagent probe that is introduced in a cycle of binding and imaging provides additional evidence and gradually narrows the list of possible protein identities. Hereafter, we refer to this approach as Protein Identification by Short-epitope Mapping (PrISM). Our Nautilus platform technology is estimated to achieve the detection of the vast majority of proteins in the proteome using a combination of approximately 300 unique multi-affinity reagent probes.</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Nautilus Platform Technology Protein Identification with Increasing Multi-Affinity Reagent Probe Cycles</w:t>
      </w:r>
    </w:p>
    <w:p>
      <w:pPr>
        <w:pStyle w:val="TextBody"/>
        <w:bidi w:val="0"/>
        <w:spacing w:before="0" w:after="180"/>
        <w:jc w:val="center"/>
        <w:rPr/>
      </w:pPr>
      <w:r>
        <w:rPr/>
        <w:drawing>
          <wp:inline distT="0" distB="0" distL="0" distR="0">
            <wp:extent cx="6029325" cy="2933700"/>
            <wp:effectExtent l="0" t="0" r="0" b="0"/>
            <wp:docPr id="28"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10" descr=""/>
                    <pic:cNvPicPr>
                      <a:picLocks noChangeAspect="1" noChangeArrowheads="1"/>
                    </pic:cNvPicPr>
                  </pic:nvPicPr>
                  <pic:blipFill>
                    <a:blip r:embed="rId11"/>
                    <a:stretch>
                      <a:fillRect/>
                    </a:stretch>
                  </pic:blipFill>
                  <pic:spPr bwMode="auto">
                    <a:xfrm>
                      <a:off x="0" y="0"/>
                      <a:ext cx="6029325" cy="2933700"/>
                    </a:xfrm>
                    <a:prstGeom prst="rect">
                      <a:avLst/>
                    </a:prstGeom>
                  </pic:spPr>
                </pic:pic>
              </a:graphicData>
            </a:graphic>
          </wp:inline>
        </w:drawing>
      </w:r>
    </w:p>
    <w:p>
      <w:pPr>
        <w:pStyle w:val="TextBody"/>
        <w:bidi w:val="0"/>
        <w:spacing w:lineRule="auto" w:line="288" w:before="0" w:after="180"/>
        <w:ind w:left="0" w:right="0" w:firstLine="360"/>
        <w:jc w:val="left"/>
        <w:rPr>
          <w:rFonts w:ascii="Times New Roman;sans-serif" w:hAnsi="Times New Roman;sans-serif"/>
          <w:b w:val="false"/>
          <w:i/>
          <w:color w:val="000000"/>
          <w:sz w:val="20"/>
        </w:rPr>
      </w:pPr>
      <w:r>
        <w:rPr>
          <w:rFonts w:ascii="Times New Roman;sans-serif" w:hAnsi="Times New Roman;sans-serif"/>
          <w:b w:val="false"/>
          <w:i/>
          <w:color w:val="000000"/>
          <w:sz w:val="20"/>
        </w:rPr>
        <w:t>Source: A theoretical framework for proteome-scale single-molecule protein identification using multi-affinity protein binding reagents. Jarrett D. Egertson, Dan DiPasquo, Alana Killeen, Vadim Lobanov, Sujal Patel, Parag Mallick bioRxiv 2021.10.11.463967.</w:t>
      </w:r>
    </w:p>
    <w:p>
      <w:pPr>
        <w:pStyle w:val="TextBody"/>
        <w:bidi w:val="0"/>
        <w:spacing w:lineRule="auto" w:line="288" w:before="0" w:after="180"/>
        <w:ind w:left="0" w:right="0" w:firstLine="360"/>
        <w:jc w:val="left"/>
        <w:rPr/>
      </w:pPr>
      <w:r>
        <w:rPr>
          <w:rFonts w:ascii="Times New Roman;sans-serif" w:hAnsi="Times New Roman;sans-serif"/>
          <w:b/>
          <w:i/>
          <w:color w:val="000000"/>
          <w:sz w:val="20"/>
        </w:rPr>
        <w:t>4.</w:t>
      </w:r>
      <w:r>
        <w:rPr>
          <w:rFonts w:ascii="Times New Roman;sans-serif" w:hAnsi="Times New Roman;sans-serif"/>
          <w:b/>
          <w:i/>
          <w:color w:val="000000"/>
          <w:sz w:val="20"/>
        </w:rPr>
        <w:t>Machine Learning Protein Identification Software</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Among the most unique aspects of our Nautilus platform is the integration of a proprietary machine learning-based protein identification analysis software engineered to work with the type of data our system generates. As discussed, more typical measurements for high specificity affinity reagent probes can be used in our system to identify, and thereby quantify, each protein from a single binding and imaging step. These high specificity affinity reagent probes can provide a lot of information about a small number of proteins, and as such it would take an exceedingly large number of highly specific affinity reagent probes and therefore an exceedingly large number of cycles to measure every protein in the proteome. To enable broad protein identification on our system, we instead use our multi-affinity reagent probes that can bind to hundreds or even thousands of individual proteins in a given cycle. Protein identification and quantification can be extended to proteoform-resolution by incorporating high specificity affinity reagent probes against protein targets of interest. </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Our proprietary algorithm is thereby trained using experimental data from our probe development process that provides a baseline estimate of how likely each probe is to bind to each protein in a reference proteome database. As data is collected, a binding matrix is generated for each protein coordinate. For example, a given coordinate [2,1] may have bound probes during cycles [4, 11, 25, 26, 27, 65, and 201]. This data is then fed into our machine learning protein identification analysis to determine which protein is most compatible with the observed pattern of binding. The illustration below provides a view of our machine learning protein identification analysis at work by observing the confidence the algorithm has with respect to each protein as additional cycles of data are collected. On average, it takes roughly 15 cycles of multi-affinity reagent probe binding events to uniquely identify a protein. Prior to 15 cycles, there is a lot of variability in which protein is likely to be at a given spot, but then after 15 cycles, the algorithm locks in on a precise protein and becomes increasingly more confident in its identification. Further, with each additional cycle the other potential proteins become increasingly less likely.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31445"/>
                <wp:effectExtent l="0" t="0" r="0" b="0"/>
                <wp:wrapNone/>
                <wp:docPr id="29" name="Frame1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19</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Nautilus Platform Technology Can Identify a Protein by Analyzing Data from Multiple Cycles of Affinity Reagent Probe Binding Event with High Probability.</w:t>
      </w:r>
    </w:p>
    <w:p>
      <w:pPr>
        <w:pStyle w:val="TextBody"/>
        <w:bidi w:val="0"/>
        <w:spacing w:before="0" w:after="180"/>
        <w:jc w:val="center"/>
        <w:rPr/>
      </w:pPr>
      <w:r>
        <w:rPr/>
        <w:drawing>
          <wp:inline distT="0" distB="0" distL="0" distR="0">
            <wp:extent cx="6400800" cy="3381375"/>
            <wp:effectExtent l="0" t="0" r="0" b="0"/>
            <wp:docPr id="30"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11" descr=""/>
                    <pic:cNvPicPr>
                      <a:picLocks noChangeAspect="1" noChangeArrowheads="1"/>
                    </pic:cNvPicPr>
                  </pic:nvPicPr>
                  <pic:blipFill>
                    <a:blip r:embed="rId12"/>
                    <a:stretch>
                      <a:fillRect/>
                    </a:stretch>
                  </pic:blipFill>
                  <pic:spPr bwMode="auto">
                    <a:xfrm>
                      <a:off x="0" y="0"/>
                      <a:ext cx="6400800" cy="3381375"/>
                    </a:xfrm>
                    <a:prstGeom prst="rect">
                      <a:avLst/>
                    </a:prstGeom>
                  </pic:spPr>
                </pic:pic>
              </a:graphicData>
            </a:graphic>
          </wp:inline>
        </w:drawing>
      </w:r>
    </w:p>
    <w:p>
      <w:pPr>
        <w:pStyle w:val="TextBody"/>
        <w:bidi w:val="0"/>
        <w:spacing w:lineRule="auto" w:line="288" w:before="0" w:after="180"/>
        <w:ind w:left="0" w:right="0" w:firstLine="360"/>
        <w:jc w:val="left"/>
        <w:rPr>
          <w:rFonts w:ascii="Times New Roman;sans-serif" w:hAnsi="Times New Roman;sans-serif"/>
          <w:b w:val="false"/>
          <w:i/>
          <w:color w:val="000000"/>
          <w:sz w:val="20"/>
        </w:rPr>
      </w:pPr>
      <w:r>
        <w:rPr>
          <w:rFonts w:ascii="Times New Roman;sans-serif" w:hAnsi="Times New Roman;sans-serif"/>
          <w:b w:val="false"/>
          <w:i/>
          <w:color w:val="000000"/>
          <w:sz w:val="20"/>
        </w:rPr>
        <w:t>Source: Internal Data</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machine learning protein identification analysis is run for each of the 10 billion protein molecules captured across three flow cells in parallel to identify each protein molecule present. Following this, identifications are coalesced to infer an estimate of the quantity of each protein. As the algorithm learns more and more about each affinity reagent probe’s binding characteristics, both within and across Nautilus platform data sets, it is able to adapt and update its confidence in each protein identification, essentially getting “smarter” over time. As a result, the machine learning protein identification analysis is able to re-analyze data collected in the past and continuously improve upon its ability to identify proteins within that data. </w:t>
      </w:r>
    </w:p>
    <w:p>
      <w:pPr>
        <w:pStyle w:val="TextBody"/>
        <w:bidi w:val="0"/>
        <w:spacing w:lineRule="auto" w:line="288"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Our Technology Workflow</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From the earliest stages of developing the Nautilus platform, we set out to integrate the four key innovations (listed in the above section) into a single, cohesive proteomics workflow, creating an end-to-end solution designed for ease-of-use, speed, scale and performance. We believed that doing so could unlock the potential to democratize proteomics and make it possible for the broader scientific community to undertake a wider range of new, high-value scientific inquiries, thereby accelerating research and ultimately impacting healthcare and the development of precision medicine.</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Nautilus workflow is designed to consist of five major steps, beginning with sample preparation and concluding with the machine learning analytics that yields high-value proteomic data.</w:t>
      </w:r>
    </w:p>
    <w:p>
      <w:pPr>
        <w:pStyle w:val="TextBody"/>
        <w:bidi w:val="0"/>
        <w:spacing w:before="0" w:after="180"/>
        <w:jc w:val="center"/>
        <w:rPr/>
      </w:pPr>
      <w:r>
        <w:rPr/>
        <w:drawing>
          <wp:inline distT="0" distB="0" distL="0" distR="0">
            <wp:extent cx="6515100" cy="1981200"/>
            <wp:effectExtent l="0" t="0" r="0" b="0"/>
            <wp:docPr id="31"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12" descr=""/>
                    <pic:cNvPicPr>
                      <a:picLocks noChangeAspect="1" noChangeArrowheads="1"/>
                    </pic:cNvPicPr>
                  </pic:nvPicPr>
                  <pic:blipFill>
                    <a:blip r:embed="rId13"/>
                    <a:stretch>
                      <a:fillRect/>
                    </a:stretch>
                  </pic:blipFill>
                  <pic:spPr bwMode="auto">
                    <a:xfrm>
                      <a:off x="0" y="0"/>
                      <a:ext cx="6515100" cy="1981200"/>
                    </a:xfrm>
                    <a:prstGeom prst="rect">
                      <a:avLst/>
                    </a:prstGeom>
                  </pic:spPr>
                </pic:pic>
              </a:graphicData>
            </a:graphic>
          </wp:inline>
        </w:drawing>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31445"/>
                <wp:effectExtent l="0" t="0" r="0" b="0"/>
                <wp:wrapNone/>
                <wp:docPr id="32" name="Frame20"/>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20</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ind w:left="0" w:right="0" w:hanging="360"/>
        <w:jc w:val="left"/>
        <w:rPr/>
      </w:pPr>
      <w:r>
        <w:rPr>
          <w:color w:val="000000"/>
        </w:rPr>
        <w:t>•</w:t>
      </w:r>
      <w:r>
        <w:rPr>
          <w:rFonts w:ascii="Times New Roman;sans-serif" w:hAnsi="Times New Roman;sans-serif"/>
          <w:b/>
          <w:i/>
          <w:color w:val="000000"/>
          <w:sz w:val="20"/>
        </w:rPr>
        <w:t xml:space="preserve">Step 1 – Sample Preparation </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Nautilus sample preparation process attaches a label to extracted proteins and then attaches them to a proprietary scaffold to isolate them individually, thereby creating a library of single protein molecules. This process was designed to be simple, robust, and rapid. Internal tests demonstrate that substantially all of the proteins are attached to the scaffold during the library preparation process, which requires minimal hands-on time over a 2-day protocol. </w:t>
      </w:r>
    </w:p>
    <w:p>
      <w:pPr>
        <w:pStyle w:val="TextBody"/>
        <w:bidi w:val="0"/>
        <w:spacing w:lineRule="auto" w:line="288" w:before="0" w:after="180"/>
        <w:ind w:left="0" w:right="0" w:hanging="360"/>
        <w:jc w:val="left"/>
        <w:rPr/>
      </w:pPr>
      <w:r>
        <w:rPr>
          <w:color w:val="000000"/>
        </w:rPr>
        <w:t>•</w:t>
      </w:r>
      <w:r>
        <w:rPr>
          <w:rFonts w:ascii="Times New Roman;sans-serif" w:hAnsi="Times New Roman;sans-serif"/>
          <w:b/>
          <w:i/>
          <w:color w:val="000000"/>
          <w:sz w:val="20"/>
        </w:rPr>
        <w:t>Step 2 – Sample Deposition onto the Flow Cell</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protein library is then deposited onto the three flow cells capable of holding up to 10 billion intact single protein molecules. The landing pads on the flow cell are matched to the size of the protein-attached scaffold, thus allowing only one protein to be deposited per site. This element of the process was specifically designed to enable massively parallel, rapid, single-molecule sampling of proteins, as shown in the flow cell occupancy figure below. </w:t>
      </w:r>
    </w:p>
    <w:p>
      <w:pPr>
        <w:pStyle w:val="TextBody"/>
        <w:bidi w:val="0"/>
        <w:spacing w:lineRule="auto" w:line="288" w:before="0" w:after="180"/>
        <w:ind w:left="0" w:right="0" w:hanging="360"/>
        <w:jc w:val="left"/>
        <w:rPr/>
      </w:pPr>
      <w:r>
        <w:rPr>
          <w:color w:val="000000"/>
        </w:rPr>
        <w:t>•</w:t>
      </w:r>
      <w:r>
        <w:rPr>
          <w:rFonts w:ascii="Times New Roman;sans-serif" w:hAnsi="Times New Roman;sans-serif"/>
          <w:b/>
          <w:i/>
          <w:color w:val="000000"/>
          <w:sz w:val="20"/>
        </w:rPr>
        <w:t>Step 3 – Integrated Imaging and Fluidics System Processing Multiple Cycles of Affinity Reagent Probes</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Following protein library deposition, the proteome analysis system then initiates the multi-cycle interrogation of each single-molecule bound to the surface of the flow cell. This process entails introducing fluorescent dye labeled affinity reagent probes into the flow cell, rinsing out the unbound fraction, imaging the surface area, and then stripping and washing the affinity reagent probes away. This entire process is then repeated sequentially to collect data on the desired number of cycles in the system run, where each cycle is a unique batch of affinity reagent probes intended to identify a set of targets.</w:t>
      </w:r>
    </w:p>
    <w:p>
      <w:pPr>
        <w:pStyle w:val="TextBody"/>
        <w:bidi w:val="0"/>
        <w:spacing w:lineRule="auto" w:line="288" w:before="0" w:after="180"/>
        <w:ind w:left="0" w:right="0" w:hanging="360"/>
        <w:jc w:val="left"/>
        <w:rPr/>
      </w:pPr>
      <w:r>
        <w:rPr>
          <w:color w:val="000000"/>
        </w:rPr>
        <w:t>•</w:t>
      </w:r>
      <w:r>
        <w:rPr>
          <w:rFonts w:ascii="Times New Roman;sans-serif" w:hAnsi="Times New Roman;sans-serif"/>
          <w:b/>
          <w:i/>
          <w:color w:val="000000"/>
          <w:sz w:val="20"/>
        </w:rPr>
        <w:t>Step 4 – Processing of Digitalized Proteomic Data</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After the proteins on the flow cell have been iteratively imaged over the determined number of cycles, the resulting raw images are converted into a coordinate map with corresponding illumination signals indicating positive affinity reagent probe binding events, effectively digitizing up to approximately 35 terabytes of raw image analyzed proteomic data.</w:t>
      </w:r>
    </w:p>
    <w:p>
      <w:pPr>
        <w:pStyle w:val="TextBody"/>
        <w:bidi w:val="0"/>
        <w:spacing w:lineRule="auto" w:line="288" w:before="0" w:after="180"/>
        <w:ind w:left="0" w:right="0" w:hanging="360"/>
        <w:jc w:val="left"/>
        <w:rPr/>
      </w:pPr>
      <w:r>
        <w:rPr>
          <w:color w:val="000000"/>
        </w:rPr>
        <w:t>•</w:t>
      </w:r>
      <w:r>
        <w:rPr>
          <w:rFonts w:ascii="Times New Roman;sans-serif" w:hAnsi="Times New Roman;sans-serif"/>
          <w:b/>
          <w:i/>
          <w:color w:val="000000"/>
          <w:sz w:val="20"/>
        </w:rPr>
        <w:t>Step 5 – Machine Learning Analytics - Decoding, Protein Identification, and Quantity</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 the final step of the workflow, the digital proteomic data is analyzed by our cloud-based machine learning protein identification analysis software. The data is converted to protein identities during this analysis, evaluating the characteristics of each affinity reagent probe binding event at each location to determine protein identity and quantity.</w:t>
      </w:r>
    </w:p>
    <w:p>
      <w:pPr>
        <w:pStyle w:val="TextBody"/>
        <w:bidi w:val="0"/>
        <w:spacing w:lineRule="auto" w:line="288"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Nautilus Platform Technology Performance</w:t>
      </w:r>
    </w:p>
    <w:p>
      <w:pPr>
        <w:pStyle w:val="TextBody"/>
        <w:bidi w:val="0"/>
        <w:spacing w:lineRule="auto" w:line="288" w:before="0" w:after="180"/>
        <w:ind w:left="0" w:right="0" w:firstLine="360"/>
        <w:jc w:val="left"/>
        <w:rPr>
          <w:rFonts w:ascii="Times New Roman;sans-serif" w:hAnsi="Times New Roman;sans-serif"/>
          <w:b w:val="false"/>
          <w:i/>
          <w:color w:val="000000"/>
          <w:sz w:val="20"/>
        </w:rPr>
      </w:pPr>
      <w:r>
        <w:rPr>
          <w:rFonts w:ascii="Times New Roman;sans-serif" w:hAnsi="Times New Roman;sans-serif"/>
          <w:b w:val="false"/>
          <w:i/>
          <w:color w:val="000000"/>
          <w:sz w:val="20"/>
        </w:rPr>
        <w:t>Simple and Robust Sample Handling</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Nautilus’ straightforward sample protein library preparation is designed to convert protein samples into a format optimized for single-molecule deposition on our flow cell. The process has been designed to be accessible to virtually any life sciences researcher. In addition, the protocol is highly compatible with standard lab automation equipment and workflows, which is expected to further minimize the effort required while increasing laboratory processing throughput. Also, unlike existing shotgun proteomics methods, no sample protein digestion is required in our method which in turn makes the workflow very simple. The result is a process that is expected to effectively prepare a sample into a library ready to load on the flow cell with minimal hands-on time completed over a 2 day period.</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 key feature of our Nautilus platform is the large scale (up to billions) of protein molecules that we believe can be measured massively in parallel on our single-molecule flow cells. An analysis of nearly 1,000 flow cells showed typical sample loading of nanoparticle scaffold libraries yielded near complete flow cell occupancy, which demonstrates the speed and efficiency of our sample handling process. </w:t>
      </w:r>
    </w:p>
    <w:p>
      <w:pPr>
        <w:pStyle w:val="TextBody"/>
        <w:bidi w:val="0"/>
        <w:spacing w:lineRule="auto" w:line="288"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Nautilus Platform Stability in Multi-Cycle Experiments</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believe we have designed a technology with direct applicability in research use settings as well as having the potential to translate discoveries into healthcare practice. A critical aspect of any molecular detection technology with translational and clinical potential is robustness and reproducibility. To understand how stable our measurement process was, we tested the durability of our flow cell with a loaded protein library to ensure that proteins remained present on the surface over multiple cycles in a proteome analysis system run. In our studies evaluating stability over numerous cycles, we observed substantially less than 1% of proteins were lost from the flow cell. To examine both the effectiveness of our wash buffer and the ability of proteins to be probed after being washed, we first examined the detection ability of the protein on a first cycle. We next demonstrated that our wash buffer successfully eliminated remaining signal. Last, we demonstrated that after extended exposure to washing, and rinsing, that the protein detection remained nearly identical to the initial measurement. These results suggest that our wash conditions are highly effective and that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31445"/>
                <wp:effectExtent l="0" t="0" r="0" b="0"/>
                <wp:wrapNone/>
                <wp:docPr id="33" name="Frame21"/>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21</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process of reagent cycling does not significantly damage the protein and thereby interfere with the probability of its measurement accuracy. </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Protein Library Remains Bound to Flow Cell During Repetitive Affinity Reagent Probe Binding and Wash Cycles</w:t>
      </w:r>
    </w:p>
    <w:p>
      <w:pPr>
        <w:pStyle w:val="TextBody"/>
        <w:bidi w:val="0"/>
        <w:spacing w:before="0" w:after="180"/>
        <w:jc w:val="center"/>
        <w:rPr/>
      </w:pPr>
      <w:r>
        <w:rPr/>
        <w:drawing>
          <wp:inline distT="0" distB="0" distL="0" distR="0">
            <wp:extent cx="6210300" cy="3133725"/>
            <wp:effectExtent l="0" t="0" r="0" b="0"/>
            <wp:docPr id="34"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13" descr=""/>
                    <pic:cNvPicPr>
                      <a:picLocks noChangeAspect="1" noChangeArrowheads="1"/>
                    </pic:cNvPicPr>
                  </pic:nvPicPr>
                  <pic:blipFill>
                    <a:blip r:embed="rId14"/>
                    <a:stretch>
                      <a:fillRect/>
                    </a:stretch>
                  </pic:blipFill>
                  <pic:spPr bwMode="auto">
                    <a:xfrm>
                      <a:off x="0" y="0"/>
                      <a:ext cx="6210300" cy="3133725"/>
                    </a:xfrm>
                    <a:prstGeom prst="rect">
                      <a:avLst/>
                    </a:prstGeom>
                  </pic:spPr>
                </pic:pic>
              </a:graphicData>
            </a:graphic>
          </wp:inline>
        </w:drawing>
      </w:r>
    </w:p>
    <w:p>
      <w:pPr>
        <w:pStyle w:val="TextBody"/>
        <w:bidi w:val="0"/>
        <w:spacing w:lineRule="auto" w:line="288"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 xml:space="preserve">Nautilus Platform Sensitivity </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Our Nautilus platform is designed both to be extremely sensitive (by virtue of being a single protein molecule platform) and to have an extremely wide dynamic range of detection (by virtue of measuring a very large number of molecules). In single protein molecule assays, dynamic range is defined by the total number of molecules measured. Consequently, a platform measuring a million molecules will have a smaller dynamic range than a platform measuring 10-million molecules. On our Nautilus platform, we project we will be able to reach sensitivity down to 1 molecule out of 10 billion. We are also able to use this sensitivity in flexible way, for example we can perform an extremely deep analysis of a single protein library sample across all lanes of a flow cell, or we can perform a multiplexed analysis by processing a batch of samples together (each sample protein library individually barcoded) during one proteome analysis system run.</w:t>
      </w:r>
    </w:p>
    <w:p>
      <w:pPr>
        <w:pStyle w:val="TextBody"/>
        <w:bidi w:val="0"/>
        <w:spacing w:lineRule="auto" w:line="288"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Development and Characterization of Multi-Affinity Reagent Probes</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Multi-affinity reagent probe discovery and development pipelines have been built that generate multi-affinity reagent probe candidates that target short peptides, typically three amino acids in length. These pipelines employ multiple candidate discovery methods to identify and select antibody, antibody fragment, or nucleic acid based candidate multi-affinity reagent probes. Promising candidates are further screened in assays to determine EC50 values off-platform (example results for two candidate multi-affinity reagent probes shown below), and then leads are evaluated in detail for their performance on the Nautilus proteome analysis platform.</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31445"/>
                <wp:effectExtent l="0" t="0" r="0" b="0"/>
                <wp:wrapNone/>
                <wp:docPr id="35" name="Frame2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22</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Multi-Affinity Reagent Probe Discovery and Development Pipeline</w:t>
      </w:r>
    </w:p>
    <w:p>
      <w:pPr>
        <w:pStyle w:val="TextBody"/>
        <w:bidi w:val="0"/>
        <w:spacing w:before="0" w:after="180"/>
        <w:jc w:val="center"/>
        <w:rPr/>
      </w:pPr>
      <w:r>
        <w:rPr/>
        <w:drawing>
          <wp:inline distT="0" distB="0" distL="0" distR="0">
            <wp:extent cx="6286500" cy="2762250"/>
            <wp:effectExtent l="0" t="0" r="0" b="0"/>
            <wp:docPr id="36"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14" descr=""/>
                    <pic:cNvPicPr>
                      <a:picLocks noChangeAspect="1" noChangeArrowheads="1"/>
                    </pic:cNvPicPr>
                  </pic:nvPicPr>
                  <pic:blipFill>
                    <a:blip r:embed="rId15"/>
                    <a:stretch>
                      <a:fillRect/>
                    </a:stretch>
                  </pic:blipFill>
                  <pic:spPr bwMode="auto">
                    <a:xfrm>
                      <a:off x="0" y="0"/>
                      <a:ext cx="6286500" cy="2762250"/>
                    </a:xfrm>
                    <a:prstGeom prst="rect">
                      <a:avLst/>
                    </a:prstGeom>
                  </pic:spPr>
                </pic:pic>
              </a:graphicData>
            </a:graphic>
          </wp:inline>
        </w:drawing>
      </w:r>
    </w:p>
    <w:p>
      <w:pPr>
        <w:pStyle w:val="TextBody"/>
        <w:bidi w:val="0"/>
        <w:spacing w:before="0" w:after="180"/>
        <w:jc w:val="center"/>
        <w:rPr/>
      </w:pPr>
      <w:r>
        <w:rPr/>
        <w:drawing>
          <wp:inline distT="0" distB="0" distL="0" distR="0">
            <wp:extent cx="6029325" cy="1990725"/>
            <wp:effectExtent l="0" t="0" r="0" b="0"/>
            <wp:docPr id="37"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15" descr=""/>
                    <pic:cNvPicPr>
                      <a:picLocks noChangeAspect="1" noChangeArrowheads="1"/>
                    </pic:cNvPicPr>
                  </pic:nvPicPr>
                  <pic:blipFill>
                    <a:blip r:embed="rId16"/>
                    <a:stretch>
                      <a:fillRect/>
                    </a:stretch>
                  </pic:blipFill>
                  <pic:spPr bwMode="auto">
                    <a:xfrm>
                      <a:off x="0" y="0"/>
                      <a:ext cx="6029325" cy="1990725"/>
                    </a:xfrm>
                    <a:prstGeom prst="rect">
                      <a:avLst/>
                    </a:prstGeom>
                  </pic:spPr>
                </pic:pic>
              </a:graphicData>
            </a:graphic>
          </wp:inline>
        </w:drawing>
      </w:r>
    </w:p>
    <w:p>
      <w:pPr>
        <w:pStyle w:val="TextBody"/>
        <w:bidi w:val="0"/>
        <w:spacing w:lineRule="auto" w:line="288"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Mapping Proteoforms</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believe there are likely millions of different proteoforms that define cellular activity, cellular localization and biochemical function. With peptide-centric approaches (detecting only small pieces of proteins), such as “shotgun” mass spectrometry, it is simply impossible to differentiate proteoforms. Using phosphorylation as an example for a post-translational modification of a protein, consider the case of two samples as shown in the figure below. On the left, one protein sample contains a single protein molecule with a triple phosphorylation (red) and two unmodified proteins versus a second sample on the right, in which each protein molecule contains one phosphorylation each at a single different site. These two samples would likely appear identical to one another in a shotgun mass-spectrometry analysis.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31445"/>
                <wp:effectExtent l="0" t="0" r="0" b="0"/>
                <wp:wrapNone/>
                <wp:docPr id="38" name="Frame2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23</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Nautilus Platform Detection of Proteoform Patterns </w:t>
      </w:r>
    </w:p>
    <w:p>
      <w:pPr>
        <w:pStyle w:val="TextBody"/>
        <w:bidi w:val="0"/>
        <w:spacing w:before="0" w:after="180"/>
        <w:jc w:val="center"/>
        <w:rPr/>
      </w:pPr>
      <w:r>
        <w:rPr/>
        <w:drawing>
          <wp:inline distT="0" distB="0" distL="0" distR="0">
            <wp:extent cx="6515100" cy="2676525"/>
            <wp:effectExtent l="0" t="0" r="0" b="0"/>
            <wp:docPr id="39"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16" descr=""/>
                    <pic:cNvPicPr>
                      <a:picLocks noChangeAspect="1" noChangeArrowheads="1"/>
                    </pic:cNvPicPr>
                  </pic:nvPicPr>
                  <pic:blipFill>
                    <a:blip r:embed="rId17"/>
                    <a:stretch>
                      <a:fillRect/>
                    </a:stretch>
                  </pic:blipFill>
                  <pic:spPr bwMode="auto">
                    <a:xfrm>
                      <a:off x="0" y="0"/>
                      <a:ext cx="6515100" cy="2676525"/>
                    </a:xfrm>
                    <a:prstGeom prst="rect">
                      <a:avLst/>
                    </a:prstGeom>
                  </pic:spPr>
                </pic:pic>
              </a:graphicData>
            </a:graphic>
          </wp:inline>
        </w:drawing>
      </w:r>
    </w:p>
    <w:p>
      <w:pPr>
        <w:pStyle w:val="TextBody"/>
        <w:bidi w:val="0"/>
        <w:spacing w:lineRule="auto" w:line="288" w:before="0" w:after="180"/>
        <w:ind w:left="0" w:right="0" w:firstLine="360"/>
        <w:jc w:val="left"/>
        <w:rPr/>
      </w:pPr>
      <w:r>
        <w:rPr>
          <w:rFonts w:ascii="Times New Roman;sans-serif" w:hAnsi="Times New Roman;sans-serif"/>
          <w:b w:val="false"/>
          <w:color w:val="000000"/>
          <w:sz w:val="20"/>
        </w:rPr>
        <w:t>On our Nautilus platform, we are able to use existing commercially available affinity reagents to perform detailed mapping of proteoform patterns at the single protein molecule level. We do this by measuring individual proteins at each specific post-translational modification site over multiple cycles, each cycle targeting a different specific site or feature of the protein. Illustrating this concept in the diagram below, during the first cycle we use an anti Tau affinity reagent probe to identify all of the Tau proteins present on the flow cell. Then over the next 4 cycles we detect each Tau molecule again, only now with a slightly different affinity reagent probe that targets a different isoform or phosphorylation modification on the Tau protein. In this simple workflow using only 4 position-specific Tau affinity reagent probes, our technology is able to distinguish up to 16 different proteoforms (4 position-specific targets = 2</w:t>
      </w:r>
      <w:r>
        <w:rPr>
          <w:rFonts w:ascii="Times New Roman;sans-serif" w:hAnsi="Times New Roman;sans-serif"/>
          <w:b w:val="false"/>
          <w:color w:val="000000"/>
          <w:sz w:val="13"/>
        </w:rPr>
        <w:t>4</w:t>
      </w:r>
      <w:r>
        <w:rPr>
          <w:color w:val="000000"/>
        </w:rPr>
        <w:t xml:space="preserve"> </w:t>
      </w:r>
      <w:r>
        <w:rPr>
          <w:rFonts w:ascii="Times New Roman;sans-serif" w:hAnsi="Times New Roman;sans-serif"/>
          <w:b w:val="false"/>
          <w:color w:val="000000"/>
          <w:sz w:val="20"/>
        </w:rPr>
        <w:t xml:space="preserve">possible forms of Tau based on variation in protein length or site phosphorylation status). </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Workflow for the Detection of Tau Proteoform Patterns </w:t>
      </w:r>
    </w:p>
    <w:p>
      <w:pPr>
        <w:pStyle w:val="TextBody"/>
        <w:bidi w:val="0"/>
        <w:spacing w:before="0" w:after="180"/>
        <w:jc w:val="center"/>
        <w:rPr/>
      </w:pPr>
      <w:r>
        <w:rPr/>
        <w:drawing>
          <wp:inline distT="0" distB="0" distL="0" distR="0">
            <wp:extent cx="6286500" cy="3552825"/>
            <wp:effectExtent l="0" t="0" r="0" b="0"/>
            <wp:docPr id="40"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17" descr=""/>
                    <pic:cNvPicPr>
                      <a:picLocks noChangeAspect="1" noChangeArrowheads="1"/>
                    </pic:cNvPicPr>
                  </pic:nvPicPr>
                  <pic:blipFill>
                    <a:blip r:embed="rId18"/>
                    <a:stretch>
                      <a:fillRect/>
                    </a:stretch>
                  </pic:blipFill>
                  <pic:spPr bwMode="auto">
                    <a:xfrm>
                      <a:off x="0" y="0"/>
                      <a:ext cx="6286500" cy="3552825"/>
                    </a:xfrm>
                    <a:prstGeom prst="rect">
                      <a:avLst/>
                    </a:prstGeom>
                  </pic:spPr>
                </pic:pic>
              </a:graphicData>
            </a:graphic>
          </wp:inline>
        </w:drawing>
      </w:r>
    </w:p>
    <w:p>
      <w:pPr>
        <w:pStyle w:val="TextBody"/>
        <w:bidi w:val="0"/>
        <w:spacing w:lineRule="auto" w:line="288" w:before="0" w:after="180"/>
        <w:ind w:left="0" w:right="0" w:firstLine="360"/>
        <w:jc w:val="left"/>
        <w:rPr>
          <w:rFonts w:ascii="Times New Roman;sans-serif" w:hAnsi="Times New Roman;sans-serif"/>
          <w:b w:val="false"/>
          <w:i/>
          <w:color w:val="000000"/>
          <w:sz w:val="20"/>
        </w:rPr>
      </w:pPr>
      <w:r>
        <w:rPr>
          <w:rFonts w:ascii="Times New Roman;sans-serif" w:hAnsi="Times New Roman;sans-serif"/>
          <w:b w:val="false"/>
          <w:i/>
          <w:color w:val="000000"/>
          <w:sz w:val="20"/>
        </w:rPr>
        <w:t>The protein counts in the image above are for illustration purposes only.</w:t>
      </w:r>
    </w:p>
    <w:p>
      <w:pPr>
        <w:pStyle w:val="TextBody"/>
        <w:bidi w:val="0"/>
        <w:spacing w:before="0" w:after="180"/>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31445"/>
                <wp:effectExtent l="0" t="0" r="0" b="0"/>
                <wp:wrapNone/>
                <wp:docPr id="41" name="Frame2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24</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before="0" w:after="180"/>
        <w:ind w:left="0" w:right="0" w:firstLine="360"/>
        <w:jc w:val="left"/>
        <w:rPr/>
      </w:pPr>
      <w:r>
        <w:rPr/>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 xml:space="preserve">Nautilus Platform Development Plan Key Areas of Focus </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 order to commercialize our platform, we plan to advance the development of our technology across all components including chemistries, reagents, consumables, instrumentation and analysis software. The prototype of our proteome analysis system has generated all of our internal data to date, and we are continuing the development process to optimize, improve upon, and validate the final designs, formulations, protocols, manufacturing processes, and software code comprising our Nautilus platform.</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Our development plan will build upon the foundational achievements our prototype technology has made in several key areas, with the goal of ultimately allowing us to fully realize the potential of our technology. We plan to focus on the continued improvement of our flow cell designs. Having initially demonstrated that prototype versions of our flow cells can functionally achieve approximately 10 billion discrete single protein molecule landing pads per instrument run, we plan to further optimize the landing pad spacing, density, manufacturing process and chemistries of the first commercially available flow cells. We also intend to focus on the completion of the final engineering design of our proteome analysis system, where we plan to complete the development of manufacturing processes to integrate and test all completed sub-systems including the high-speed optical subsystem, fluorophore excitation laser, and micro-fluidics system in combination with our flow cell. We also plan to continue expanding the number of affinity reagent probes and chemistries that can be used within our proteome analysis system for both broad scale proteomics quantification and target quantification of proteoforms at the single molecule level. Our aim is to create a broad portfolio of affinity reagent probes through in-house reagent development efforts and through strategic partnerships where we qualify already developed reagents for compatibility with our technology. Lastly, we intend to continue the development of our analysis software, where we expect improvements to our algorithms and analysis that will help with the speed, accuracy, and reliability of our commercial proteome analysis system performance.</w:t>
      </w:r>
    </w:p>
    <w:p>
      <w:pPr>
        <w:pStyle w:val="TextBody"/>
        <w:bidi w:val="0"/>
        <w:spacing w:before="0" w:after="180"/>
        <w:ind w:left="0" w:right="0" w:firstLine="360"/>
        <w:jc w:val="left"/>
        <w:rPr/>
      </w:pPr>
      <w:r>
        <w:rPr/>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APPLICATIONS OF OUR TECHNOLOGY</w:t>
      </w:r>
    </w:p>
    <w:p>
      <w:pPr>
        <w:pStyle w:val="TextBody"/>
        <w:bidi w:val="0"/>
        <w:spacing w:lineRule="auto" w:line="288"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The Nautilus platform technology is an open platform that is designed to leverage a wide variety of reagents to read and quantify the proteome and proteoforms</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believe that our Nautilus platform technology is designed to represent one of the first truly novel technologies for the detection and quantitation of proteins and proteoforms by leveraging the creation of our single protein molecule flow cell in combination with a broad range of affinity reagent probes. By design, our Nautilus platform technology is open to the use of virtually any affinity reagent, where each reagent can be efficiently chemically labeled and used in our multi-cycle process to identify and quantify a protein library. We further believe one of the inherent strengths of the open design of our Nautilus platform is the ability to use reagents across a range of different binding profiles to create unique applications that unlock different types of important biological information.</w:t>
      </w:r>
    </w:p>
    <w:p>
      <w:pPr>
        <w:pStyle w:val="TextBody"/>
        <w:bidi w:val="0"/>
        <w:spacing w:before="0" w:after="180"/>
        <w:jc w:val="center"/>
        <w:rPr/>
      </w:pPr>
      <w:r>
        <w:rPr/>
        <w:drawing>
          <wp:inline distT="0" distB="0" distL="0" distR="0">
            <wp:extent cx="6191250" cy="2667000"/>
            <wp:effectExtent l="0" t="0" r="0" b="0"/>
            <wp:docPr id="42"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18" descr=""/>
                    <pic:cNvPicPr>
                      <a:picLocks noChangeAspect="1" noChangeArrowheads="1"/>
                    </pic:cNvPicPr>
                  </pic:nvPicPr>
                  <pic:blipFill>
                    <a:blip r:embed="rId19"/>
                    <a:stretch>
                      <a:fillRect/>
                    </a:stretch>
                  </pic:blipFill>
                  <pic:spPr bwMode="auto">
                    <a:xfrm>
                      <a:off x="0" y="0"/>
                      <a:ext cx="6191250" cy="2667000"/>
                    </a:xfrm>
                    <a:prstGeom prst="rect">
                      <a:avLst/>
                    </a:prstGeom>
                  </pic:spPr>
                </pic:pic>
              </a:graphicData>
            </a:graphic>
          </wp:inline>
        </w:drawing>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one end of the spectrum (above left), our technology is designed to harness the power of low specificity multi-affinity reagent probes that will potentially allow us to detect substantially all of the proteome. On the other end of the spectrum (above right), we believe we can apply high specificity affinity reagent probes that detect and quantify individual target proteins of interest, and the post-translational modifications of these target proteins to detect and quantify the various proteoforms that may exist. We believe it is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31445"/>
                <wp:effectExtent l="0" t="0" r="0" b="0"/>
                <wp:wrapNone/>
                <wp:docPr id="43" name="Frame2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25</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this inherent flexibility of reagent applications on our Nautilus platform that will enable a broad suite of uses across research, discovery, translational and clinical applications. Because of this inherent flexibility, we also believe our Nautilus platform will spark the creation of new and unforeseen applications, in a similar market expansion and innovation trend that was experienced in the years following the launch of open and flexible NGS platform technologies. </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open nature of the Nautilus platform creates the opportunity to partner with third-parties on the development and supply of affinity reagent probes for use on our instrument.</w:t>
      </w:r>
    </w:p>
    <w:p>
      <w:pPr>
        <w:pStyle w:val="TextBody"/>
        <w:bidi w:val="0"/>
        <w:spacing w:lineRule="auto" w:line="288"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Basic Research and Discovery Applications</w:t>
      </w:r>
    </w:p>
    <w:p>
      <w:pPr>
        <w:pStyle w:val="TextBody"/>
        <w:bidi w:val="0"/>
        <w:spacing w:lineRule="auto" w:line="288" w:before="0" w:after="180"/>
        <w:ind w:left="0" w:right="0" w:firstLine="360"/>
        <w:jc w:val="left"/>
        <w:rPr>
          <w:rFonts w:ascii="Times New Roman;sans-serif" w:hAnsi="Times New Roman;sans-serif"/>
          <w:b w:val="false"/>
          <w:i/>
          <w:color w:val="000000"/>
          <w:sz w:val="20"/>
        </w:rPr>
      </w:pPr>
      <w:r>
        <w:rPr>
          <w:rFonts w:ascii="Times New Roman;sans-serif" w:hAnsi="Times New Roman;sans-serif"/>
          <w:b w:val="false"/>
          <w:i/>
          <w:color w:val="000000"/>
          <w:sz w:val="20"/>
        </w:rPr>
        <w:t>The Discovery Potential of Our Nautilus Platform</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One of the long-standing challenges to accelerating the discovery and understanding of protein biological function has been the overwhelming dynamic range of proteins present in a cell or a biospecimen. We believe that a sensitivity of detecting 1 protein molecule in as little as 1,000 cells will be required to identify the exceptionally rare but biologically significant proteins in a sample. Our Nautilus platform is designed with this extreme sensitivity in mind, which we believe makes it ideally suited for capturing and cataloging the variation of the proteome in a comprehensive way, both in human and non-human species. </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Further, we believe speed, scale, and single protein molecule data quality will be required to enable research projects with aims to create new species-specific, tissue-specific, or disease-specific reference datasets that have the potential to accelerate discovery across academic and industry research communities. We believe our customers could embrace our Nautilus platform for these applications broadly. Comparatively, during the initial market adoption of NGS, as the instrumentation and methods improved in speed and data production scale, projects increased dramatically in size. Sample cohorts grew from dozens of samples to hundreds, and then to thousands in an effort to use the speed and data production capacity to improve the statistical power required to make new discoveries. We believe our Nautilus platform technology could experience a similar trajectory of utilization for research and discovery applications, making very large sample size studies that were not feasible using prior proteomic detection methods now practical for our customers to implement. </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 deeper level of detail and molecular complexity also clearly exists beyond the estimated 20,000 proteins in the human proteome, and we expect our customers to utilize proteoform specific reagents for the profiling, mapping, and characterization of post-translational modification patterns on proteins of interest. It is estimated there are as many as 6,000,000 different proteoforms produced through protein modification pathways that hold critical biological and contextual information on the function and purpose of the proteins in our cells. We believe our customers could show strong interest in this important field of research given the lack of technologies and tools in existence today capable of mapping multiple features on a single protein in one analysis workflow. We believe discovery focused proteoform specific reagents could be used in combination with our multi-affinity reagent probe broad protein detection method to enhance the output of our analyses. </w:t>
      </w:r>
    </w:p>
    <w:p>
      <w:pPr>
        <w:pStyle w:val="TextBody"/>
        <w:bidi w:val="0"/>
        <w:spacing w:lineRule="auto" w:line="288" w:before="0" w:after="180"/>
        <w:ind w:left="0" w:right="0" w:firstLine="360"/>
        <w:jc w:val="left"/>
        <w:rPr>
          <w:rFonts w:ascii="Times New Roman;sans-serif" w:hAnsi="Times New Roman;sans-serif"/>
          <w:b w:val="false"/>
          <w:i/>
          <w:color w:val="000000"/>
          <w:sz w:val="20"/>
        </w:rPr>
      </w:pPr>
      <w:r>
        <w:rPr>
          <w:rFonts w:ascii="Times New Roman;sans-serif" w:hAnsi="Times New Roman;sans-serif"/>
          <w:b w:val="false"/>
          <w:i/>
          <w:color w:val="000000"/>
          <w:sz w:val="20"/>
        </w:rPr>
        <w:t>Multi-Omic Systems Biology and Proteogenomics</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believe the creation of matched DNA, RNA and protein data sets for integrated multi-omic (DNA, RNA and protein) analyses will enable a more complete understanding of the path of information transfer from gene, to transcript, to protein. It is estimated that at most only 40% of protein expression can be predicted by gene expression data. Integrated multi-omic data sets are expected to have far greater potential for better understanding this discordance, its biological origin, and ultimately its impact on cell function with deeper and more complete proteomic data. We expect the creation of workflows with matched NGS and proteomic data will become standard practice in the community, further driving the utility and value of our Nautilus platform technology.</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Proteogenomics is an emerging area of research, with the goal of identifying brand new proteins or proteoforms not currently captured in the protein reference sequence. In proteogenomics, individual protein sequence databases are generated using matched transcriptomic and genomic data to aid in the identification of novel peptides and proteins detected but not yet mapped within the reference databases of known proteins. In this area of research, the integration of genomics and gene expression data enhances the predictive capability to determine what new proteins are present in a sample, and further brings functional context to genomic information and gene expression patterns. Our Nautilus platform represents an entirely new single protein molecule data source for proteogenomics, which we believe could contribute significantly to the field by increasing the scale of proteomic data accessible for these analyses, and ultimately increasing the discovery potential of the integrated dataset. Given the current level of access to genomic and transcriptomic information enabled by NGS, we believe the research community could rapidly integrate data from our Nautilus platform technology into these studies to leverage matched genomic and proteomic data.</w:t>
      </w:r>
    </w:p>
    <w:p>
      <w:pPr>
        <w:pStyle w:val="TextBody"/>
        <w:bidi w:val="0"/>
        <w:spacing w:lineRule="auto" w:line="288"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Translational Research and Discovery Applications</w:t>
      </w:r>
    </w:p>
    <w:p>
      <w:pPr>
        <w:pStyle w:val="TextBody"/>
        <w:bidi w:val="0"/>
        <w:spacing w:lineRule="auto" w:line="288" w:before="0" w:after="180"/>
        <w:ind w:left="0" w:right="0" w:firstLine="360"/>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Biomarker Discovery </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It has been published that approximately 95% of FDA-approved drug targets are proteins. The Human Protein Atlas collaborative research project identified that FDA-approved drugs are targeting up to 854 separate human proteins and that there are 4,906 genes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31445"/>
                <wp:effectExtent l="0" t="0" r="0" b="0"/>
                <wp:wrapNone/>
                <wp:docPr id="44" name="Frame2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26</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UniProt database that have experimental evidence for being involved in disease. We believe that the drug development and diagnostic industries have suffered from an inability to access the low frequency and rare proteins present in biological samples due to the tremendous dynamic range present across proteins in a specimen. As already described, we believe that our Nautilus platform technology is designed with the scale to adequately overcome the dynamic range problem in proteomics, and provide researchers with access to the rare, but biologically important protein detection where biomarkers are believed to exist. We believe our Nautilus platform’s sensitivity targeting the detection of events as rare as 1 protein molecule in 1,000 cells will be critically important and may unlock the potential for many new biomarkers to accelerate the development of precision medicine diagnostics and therapeutics.</w:t>
      </w:r>
    </w:p>
    <w:p>
      <w:pPr>
        <w:pStyle w:val="TextBody"/>
        <w:bidi w:val="0"/>
        <w:spacing w:lineRule="auto" w:line="288" w:before="0" w:after="180"/>
        <w:ind w:left="0" w:right="0" w:firstLine="360"/>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Proteoform Patterns as Biomarkers and Mechanism of Action Studies </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believe the study of proteoform patterns, proteoform frequency, and proteoform diversity of critically important drug targets will be a widely used application of our Nautilus platform. Which drugs work on specific protein drug targets is not just a result of the total number of post-translational modifications, but instead by how combinations of specific post-translational modification are operating together. Our technology is designed to enable the research community to see these proteoform patterns, and to measure their relationship to one another. Every disease is the result of a dysregulation of molecular functions that create biological consequences compared to normal healthy function. Given the inability to detect proteoform patterns today, we believe this will become an essential application of our technology used to investigate important drug targets and molecular disease pathways. We believe this application has the potential to advance precision medicine by making an entire layer of molecular complexity and information available to researchers for the first time.</w:t>
      </w:r>
    </w:p>
    <w:p>
      <w:pPr>
        <w:pStyle w:val="TextBody"/>
        <w:bidi w:val="0"/>
        <w:spacing w:lineRule="auto" w:line="288" w:before="0" w:after="180"/>
        <w:ind w:left="0" w:right="0" w:firstLine="360"/>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Longitudinal Monitoring of Proteome Dynamics </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study of proteome composition, protein and proteoform frequency, patterns, and variations over time represents an opportunity to survey and understand the biological changes resulting from environmental factors that influence our health and wellness. Individual or small panel protein surveillance tools have existed in the healthcare market for decades using traditional assay methods across a range of biospecimen, all of which have the same inherent limitations as those in the research space. Also, cell-free nucleic acid methods have emerged recently as amongst the first molecular surveillance tools in oncology for the emergence of disease progression post treatment or surgery, and may also prove to enable the detection of disease at earlier stages in some cancers where cell-free nucleic acids are present at higher levels. However, the same fundamental challenges exist in this setting. Nucleic acids are still only a proxy for measuring the biological consequences of the functional proteins, and further the sensitivity needed to find early-onset molecular features of disease before it presents clinically is incredibly high. We believe the routine surveillance of proteins at sufficient breadth and depth to capture even the exceptionally low-frequency changes will be a key area of interest in the future. This application has implications across not only oncology, but across virtually any human disease where the molecular underpinnings driving that disease may one day be revealed and then tracked to identify that disease earlier, measure the response to treatments, and create a comprehensive and dynamic view of our overall molecular health.</w:t>
      </w:r>
    </w:p>
    <w:p>
      <w:pPr>
        <w:pStyle w:val="TextBody"/>
        <w:bidi w:val="0"/>
        <w:spacing w:lineRule="auto" w:line="288"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Diagnostics, Clinical Research and Drug Development Applications</w:t>
      </w:r>
    </w:p>
    <w:p>
      <w:pPr>
        <w:pStyle w:val="TextBody"/>
        <w:bidi w:val="0"/>
        <w:spacing w:lineRule="auto" w:line="288" w:before="0" w:after="180"/>
        <w:ind w:left="0" w:right="0" w:firstLine="360"/>
        <w:jc w:val="left"/>
        <w:rPr>
          <w:rFonts w:ascii="Times New Roman;sans-serif" w:hAnsi="Times New Roman;sans-serif"/>
          <w:b w:val="false"/>
          <w:i/>
          <w:color w:val="000000"/>
          <w:sz w:val="20"/>
        </w:rPr>
      </w:pPr>
      <w:r>
        <w:rPr>
          <w:rFonts w:ascii="Times New Roman;sans-serif" w:hAnsi="Times New Roman;sans-serif"/>
          <w:b w:val="false"/>
          <w:i/>
          <w:color w:val="000000"/>
          <w:sz w:val="20"/>
        </w:rPr>
        <w:t>Transitioning from Discovery into Clinical Application</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believe one of the largest and most impactful applications for our technology in the future will be the development of diagnostics that leverage the sensitivity, speed, stability, and ease of use we are designing our system to achieve. Significant technical and practical barriers have existed with prior high-throughput proteomic technologies preventing them from accessing the clinic. Despite advances in sample preparation methods, we believe the detection of enriched and modified protein samples by mass spectrometry will continue to experience challenges in the effort to transition to the clinic. We believe our novel protein detection method embodies the performance characteristics and design criteria that will be desirable for clinical applications. We further believe there will be opportunities to identify and develop content for proteomic clinical diagnostic tools as a result of the more direct nature of measuring the individual proteins at the source of biological function, as opposed to inferring biological function from genomic or gene expression measurements.</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also believe there will be an opportunity to leverage the proteoform pattern detection methods established in a translational research setting into the development of clinical tests in the future. We expect that once our technology is validated in a translational research setting for the identification of proteoform patterns which are themselves biomarkers of disease, we could potentially be in the position of being the only technology capable of physically detecting such patterns. We believe this presents an opportunity to use our Nautilus platform to continue to advance these applications and methods of proteoform pattern biomarker detection from discovery all the way through to future diagnostic using our technology. As we work to build evidence with our customers and partners on the utility of new proteoform patterns as translational and clinical biomarkers, we believe such applications of our Nautilus platform could have a profound impact on precision medicine.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31445"/>
                <wp:effectExtent l="0" t="0" r="0" b="0"/>
                <wp:wrapNone/>
                <wp:docPr id="45" name="Frame2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27</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ind w:left="0" w:right="0" w:firstLine="360"/>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Precision Medicine Development &amp; Clinical Trial Support </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believe there is tremendous demand for broad scale proteomic data across the continuum of preclinical and clinical drug development. Starting at the earliest stages of therapeutic asset development, the ability to strategically inform and prioritize experimental compounds with deep proteomic data will provide a much more comprehensive view of cellular responses and resistance mechanisms. This data may also create a new perspective on how to modify experimental therapies to interact with molecular pathways in much more specific and intentional ways. We believe these types of applications present a very compelling use-case for our Nautilus platform.</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first expect adoption of our Nautilus platform could occur in the preclinical and clinical retrospective settings, where we believe single-molecule proteomic and proteoform composition and frequency will become essential tools in building a more complete picture of how experimental medicines are interacting in complex molecular pathways. Each individual tissue type offers its own unique profile of expressed proteins and functions, where advances in proteomic data breadth and depth may elucidate how and where a compound is interacting within these different cell types. We also believe this type of comprehensive proteomic analysis could become an important tool for improving our understanding of drug toxicities, metabolism and distribution. For this application, our technology has the potential to substantially improve visibility to the entire landscape of drug-target interactions, and consequently may help to improve the probability of creating strong therapeutic responses while minimizing detrimental or off-target effects. As these new insights become available, we further believe our customers may engage in very large-scale studies to catalog the frequency of target proteins and proteomic patterns across large and diverse biobanks that represent the intent to treat populations of interest, which will help inform and prioritize the development strategy and the potential impact of their experimental therapy pipelines.</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believe that as these advances in the application of large-scale proteomic data are realized in preclinical and retrospective settings, a natural transition will occur where our customers and partners will seek to apply their learnings in prospective settings. In the prospective clinical development environment, we believe the same design features which make our Nautilus platform desirable in a research setting can be fully realized. Prior proteomic profiling technologies have struggled to make an impact in prospective clinical settings due to a lack of run-to-run data reproducibility, slow turn-around-time, and overall complexity of practical implementation. We believe our Nautilus platform design is ideally suited for the quality, stability, and speed required to fully realize the value of accessing deep proteomic profiling data to identify biomarkers that stratify patients for clinical trials and improve drug development.</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OUR PRODUCTS</w:t>
      </w:r>
    </w:p>
    <w:p>
      <w:pPr>
        <w:pStyle w:val="TextBody"/>
        <w:bidi w:val="0"/>
        <w:spacing w:lineRule="auto" w:line="288"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Overview</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Our primary business model is anticipated to be focused on the commercialization of our Nautilus platform through the sale of instrumentation, reagent consumables, and software. Our proteome analysis system is our detection instrument at the center of our product suite, supported by reagent consumables for the preparation and analysis of proteins, and followed by sophisticated machine learning software architecture for the analysis and reporting of our data in the cloud.</w:t>
      </w:r>
    </w:p>
    <w:p>
      <w:pPr>
        <w:pStyle w:val="TextBody"/>
        <w:bidi w:val="0"/>
        <w:spacing w:lineRule="auto" w:line="288"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Proteome Analysis System</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Our proteome analysis system is a high-resolution optical imaging system coupled with integrated fluidics and liquid handling sub-systems. The system is designed to deposit protein libraries onto a flow cell and to process labeled multi-affinity reagent probe binding and imaging cycles rapidly in order to decode and quantify the vast majority of proteins present in biological samples. After the reagent kits, samples (protein libraries), and flow cells are loaded onto the system, the remainder of the workflow is automated.</w:t>
      </w:r>
    </w:p>
    <w:p>
      <w:pPr>
        <w:pStyle w:val="TextBody"/>
        <w:bidi w:val="0"/>
        <w:spacing w:lineRule="auto" w:line="288"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Reagent Kits</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System run reagent kits are comprised of four main components: sample preparation, flow cell(s), multi-affinity reagent probes, and instrument buffers used to perform multi-cycle analysis runs.</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Our proprietary sample preparation kits will be designed for the isolation and preparation of a library of proteins from a variety of input materials including cell cultures, tissues and biospecimen. The library preparation includes an automatable workflow consisting of chemically labeling target proteins and attaching them to a scaffold used to deposit proteins on our flow cell. Given the breadth and depth of data output capability planned for our proteome analysis system, it is not expected that additional protein sample enrichment, enhancement or pre-treatments of samples will be required for processing, however we do intend to be compatible with such pre-treated samples. We also expect our customers and partners may wish to design their own custom process to target specific proteins prior to creating a library with them, and we intend to ensure our kits will be compatible with pre-treated or enriched protein samples. Our protein library preparation process is designed to be simple, efficient, and robust, all features which are expected to allow for easy automated processing for high throughput applications.</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an effort to provide maximum flexibility, our initial flow cell design includes four physically separated and independent fluid channels, or “lanes,” such that a customer can introduce a unique biological sample in to each lane for multi-cycle analysis. Our proteome analysis system is designed to hold and concurrently analyze up to three flow cells in a single system run, for a total of 12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31445"/>
                <wp:effectExtent l="0" t="0" r="0" b="0"/>
                <wp:wrapNone/>
                <wp:docPr id="46" name="Frame2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28</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lanes. Additional sample throughput may also be achieved by the use of a molecular barcode in our reagent kits that will enable the multiplexing of more than one barcoded sample library together within a single lane for analysis in the future.</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Affinity reagent probes will also be included as a reagent kit. Kits will be offered in configurations that cover a catalog of proteomic content. We intend to supply a standardized set of multi-affinity reagent probes for the broad-scale detection of proteins, or “proteome kits,” as well as protein-specific or proteoform-specific kits, or “targeted proteoform kits,” focused on high interest protein targets in key disease areas. Additionally, custom affinity reagent probe labeling kits are expected to be supplied in the future to enable customers to label their own in-house developed or purchased affinity reagents to be compatible with Nautilus workflows for use on the system.</w:t>
      </w:r>
    </w:p>
    <w:p>
      <w:pPr>
        <w:pStyle w:val="TextBody"/>
        <w:bidi w:val="0"/>
        <w:spacing w:lineRule="auto" w:line="288"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Software &amp; Analysis</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Our machine learning analysis software suite also is expected to be utilized as the analysis engine to decode the proteome system raw data into protein identifications and counts. Our software is expected to be a SaaS based service, utilizing Nautilus’ machine learning computational algorithms required to identify and quantify the proteins or proteoforms present in a sample run on the system. Our software is a learning and evolving system, which we are designing to improve in accuracy over time as the multi-affinity reagent probe binding profiles are refined and trained across a growing database. We expect our software enhancements in performance will also be accessible to customers who wish to re-analyze prior run data with later versions to deliver new insight and discovery value.</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SALES &amp; MARKETING</w:t>
      </w:r>
    </w:p>
    <w:p>
      <w:pPr>
        <w:pStyle w:val="TextBody"/>
        <w:bidi w:val="0"/>
        <w:spacing w:lineRule="auto" w:line="288"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Commercial Strategy</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primary business model we intend to implement is to directly commercialize our entire end-to-end Nautilus platform technology solution through the sale and installation of our proteome analysis system at customer sites; the ongoing sale of consumables covering a broad suite of applications run on our system; a SaaS analytics and insights software subscription to capture long term value created by our machine learning-based analysis enhancements; and a service warranty plan to maintain our install base and support our customers in the field. We believe a comprehensive solution could offer a compelling value proposition across multiple market segments due to the substantial enhancements it will create in speed and scale of data creation, single protein molecule quantitation, sensitivity, and reproducibility. </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initially intend to target customers with a history of strong focus in proteomic research, and a substantial annual research budget allocation for proteomics technologies and proteomic data. We expect many of our customers will already have access to existing proteomic or genomic analysis capabilities including a segment of the greater than 16,000 system install base of mass spectrometry detection systems. Our early customers are expected to span laboratories focused on basic and translational research in large pharma and biotech research groups, academia, and large-scale commercial and academic multi-omics research laboratories. As our Nautilus platform becomes established in these customer segments, we further intend to expand our commercialization into clinical settings, where our target customers are expected to include pharma and biotech clinical development groups, contract research organizations, and ultimately, diagnostic laboratories. </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Our proteome analysis system is expected to be priced in-line with mass spectrometry peptide detection equipment, or high-throughput NGS equipment, making the capital expense for our system within the budget for our initial customers. Our consumables are expected be priced at a level that provides comparable market value for full proteome analysis. The use of multiplexed run configurations will continue to grow over time, which we believe will help to reduce our costs and the price-per-sample of our reagent kits such that we are able to support customers with very high-throughput applications of our systems. We expect these high-throughput run configurations and economics to accelerate the initiation of large-scale proteomics and multi-omics research projects, and also to be much more compatible with centralized core lab facility operations with requirements for proteomic data generation that can support an entire organization or user base.</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Because we believe our unique approach to protein and proteoform detection is a significant deviation from any prior method, we believe it is critical to provide the market with peer reviewed publications describing our technology and its performance capabilities, and to demonstrate its ability to deliver new biological insight. Our publication strategy is a key component of our overall go-to-market plan, and we expect to spend considerable time and resources building these fundamental proof-sources to accelerate adoption of our proteome analysis system. We further believe that once our proteome analysis system is launched, key performance indicators of our success would include publications and references to our platform technology. We intend to track this closely, and we expect to invest both internally and externally to accelerate the pace of new research and publications leveraging our Nautilus platform pre- and post- proteome analysis system launch.</w:t>
      </w:r>
    </w:p>
    <w:p>
      <w:pPr>
        <w:pStyle w:val="TextBody"/>
        <w:bidi w:val="0"/>
        <w:spacing w:lineRule="auto" w:line="288"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Go-To-Market Strategy</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expect our proteome analysis system technology will be highly disruptive to the current proteomics technology and market landscape, and as a result, we have designed our go-to-market plan with a strategy that combines elements of highly successful mass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31445"/>
                <wp:effectExtent l="0" t="0" r="0" b="0"/>
                <wp:wrapNone/>
                <wp:docPr id="47" name="Frame2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29</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spectrometry and NGS platform technology introductions and commercialization. We also believe that engaging with the market early is a critically important activity in building confidence and awareness of our technology and its capabilities. </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Our planned go-to-market strategy is organized into 3 phases:</w:t>
      </w:r>
    </w:p>
    <w:p>
      <w:pPr>
        <w:pStyle w:val="TextBody"/>
        <w:bidi w:val="0"/>
        <w:spacing w:lineRule="auto" w:line="288" w:before="0" w:after="18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1)Collaborations &amp; Partnerships </w:t>
      </w:r>
    </w:p>
    <w:p>
      <w:pPr>
        <w:pStyle w:val="TextBody"/>
        <w:bidi w:val="0"/>
        <w:spacing w:lineRule="auto" w:line="288" w:before="0" w:after="18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2)Early Access Program </w:t>
      </w:r>
    </w:p>
    <w:p>
      <w:pPr>
        <w:pStyle w:val="TextBody"/>
        <w:bidi w:val="0"/>
        <w:spacing w:lineRule="auto" w:line="288" w:before="0" w:after="18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3)Proteome Analysis System Launch &amp; Commercial Scale Up</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have mapped the phases of our go-to-market strategy against specific technology development milestones which we believe will allow us to build the value proposition of our technology early, and to grow it in conjunction with our Nautilus platform enhancements over time. Our strategy to utilize our Nautilus platform early in its formal development cycle through partnerships is an important component, and in part can be attributed to the inherent flexibility we have to employ commercially available reagents for targeted applications of single-molecule proteomics that drive new and significant discovery value. Further, as we advance from low-cycle targeted applications towards longer runs with increasing data output, we believe each of the milestones on our development plan are potentially new and unprecedented advancements we can leverage to build commercial momentum.</w:t>
      </w:r>
    </w:p>
    <w:p>
      <w:pPr>
        <w:pStyle w:val="TextBody"/>
        <w:bidi w:val="0"/>
        <w:spacing w:lineRule="auto" w:line="288" w:before="0" w:after="180"/>
        <w:ind w:left="0" w:right="0" w:firstLine="360"/>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Collaborations &amp; Partnerships </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believe that directly engaging our future customers early, well before system launch, will have the potential to be a very important differentiator to raise awareness of our platform technology as it matures throughout the formal development process, and to build credibility as we educate the community on our scientific approach. We believe the most effective way to engage our future customers now is through research collaborations, with the primary purpose of driving new and meaningful biological insights while demonstrating our technology’s performance, unique characteristics, and capabilities. We continue to maintain a formal program for identifying collaborative research partners and establishing new relationships in specific research areas where we wish to generate data and publications highlighting the value of single-molecule proteomics. We also believe we can use these collaborations to improve the performance characteristics of our technology during development, and we can shape the system and run parameters to more precisely meet our customer’s needs. We further intend to target projects within these engagements that will help to define and validate our first launched product applications, which we expect will further aid in the rapid adoption of such applications once directly commercialized as products.</w:t>
      </w:r>
    </w:p>
    <w:p>
      <w:pPr>
        <w:pStyle w:val="TextBody"/>
        <w:bidi w:val="0"/>
        <w:spacing w:lineRule="auto" w:line="288" w:before="0" w:after="180"/>
        <w:ind w:left="0" w:right="0" w:firstLine="360"/>
        <w:jc w:val="left"/>
        <w:rPr>
          <w:rFonts w:ascii="Times New Roman;sans-serif" w:hAnsi="Times New Roman;sans-serif"/>
          <w:b w:val="false"/>
          <w:i/>
          <w:color w:val="000000"/>
          <w:sz w:val="20"/>
        </w:rPr>
      </w:pPr>
      <w:r>
        <w:rPr>
          <w:rFonts w:ascii="Times New Roman;sans-serif" w:hAnsi="Times New Roman;sans-serif"/>
          <w:b w:val="false"/>
          <w:i/>
          <w:color w:val="000000"/>
          <w:sz w:val="20"/>
        </w:rPr>
        <w:t>Early Access Program</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Following the important Collaboration and Partnership work necessary to lay a foundation of publications describing our technology and the initial product applications, we believe we will have a body of scientific evidence sufficient to start building demand for our technology and the single-molecule proteomic data it generates. We then intend to initiate our pre-sales activities, which include the launch of an Early Access Program comprised of a service offering that will generate data on customer biological samples using our prototype systems run by Nautilus staff in our facilities. Using this Early Access Program, we intend to begin building a pipeline of customer engagements, supporting their evaluations of our technology through proof of concept and pilot studies, and giving them access to our data to begin establishing interest in our proteome analysis system leading up to launch. </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further intend to build on the momentum of our Early Access Program by expanding it to include a small group of target customers to evaluate of our first generation proteome analysis system on site at their facilities. Our goal in the planned proteome analysis system Early Access Program is to establish this influential group of customers as reference sites ahead of our broader commercial launch, and to integrate the learnings from our system performance outside of our own laboratories to improve the performance and robustness of our system and process design. </w:t>
      </w:r>
    </w:p>
    <w:p>
      <w:pPr>
        <w:pStyle w:val="TextBody"/>
        <w:bidi w:val="0"/>
        <w:spacing w:lineRule="auto" w:line="288" w:before="0" w:after="180"/>
        <w:ind w:left="0" w:right="0" w:firstLine="360"/>
        <w:jc w:val="left"/>
        <w:rPr>
          <w:rFonts w:ascii="Times New Roman;sans-serif" w:hAnsi="Times New Roman;sans-serif"/>
          <w:b w:val="false"/>
          <w:i/>
          <w:color w:val="000000"/>
          <w:sz w:val="20"/>
        </w:rPr>
      </w:pPr>
      <w:r>
        <w:rPr>
          <w:rFonts w:ascii="Times New Roman;sans-serif" w:hAnsi="Times New Roman;sans-serif"/>
          <w:b w:val="false"/>
          <w:i/>
          <w:color w:val="000000"/>
          <w:sz w:val="20"/>
        </w:rPr>
        <w:t>Proteome Analysis System Launch and Commercial Scale Up</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At full commercial proteome analysis system launch, we expect to continue offering our Proteomic Data Early Access Program, and to maintain the laboratory services to continue supporting proof of concept and pilot projects for an extended period of time to continue building our sales funnel. Our proteome analysis system launch is expected to be coupled with a substantial scale up of our commercial sales and marketing workforce. We intend to employ a “land and expand” sales model to promote high value cutting edge technology adoption, where we will first establish a presence in key accounts across our customer demographics, then work to broaden and expand our value and contributions across those key account organizations while concurrently growing our customer base through an increasing salesforce. We expect to commercialize directly in the United States, and in the future to expand commercial operations to the Asia Pacific and European regions. Following our initial proteome analysis system commercial launch, we expect future system upgrades and enhancements periodically over time that will further drive discovery potential and our business with each incremental advancement.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31445"/>
                <wp:effectExtent l="0" t="0" r="0" b="0"/>
                <wp:wrapNone/>
                <wp:docPr id="48" name="Frame30"/>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30</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Our planned commercialization strategy and technology are designed to offer a highly differentiated and defensible position in the market we intend to capitalize on. We believe we will have significant competitive advantages if we are able to execute on the following opportunities:</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 xml:space="preserve">Being first to market with a novel protein and proteoform detection platform; </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Demonstrating the ability to unlock new sources of primary biological information with proteoform mapping and rare protein detection;</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Providing immense data production capacity, driving discovery by enabling large scale studies and building our database to become a strategic asset;</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 xml:space="preserve">Implementing a proven commercial model with an efficient direct salesforce; and </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Expanding our impact in translational research for clinical applications, precision medicine and diagnostics.</w:t>
      </w:r>
    </w:p>
    <w:p>
      <w:pPr>
        <w:pStyle w:val="TextBody"/>
        <w:bidi w:val="0"/>
        <w:spacing w:lineRule="auto" w:line="288"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Partnerships</w:t>
      </w:r>
    </w:p>
    <w:p>
      <w:pPr>
        <w:pStyle w:val="TextBody"/>
        <w:bidi w:val="0"/>
        <w:spacing w:lineRule="auto" w:line="288" w:before="0" w:after="180"/>
        <w:ind w:left="0" w:right="0" w:firstLine="360"/>
        <w:jc w:val="left"/>
        <w:rPr/>
      </w:pPr>
      <w:r>
        <w:rPr>
          <w:rFonts w:ascii="Times New Roman;sans-serif" w:hAnsi="Times New Roman;sans-serif"/>
          <w:b w:val="false"/>
          <w:color w:val="000000"/>
          <w:sz w:val="20"/>
        </w:rPr>
        <w:t xml:space="preserve">In December of 2020, we signed a research collaboration agreement with Genentech to engage in a pilot study using our technology to investigate proteoforms of the Tau protein, an important biomarker of neurodegenerative disease. In October 2021, we entered into a research collaboration agreement with Amgen in which the Nautilus platform may be used across a number of projects to investigate proteins and proteoforms of interest to the both organizations. In October 2021, we </w:t>
      </w:r>
      <w:r>
        <w:rPr>
          <w:rFonts w:ascii="Times New Roman;sans-serif" w:hAnsi="Times New Roman;sans-serif"/>
          <w:b w:val="false"/>
          <w:color w:val="000000"/>
          <w:sz w:val="20"/>
          <w:shd w:fill="FFFFFF" w:val="clear"/>
        </w:rPr>
        <w:t>signed a research agreement with The University of Texas MD Anderson Cancer Center. And, in February of 2025, we entered into a research collaboration with The Buck Institute for Research on Aging where</w:t>
      </w:r>
      <w:r>
        <w:rPr>
          <w:color w:val="000000"/>
        </w:rPr>
        <w:t xml:space="preserve"> </w:t>
      </w:r>
      <w:r>
        <w:rPr>
          <w:rFonts w:ascii="Times New Roman;sans-serif" w:hAnsi="Times New Roman;sans-serif"/>
          <w:b w:val="false"/>
          <w:color w:val="000000"/>
          <w:sz w:val="20"/>
        </w:rPr>
        <w:t>the Nautilus platform may be used across a number of projects focused both on proteoform analysis of the Tau protein, as well as new projects and analysis methods exploring other platform applications.</w:t>
      </w:r>
      <w:r>
        <w:rPr>
          <w:color w:val="000000"/>
          <w:shd w:fill="FFFFFF" w:val="clear"/>
        </w:rPr>
        <w:t xml:space="preserve"> </w:t>
      </w:r>
      <w:r>
        <w:rPr>
          <w:rFonts w:ascii="Times New Roman;sans-serif" w:hAnsi="Times New Roman;sans-serif"/>
          <w:b w:val="false"/>
          <w:color w:val="000000"/>
          <w:sz w:val="20"/>
          <w:shd w:fill="FFFFFF" w:val="clear"/>
        </w:rPr>
        <w:t>All of the above research collaborations are</w:t>
      </w:r>
      <w:r>
        <w:rPr>
          <w:color w:val="000000"/>
        </w:rPr>
        <w:t xml:space="preserve"> </w:t>
      </w:r>
      <w:r>
        <w:rPr>
          <w:rFonts w:ascii="Times New Roman;sans-serif" w:hAnsi="Times New Roman;sans-serif"/>
          <w:b w:val="false"/>
          <w:color w:val="000000"/>
          <w:sz w:val="20"/>
        </w:rPr>
        <w:t>consistent with our objectives in Phase I of our commercial go-to-market strategy to establish external collaborations and relationships that produce data and publications exploring the utility and strengths of our Nautilus platform technology.</w:t>
      </w:r>
    </w:p>
    <w:p>
      <w:pPr>
        <w:pStyle w:val="TextBody"/>
        <w:bidi w:val="0"/>
        <w:spacing w:lineRule="auto" w:line="288"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Commercial Organization</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plan to build out a world-class commercial organization, focused on delivering value and support through every stage of the sales cycle. Our company is driven by the advancement of science and the improvement of human health, and we anticipate our commercial organization to be scientifically oriented to align with the goals and objectives of our customers. We believe strongly in building an exceptional support infrastructure, which we believe will be particularly important for our customers given the scale and novelty of data we anticipate our systems will provide. We aim to build long-term loyalty with our customers by enhancing their individual research programs, enabling their successes, and driving growth within their organizations through their successful use of our technologies. </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MANUFACTURING AND SUPPLY</w:t>
      </w:r>
    </w:p>
    <w:p>
      <w:pPr>
        <w:pStyle w:val="TextBody"/>
        <w:bidi w:val="0"/>
        <w:spacing w:lineRule="auto" w:line="288"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Reagent and Flow Cell Consumables</w:t>
      </w:r>
    </w:p>
    <w:p>
      <w:pPr>
        <w:pStyle w:val="TextBody"/>
        <w:bidi w:val="0"/>
        <w:spacing w:lineRule="auto" w:line="288" w:before="0" w:after="180"/>
        <w:ind w:left="0" w:right="0" w:firstLine="360"/>
        <w:jc w:val="left"/>
        <w:rPr/>
      </w:pPr>
      <w:r>
        <w:rPr>
          <w:rFonts w:ascii="Times New Roman;sans-serif" w:hAnsi="Times New Roman;sans-serif"/>
          <w:b w:val="false"/>
          <w:color w:val="000000"/>
          <w:sz w:val="20"/>
        </w:rPr>
        <w:t>We have designed and sourced our consumables primarily from third-party suppliers. While some of these components are sourced from a single supplier, we have qualified second sources for several of our critical reagents. We currently source base nanoarray chips and flow cell components, sample preparation and assay reagents. We believe that our suppliers have sufficient capacity to meet our near-term development needs through to commercialization. We believe it may be advantageous to have multiple sources for our consumable components and reagents in the future, to help reduce the risk of production delays or quality issues that may cause a disruption to our development timelines or pre-commercial activities. For further discussion of the risks relating to our third-party suppliers, see the section titled “</w:t>
      </w:r>
      <w:r>
        <w:rPr>
          <w:rFonts w:ascii="Times New Roman;sans-serif" w:hAnsi="Times New Roman;sans-serif"/>
          <w:b w:val="false"/>
          <w:i/>
          <w:color w:val="000000"/>
          <w:sz w:val="20"/>
        </w:rPr>
        <w:t>Risk Factors— Risks Related to our Business.</w:t>
      </w:r>
      <w:r>
        <w:rPr>
          <w:color w:val="000000"/>
        </w:rPr>
        <w:t>”</w:t>
      </w:r>
    </w:p>
    <w:p>
      <w:pPr>
        <w:pStyle w:val="TextBody"/>
        <w:bidi w:val="0"/>
        <w:spacing w:lineRule="auto" w:line="288"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Instrumentation</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Our proteome analysis system instrumentation automates the Nautilus assay chemistry concurrent with rapid optical imaging of the flow cell. The current system is an early-stage design, used for optimization of the function and design of each component. We currently source components for our systems from external manufacturers and assemble them in-house at our San Carlos, CA facility or at our manufacturing partner facilities. Once development is completed, we will determine the most appropriate path for high volume production. This may consist of a process developed by contract manufacturing of major system components with final assembly and testing in-house, or fully outsourced production, or some combination of both.</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COMPETITION</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life sciences market is highly competitive. There are other companies, both established and early-stage, that have indicated that they are designing, manufacturing and marketing products for, among other things, multiplexed or high-throughput proteomic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31445"/>
                <wp:effectExtent l="0" t="0" r="0" b="0"/>
                <wp:wrapNone/>
                <wp:docPr id="49" name="Frame31"/>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31</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pPr>
      <w:r>
        <w:rPr>
          <w:rFonts w:ascii="Times New Roman;sans-serif" w:hAnsi="Times New Roman;sans-serif"/>
          <w:b w:val="false"/>
          <w:color w:val="000000"/>
          <w:sz w:val="20"/>
        </w:rPr>
        <w:t>analysis. Nautilus currently competes with technology and diagnostic companies that supply components, products, and services to customers engaged in proteomics analysis. Major competitors include Thermo Fisher Scientific (including Olink); Bruker Corporation; Agilent Technologies; Danaher (SCIEX); Becton, Dickinson and Company; Quanterix; Standard Biotools (formerly known as Somalogic</w:t>
      </w:r>
      <w:r>
        <w:rPr>
          <w:rFonts w:ascii="Times New Roman;sans-serif" w:hAnsi="Times New Roman;sans-serif"/>
          <w:b w:val="false"/>
          <w:color w:val="000000"/>
          <w:sz w:val="20"/>
          <w:shd w:fill="FFFFFF" w:val="clear"/>
        </w:rPr>
        <w:t>)</w:t>
      </w:r>
      <w:r>
        <w:rPr>
          <w:rFonts w:ascii="Times New Roman;sans-serif" w:hAnsi="Times New Roman;sans-serif"/>
          <w:b w:val="false"/>
          <w:color w:val="000000"/>
          <w:sz w:val="20"/>
        </w:rPr>
        <w:t xml:space="preserve">. Nautilus also competes with a number of emerging companies that are developing proteomic products and solutions. Some of these companies may be further along in their commercial and operating plans than we are, including actively commercializing products and growing established marketing and sales forces. Other competitors are earlier than us, and in the process of developing their technologies for the life sciences market which may lead to products that rival or replace our products. </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However, we believe we are substantially differentiated from our competitors for many reasons, including our novel approach to high throughput and massively parallel proteomic technology, the unique and proprietary nature of our technologies, the novel detail of protein modification mapping our platform can achieve, our rigorous product development processes and quality of science, our multidisciplinary teams, and our access to an immediate growing market with opportunities to expand into adjacent translational and clinical markets. We believe our customers will favor our products and company because of these differentiators.</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GOVERNMENT REGULATION</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development, testing, manufacturing, marketing, post-market surveillance, distribution, advertising and labeling of certain medical devices are subject to regulation in the United States by the Center for Devices and Radiological Health of the U.S. Food and Drug Administration (“FDA”) under the Federal Food, Drug, and Cosmetic Act (“FDC Act”) and comparable state and international agencies. FDA defines a medical device as an instrument, apparatus, implement, machine, contrivance, implant, in vitro reagent or other similar or related article, including any component part or accessory, which is (i) intended for use in the diagnosis of disease or other conditions, or in the cure, mitigation, treatment, or prevention of disease, in man or other animals, or (ii) intended to affect the structure or any function of the body of man or other animals and which does not achieve any of its primary intended purposes through chemical action within or on the body of man or other animals and which is not dependent upon being metabolized for the achievement of any of its primary intended purposes. Medical devices to be commercially distributed in the United States must receive from the FDA either clearance of a premarket notification, known as 510(k), or premarket approval pursuant to the FDC Act prior to marketing, unless subject to an exemption. </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intend to label and sell our products for research purposes only (“RUO”) and expect to sell them to academic institutions, life sciences and research laboratories that conduct research, and biopharmaceutical and biotechnology companies for non-diagnostic and non-clinical purposes. Our products are not intended or promoted for use in clinical practice in the diagnosis of disease or other conditions, and they are labeled for research use only, not for use in diagnostic procedures. Accordingly, we believe our products, as we intend to market them, are not subject to regulation by FDA. Rather, while FDA regulations require that research use only products be labeled with – “For Research Use Only. Not for use in diagnostic procedures.” – the regulations do not subject such products to the FDA’s jurisdiction or the broader pre- and post-market controls for medical devices. </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 November 2013, the FDA issued a final guidance on products labeled RUO, which, among other things, reaffirmed that a company may not make any clinical or diagnostic claims about an RUO product, stating that merely including a labeling statement that the product is for research purposes only will not necessarily render the device exempt from the FDA’s clearance, approval, or other regulatory requirements if the totality of circumstances surrounding the distribution of the product indicates that the manufacturer knows its product is being used by customers for diagnostic uses or the manufacturer intends such a use. These circumstances may include, among other things, written or verbal marketing claims regarding a product’s performance in clinical diagnostic applications and a manufacturer’s provision of technical support for such activities. If FDA were to determine, based on the totality of circumstances, that our products labeled and marketed for RUO are intended for diagnostic purposes, they would be considered medical devices that will require clearance or approval prior to commercialization. Further, sales of devices for diagnostic purposes may subject us to additional healthcare regulation. We continue to monitor the changing legal and regulatory landscape to ensure our compliance with any applicable rules, laws and regulations.</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the future, certain of our products or related applications could become subject to regulation as medical devices by the FDA. If we wish to label and expand product lines to address the diagnosis of disease, regulation by governmental authorities in the United States and other countries will become an increasingly significant factor in development, testing, production, and marketing. Products that we may develop in the molecular diagnostic markets, depending on their intended use, may be regulated as medical devices or in vitro diagnostic products (“IVDs”) by the FDA and comparable agencies in other countries. In the U.S., if we market our products for use in performing clinical diagnostics, such products would be subject to regulation by the FDA under pre-market and post-market control as medical devices, unless an exemption applies, we would be required to obtain either prior 510(k) clearance or prior premarket approval from the FDA before commercializing the product. </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FDA classifies medical devices into one of three classes. Devices deemed to pose lower risk to the patient are placed in either class I or II, which, unless an exemption applies, requires the manufacturer to submit a pre-market notification requesting FDA clearance for commercial distribution pursuant to Section 510(k) of the FDC Act. This process, known as 510(k) clearance, requires that the manufacturer demonstrate that the device is substantially equivalent to a previously cleared and legally marketed 510(k)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31445"/>
                <wp:effectExtent l="0" t="0" r="0" b="0"/>
                <wp:wrapNone/>
                <wp:docPr id="50" name="Frame3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32</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device or a “pre-amendment” class III device for which pre-market approval applications (“PMAs”) have not been required by the FDA. This FDA review process typically takes from four to twelve months, although it can take longer. Most class I devices are exempted from this 510(k) premarket submission requirement. If no legally marketed predicate can be identified for a new device to enable the use of the 510(k) pathway, the device is automatically classified under the FDC Act as class III, which generally requires PMA approval. However, FDA can reclassify or use “de novo classification” for a device that meets the FDC Act standards for a class II device, permitting the device to be marketed without PMA approval. To grant such a reclassification, FDA must determine that the FDC Act’s general controls alone, or general controls and special controls together, are sufficient to provide a reasonable assurance of the device’s safety and effectiveness. The de novo classification route is generally less burdensome than the PMA approval process.</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Devices deemed by the FDA to pose the greatest risk, such as life-sustaining, life-supporting, or implantable devices, or those deemed not substantially equivalent to a legally marketed predicate device, are placed in class III. Class III devices typically require PMA approval. To obtain PMA approval, an applicant must demonstrate the reasonable safety and effectiveness of the device based, in part, on data obtained in clinical studies. All clinical studies of investigational medical devices to determine safety and effectiveness must be conducted in accordance with FDA’s investigational device exemption (“IDE”) regulations, including the requirement for the study sponsor to submit an IDE application to FDA, unless exempt, which must become effective prior to commencing human clinical studies. PMA reviews generally last between one and two years, although they can take longer. Both the 510(k) and the PMA processes can be expensive and lengthy and may not result in clearance or approval. If we are required to submit our products for pre-market review by the FDA, we may be required to delay marketing and commercialization while we obtain premarket clearance or approval from the FDA. There would be no assurance that we could ever obtain such clearance or approval. </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All medical devices, including IVDs, that are regulated by the FDA are also subject to the quality system regulation. Obtaining the requisite regulatory approvals, including the FDA quality system inspections that are required for PMA approval, can be expensive and may involve considerable delay. The regulatory approval process for such products may be significantly delayed, may be significantly more expensive than anticipated, and may conclude without such products being approved by the FDA. Without timely regulatory approval, we will not be able to launch or successfully commercialize such diagnostic products. Changes to the current regulatory framework, including the imposition of additional or new regulations, could arise at any time during the development or marketing of our products. This may negatively affect our ability to obtain or maintain FDA or comparable regulatory clearance or approval of our products in the future. In addition, regulatory agencies may introduce new requirements that may change the regulatory requirements for us or our customers, or both.</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noted above, although our products are currently labeled and sold for research purposes only, the regulatory requirements related to marketing, selling, and supporting such products could be uncertain and depend on the totality of circumstances. This uncertainty exists even if such use by our customers occurs without our consent. If the FDA or other regulatory authorities assert that any of our RUO products are subject to regulatory clearance or approval, our business, financial condition, or results of operations could be adversely affected. </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For example, in some cases, our customers may use our RUO products in their own laboratory-developed tests (“LDTs”) or in other FDA-regulated products for clinical diagnostic use. The FDA has historically exercised enforcement discretion in not enforcing the medical device regulations against LDTs and LDT manufacturers. However, on October 3, 2014, the FDA issued two draft guidance documents that set forth the FDA’s proposed risk-based framework for regulating LDTs, which are designed, manufactured, and used within a single laboratory. The FDA has issued warning letters to genomics labs for illegally marketing genetic tests that claim to predict patients’ responses to specific medications, noting that the FDA has not created a legal “carve-out” for LDTs and retains discretion to take action when appropriate, such as when certain genomic tests raise significant public health concerns. Legislative and administrative proposals to amend the FDA's oversight of LDTs have been introduced in recent years, including the Verifying Accurate Leading-edge IVCT Development Act of 2021 (“VALID Act”), which aims to create a new category of medical products separate from medical devices called “in vitro clinical tests,” or IVCTs, and bring all such products within the scope of the FDA’s oversight. To date, Congress has not passed the VALID Act. In May 2024, the FDA issued a final rule that phases out its enforcement discretion for most laboratory-developed tests (LDTs) and amended the FDA’s regulations to make explicit that in vitro diagnostics are medical devices under the Federal Food, Drug, and Cosmetic Act, including when the manufacturer of the diagnostic product is a laboratory. This final rule is being challenged in federal courts. </w:t>
      </w:r>
    </w:p>
    <w:p>
      <w:pPr>
        <w:pStyle w:val="TextBody"/>
        <w:bidi w:val="0"/>
        <w:spacing w:lineRule="auto" w:line="288" w:before="0" w:after="180"/>
        <w:ind w:left="0" w:right="0" w:firstLine="360"/>
        <w:jc w:val="left"/>
        <w:rPr/>
      </w:pPr>
      <w:r>
        <w:rPr>
          <w:rFonts w:ascii="Times New Roman;sans-serif" w:hAnsi="Times New Roman;sans-serif"/>
          <w:b w:val="false"/>
          <w:color w:val="000000"/>
          <w:sz w:val="20"/>
        </w:rPr>
        <w:t xml:space="preserve">In June 2024, the U.S. Supreme Court overruled the </w:t>
      </w:r>
      <w:r>
        <w:rPr>
          <w:rFonts w:ascii="Times New Roman;sans-serif" w:hAnsi="Times New Roman;sans-serif"/>
          <w:b w:val="false"/>
          <w:i/>
          <w:color w:val="000000"/>
          <w:sz w:val="20"/>
        </w:rPr>
        <w:t>Chevron</w:t>
      </w:r>
      <w:r>
        <w:rPr>
          <w:color w:val="000000"/>
        </w:rPr>
        <w:t xml:space="preserve"> </w:t>
      </w:r>
      <w:r>
        <w:rPr>
          <w:rFonts w:ascii="Times New Roman;sans-serif" w:hAnsi="Times New Roman;sans-serif"/>
          <w:b w:val="false"/>
          <w:color w:val="000000"/>
          <w:sz w:val="20"/>
        </w:rPr>
        <w:t xml:space="preserve">doctrine, which gives deference to regulatory agencies’ statutory interpretations in litigation against federal government agencies, such as the FDA, where the law is ambiguous. This landmark Supreme Court decision may invite various stakeholders to bring lawsuits against the FDA and other federal agencies to challenge longstanding decisions and policies, including this LDT final rule. Further, the new administration, including changes in the leadership at the FDA and other federal agencies, may issue new policies and regulations that can impact the compliance status of our products or that of our customers. It is unclear how future legislation by federal and state governments and FDA regulation will impact the industry, including our business and that of our customers. </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Any future legislative or administrative rule making or oversight of LDTs and LDT manufacturers, if and when finalized, may impact the sales of our products and how customers use our products, and may require us to change our business model in order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31445"/>
                <wp:effectExtent l="0" t="0" r="0" b="0"/>
                <wp:wrapNone/>
                <wp:docPr id="51" name="Frame3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33</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maintain compliance with these laws. We would become subject to additional FDA requirements if our products are determined to be medical devices or if we elect to seek 510(k) clearance or premarket approval. If our products become subject to FDA regulation as medical devices, we would need to invest significant time and resources to ensure ongoing compliance with FDA quality system regulations and other post-market regulatory requirements, including U.S. healthcare fraud and abuse laws, such as the federal Anti-Kickback Statute and the False Claims Act, as well as reporting and transparency laws, such as the Sunshine Act. </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International sales of medical devices are subject to foreign government regulations, which vary substantially from country to country. In the future, if we decide to distribute or market our diagnostic products as IVDs in Europe, such products will be subject to regulation under the IVD Medical Device Regulation (“IVDR”) European Union (“EU”) 2017/746. The EU IVDR was entered into application on May 26, 2022, which replaced the IVD Directive and aims to improve the quality, safety and reliability of in vitro diagnostic medical devices with a new risk-based device classification system, provide for more detailed and stringent rules on the evaluation of device performance, and to enhance vigilance and post-market surveillance, among other changes. Outside of the EU, regulatory authorization needs to be sought on a country-by-country basis in order to market medical devices. Although there is a trend towards harmonization of quality system, standards and regulations in each country may vary substantially which can affect timelines of introduction.</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 the future, to the extent we develop any clinical diagnostic assays, we may pursue payment for such products through a diverse and broad range of channels and seek coverage and reimbursement by government health insurance programs and commercial third-party payors for such products. In the United States, there is no uniform coverage for clinical laboratory tests. The extent of coverage and rate of payment for covered services or items vary from payor to payor. Obtaining coverage and reimbursement for such products can be uncertain, time-consuming, and expensive, and, even if favorable coverage and reimbursement status were attained for our tests, to the extent applicable, less favorable coverage policies and reimbursement rates may be implemented in the future. Changes in healthcare regulatory policies could also increase our costs and subject us to additional regulatory requirements that may interrupt commercialization of our products, decrease our revenue and adversely impact sales of, and pricing of and reimbursement for, our products.</w:t>
      </w:r>
    </w:p>
    <w:p>
      <w:pPr>
        <w:pStyle w:val="TextBody"/>
        <w:bidi w:val="0"/>
        <w:spacing w:lineRule="auto" w:line="288" w:before="0" w:after="180"/>
        <w:ind w:left="0" w:right="0" w:firstLine="360"/>
        <w:jc w:val="left"/>
        <w:rPr/>
      </w:pPr>
      <w:r>
        <w:rPr>
          <w:rFonts w:ascii="Times New Roman;sans-serif" w:hAnsi="Times New Roman;sans-serif"/>
          <w:b w:val="false"/>
          <w:color w:val="000000"/>
          <w:sz w:val="20"/>
        </w:rPr>
        <w:t>For further discussion of the risks we face relating to regulation, see the section titled “</w:t>
      </w:r>
      <w:r>
        <w:rPr>
          <w:rFonts w:ascii="Times New Roman;sans-serif" w:hAnsi="Times New Roman;sans-serif"/>
          <w:b w:val="false"/>
          <w:i/>
          <w:color w:val="000000"/>
          <w:sz w:val="20"/>
        </w:rPr>
        <w:t>Risk factors— Risks Related to our Business— Risks Related to Regulatory and Legal Compliance Matters.</w:t>
      </w:r>
      <w:r>
        <w:rPr>
          <w:color w:val="000000"/>
        </w:rPr>
        <w:t>”</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federal Health Insurance Portability and Accountability Act of 1996 (“HIPAA”), as amended by the Health Information Technology for Economic and Clinical Health Act of 2009 (“HITECH”), and their implementing regulations, which impose obligations, including mandatory contractual terms, with respect to safeguarding the transmission, security and privacy of protected health information by covered entities subject to HIPAA, such as health plans, health care clearinghouses and healthcare providers, and their respective business associates that access protected health information. HITECH also created new tiers of civil monetary penalties, amended HIPAA to make civil and criminal penalties directly applicable to business associates in some cases, and gave state attorneys general new authority to file civil actions for damages or injunctions in federal courts to enforce the federal HIPAA laws and seek attorneys’ fees and costs associated with pursuing federal civil actions.</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in the U.S., numerous federal and state laws and regulations, including state data breach notification laws, state health information privacy laws, and federal and state consumer protection laws, govern the collection, use, disclosure, and protection of health-related and other personal information. For example, in June 2018, the State of California enacted the CCPA, which came into effect on January 1, 2020 and provides new data privacy rights for consumers and new operational requirements for companies. The California Privacy Rights Act (“CPRA”), whose substantive provisions go into effect in 2023, revises and expands the CCPA. While we are not currently subject to the CCPA, we may in the future be required to comply with the CCPA, which may increase our compliance costs and potential liability. Furthermore, the CCPA could mark the beginning of a trend toward more stringent state privacy legislation in the U.S., which could increase our potential liability and adversely affect our business.</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Furthermore, the collection, use, storage, disclosure, transfer, or other processing of personal data regarding individuals in the European Economic Area (EEA), including personal health data, is subject to the GDPR, which became effective on May 25, 2018. The GDPR is wide-ranging in scope and imposes numerous requirements on companies that process personal data, including requirements relating to processing health and other sensitive data, obtaining consent of the individuals to whom the personal data relates, providing information to individuals regarding data processing activities, implementing safeguards to protect the security and confidentiality of personal data, providing notification of data breaches, and taking certain measures when engaging third-party processors. The GDPR also imposes strict rules on the transfer of personal data to countries outside the EEA, including the United States, and permits data protection authorities to impose large penalties for violations of the GDPR, including potential fines of up to €20 million or 4% of annual global revenues, whichever is greater. The GDPR also confers a private right of action on data subjects and consumer associations to lodge complaints with supervisory authorities, seek judicial remedies, and obtain compensation for damages resulting from violations of the GDPR. In addition, the GDPR includes restrictions on cross-border data transfers. The GDPR may increase our responsibility and liability in relation to personal data that we process where such processing is subject to the GDPR, and we may be required to put in place additional mechanisms to ensure compliance with the GDPR, including as implemented by individual countries. Compliance with the GDPR will be a rigorous and time-intensive process that may increase our cost of doing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31445"/>
                <wp:effectExtent l="0" t="0" r="0" b="0"/>
                <wp:wrapNone/>
                <wp:docPr id="52" name="Frame3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34</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business or require us to change our business practices, and despite those efforts, there is a risk that we may be subject to fines and penalties, litigation, and reputational harm in connection with our European activities. </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Further, with the end of the United Kingdom’s transition period to leave the European Union, or the Brexit transition period, on December 31, 2020, there is uncertainty with regard to medical device and data protection regulations as well as other regulations that may apply to our industry in the United Kingdom, including new guidance, rules, and regulations by the Medicines and Healthcare products Regulatory Agency (“MHRA”). </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Our research and development processes involve the controlled use of hazardous materials, including select chemicals that may be flammables, toxic or corrosives, which subject us to a variety of federal, state and local environmental and safety laws and regulations. Some of the regulations governing hazardous materials under the current regulatory structure provide for strict liability, holding a party potentially liable without regard to fault or negligence. We could be held liable for damages, remediation costs, and fines as a result of our, or our agents’ or contractors’, business operations should contamination of the environment or individual exposure to hazardous materials occur. We cannot predict how changes in laws or development of new regulations will affect our business operations or the cost of compliance.</w:t>
      </w:r>
    </w:p>
    <w:p>
      <w:pPr>
        <w:pStyle w:val="TextBody"/>
        <w:bidi w:val="0"/>
        <w:spacing w:lineRule="auto" w:line="288" w:before="0" w:after="180"/>
        <w:ind w:left="0" w:right="0" w:firstLine="360"/>
        <w:jc w:val="left"/>
        <w:rPr/>
      </w:pPr>
      <w:r>
        <w:rPr>
          <w:rFonts w:ascii="Times New Roman;sans-serif" w:hAnsi="Times New Roman;sans-serif"/>
          <w:b w:val="false"/>
          <w:color w:val="000000"/>
          <w:sz w:val="20"/>
        </w:rPr>
        <w:t>For further discussion of the risks we face relating to regulation, see the section titled “</w:t>
      </w:r>
      <w:r>
        <w:rPr>
          <w:rFonts w:ascii="Times New Roman;sans-serif" w:hAnsi="Times New Roman;sans-serif"/>
          <w:b w:val="false"/>
          <w:i/>
          <w:color w:val="000000"/>
          <w:sz w:val="20"/>
        </w:rPr>
        <w:t>Risk factors— Risks Related to our Business— Risks Related to Regulatory and Legal Compliance Matters.</w:t>
      </w:r>
      <w:r>
        <w:rPr>
          <w:color w:val="000000"/>
        </w:rPr>
        <w:t>”</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Intellectual Property</w:t>
      </w:r>
    </w:p>
    <w:p>
      <w:pPr>
        <w:pStyle w:val="TextBody"/>
        <w:bidi w:val="0"/>
        <w:spacing w:lineRule="auto" w:line="288"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Patents</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strive to obtain and maintain intellectual protection for our products and technology by using a variety of intellectual protection strategies, such as patents, trademarks, trade secrets and other methods of protecting proprietary information. </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2024, we owned or held exclusive licenses to thirty one issued U.S. patents, approximately sixty pending U.S. non-provisional patent applications, approximately nineteen pending U.S. provisional patent applications, approximately twenty five granted foreign patents, and approximately one hundred thirty six pending foreign patent applications, including twenty four international patent applications filed under the Patent Cooperation Treaty (PCT application). Our owned and exclusively licensed patents and patent applications, if issued, are expected to expire between 2026 and 2044, in each case absent any patent term adjustments or extensions and assuming payment of all appropriate maintenance, renewal, annuity, or other governmental fees.</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solely owned patents and patent applications contain, among others, claims directed to our core platform technology, such as compositions, methods, and systems directed to identifying and quantifying proteins utilizing probes that can bind different epitopes of the proteins with different degrees of binding non-specificity; reagents and materials; instruments; arrays and other consumables; sample preparation; high throughput decoding algorithms, and algorithms for secondary analysis of proteins and proteomes, amongst other things. </w:t>
      </w:r>
    </w:p>
    <w:p>
      <w:pPr>
        <w:pStyle w:val="TextBody"/>
        <w:bidi w:val="0"/>
        <w:spacing w:lineRule="auto" w:line="288"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Trade Secrets</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to patents, we utilize trade secrets and proprietary know-how to boost our competitive position. Specifically, we rely on trade secrets to protect aspects of our business that are not amenable to, or that we do not consider appropriate for, patent protection. We protect trade secrets and know-how by establishing confidentiality agreements and invention assignment agreements with our employees, consultants, scientific advisors, contractors and partners. These agreements generally provide that all confidential information developed or made known during the course of an individual or entity’s relationship with us must be kept confidential during and after the relationship. These agreements also generally provide that all inventions resulting from work performed for us or relating to our business and conceived or completed during the period of employment or assignment, as applicable, shall be our exclusive property. </w:t>
      </w:r>
    </w:p>
    <w:p>
      <w:pPr>
        <w:pStyle w:val="TextBody"/>
        <w:bidi w:val="0"/>
        <w:spacing w:lineRule="auto" w:line="288"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Trademarks</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2024, we owned approximately thirty four registered trademarks covering four different marks in Australia, Brazil, Canada, China, the European Union, India, Israel, Japan, Mexico, Singapore, Switzerland. In addition, we have approximately twenty pending trademark applications covering seven different marks in the U.S., Brazil, Canada, China, India, Japan, Korea, and Mexico.</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Collaboration Agreements</w:t>
      </w:r>
    </w:p>
    <w:p>
      <w:pPr>
        <w:pStyle w:val="TextBody"/>
        <w:bidi w:val="0"/>
        <w:spacing w:lineRule="auto" w:line="288" w:before="0" w:after="180"/>
        <w:ind w:left="0" w:right="0" w:firstLine="360"/>
        <w:jc w:val="left"/>
        <w:rPr/>
      </w:pPr>
      <w:r>
        <w:rPr>
          <w:rFonts w:ascii="Times New Roman;sans-serif" w:hAnsi="Times New Roman;sans-serif"/>
          <w:b w:val="false"/>
          <w:color w:val="000000"/>
          <w:sz w:val="20"/>
        </w:rPr>
        <w:t xml:space="preserve">We have entered into research collaboration agreements with Genentech in December 2020, with Amgen in October 2021, with The University of Texas MD Anderson Cancer Center in October 2021, and with </w:t>
      </w:r>
      <w:r>
        <w:rPr>
          <w:rFonts w:ascii="Times New Roman;sans-serif" w:hAnsi="Times New Roman;sans-serif"/>
          <w:b w:val="false"/>
          <w:color w:val="000000"/>
          <w:sz w:val="20"/>
          <w:shd w:fill="FFFFFF" w:val="clear"/>
        </w:rPr>
        <w:t>The Buck Institute for Research on Aging</w:t>
      </w:r>
      <w:r>
        <w:rPr>
          <w:color w:val="000000"/>
        </w:rPr>
        <w:t xml:space="preserve"> </w:t>
      </w:r>
      <w:r>
        <w:rPr>
          <w:rFonts w:ascii="Times New Roman;sans-serif" w:hAnsi="Times New Roman;sans-serif"/>
          <w:b w:val="false"/>
          <w:color w:val="000000"/>
          <w:sz w:val="20"/>
        </w:rPr>
        <w:t xml:space="preserve">in February 2025. Under each of these agreements, respective research collaboration teams are using prototype versions of the Nautilus platform in pilot projects to learn about it’s capabilities and accelerate the development process to meet the needs of our future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31445"/>
                <wp:effectExtent l="0" t="0" r="0" b="0"/>
                <wp:wrapNone/>
                <wp:docPr id="53" name="Frame3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35</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customers. These agreements are for research only and are not expected to generate any revenues, however they may provide opportunities for the parties to jointly apply for and secure grants, awards, or other government or non-profit research funding</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Scientific Advisory Board</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have assembled a highly qualified scientific advisory board composed of advisors who have deep expertise in the fields of proteomics, medicine, regulatory compliance and data science. Our scientific advisory board is composed of:</w:t>
      </w:r>
    </w:p>
    <w:p>
      <w:pPr>
        <w:pStyle w:val="TextBody"/>
        <w:bidi w:val="0"/>
        <w:spacing w:lineRule="auto" w:line="288" w:before="0" w:after="180"/>
        <w:ind w:left="0" w:right="0" w:firstLine="360"/>
        <w:jc w:val="left"/>
        <w:rPr>
          <w:rFonts w:ascii="Times New Roman;sans-serif" w:hAnsi="Times New Roman;sans-serif"/>
          <w:b w:val="false"/>
          <w:i/>
          <w:color w:val="000000"/>
          <w:sz w:val="20"/>
        </w:rPr>
      </w:pPr>
      <w:r>
        <w:rPr>
          <w:rFonts w:ascii="Times New Roman;sans-serif" w:hAnsi="Times New Roman;sans-serif"/>
          <w:b w:val="false"/>
          <w:i/>
          <w:color w:val="000000"/>
          <w:sz w:val="20"/>
        </w:rPr>
        <w:t>Ruedi Aebersold, Ph.D.</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Dr. Aebersold is Professor of Systems Biology at the Institute of Molecular Systems Biology in ETH Zurich (IMSB). He is widely considered a pioneer in the field of proteomics and has served as the head of the biology/disease branch of the human proteome project.</w:t>
      </w:r>
    </w:p>
    <w:p>
      <w:pPr>
        <w:pStyle w:val="TextBody"/>
        <w:bidi w:val="0"/>
        <w:spacing w:lineRule="auto" w:line="288" w:before="0" w:after="180"/>
        <w:ind w:left="0" w:right="0" w:firstLine="360"/>
        <w:jc w:val="left"/>
        <w:rPr>
          <w:rFonts w:ascii="Times New Roman;sans-serif" w:hAnsi="Times New Roman;sans-serif"/>
          <w:b w:val="false"/>
          <w:i/>
          <w:color w:val="000000"/>
          <w:sz w:val="20"/>
        </w:rPr>
      </w:pPr>
      <w:r>
        <w:rPr>
          <w:rFonts w:ascii="Times New Roman;sans-serif" w:hAnsi="Times New Roman;sans-serif"/>
          <w:b w:val="false"/>
          <w:i/>
          <w:color w:val="000000"/>
          <w:sz w:val="20"/>
        </w:rPr>
        <w:t>Lee Hartwell, Ph.D.</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Dr. Hartwell is the President and Director Emeritus of the Fred Hutchinson Cancer Research Center. He is a 2001 Co-recipient Nobel Prize in Physiology and Medicine for his discovery of the protein molecules that control the division of cells.</w:t>
      </w:r>
    </w:p>
    <w:p>
      <w:pPr>
        <w:pStyle w:val="TextBody"/>
        <w:bidi w:val="0"/>
        <w:spacing w:lineRule="auto" w:line="288" w:before="0" w:after="180"/>
        <w:ind w:left="0" w:right="0" w:firstLine="360"/>
        <w:jc w:val="left"/>
        <w:rPr>
          <w:rFonts w:ascii="Times New Roman;sans-serif" w:hAnsi="Times New Roman;sans-serif"/>
          <w:b w:val="false"/>
          <w:i/>
          <w:color w:val="000000"/>
          <w:sz w:val="20"/>
        </w:rPr>
      </w:pPr>
      <w:r>
        <w:rPr>
          <w:rFonts w:ascii="Times New Roman;sans-serif" w:hAnsi="Times New Roman;sans-serif"/>
          <w:b w:val="false"/>
          <w:i/>
          <w:color w:val="000000"/>
          <w:sz w:val="20"/>
        </w:rPr>
        <w:t>Joshua LaBaer, MD, Ph.D.</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Dr. LaBaer is the Executive Director of the Biodesign Institute at Arizona State University. He is a leading researcher in cancer and personalized medicine and the inventor of the novel protein microarray technology, Nucleic Acid Programmable Protein Array (NAPPA), which has been used widely for biomedical research.</w:t>
      </w:r>
    </w:p>
    <w:p>
      <w:pPr>
        <w:pStyle w:val="TextBody"/>
        <w:bidi w:val="0"/>
        <w:spacing w:lineRule="auto" w:line="288" w:before="0" w:after="180"/>
        <w:ind w:left="0" w:right="0" w:firstLine="360"/>
        <w:jc w:val="left"/>
        <w:rPr>
          <w:rFonts w:ascii="Times New Roman;sans-serif" w:hAnsi="Times New Roman;sans-serif"/>
          <w:b w:val="false"/>
          <w:i/>
          <w:color w:val="000000"/>
          <w:sz w:val="20"/>
        </w:rPr>
      </w:pPr>
      <w:r>
        <w:rPr>
          <w:rFonts w:ascii="Times New Roman;sans-serif" w:hAnsi="Times New Roman;sans-serif"/>
          <w:b w:val="false"/>
          <w:i/>
          <w:color w:val="000000"/>
          <w:sz w:val="20"/>
        </w:rPr>
        <w:t>Emma Lundberg, Ph.D.</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Dr. Lundberg is a Professor in cell biology proteomics at KTH Royal Institute of Technology, Sweden, and Director of the Cell Atlas of the Human Protein Atlas, an international proteomics and cell mapping project. Dr. Lundberg also holds the positions of Director of the Cell Profiling facility at the Science for Life Laboratory (SciLifeLab) in Sweden. </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 xml:space="preserve">Employees and Human Capital </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2024, we had 155 employees, all based in the United States, over one-third of whom hold doctorate degrees. Of these employees, 110 were engaged in research and development activities, and 45 were engaged in general and administrative activities. None of our employees are represented by a labor union or covered under a collective bargaining agreement.</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human capital resources objectives include, as applicable, identifying, recruiting, retaining, incentivizing and integrating our existing and new employees, advisors and consultants. The principal purposes of our equity and cash incentive plans are to attract, retain and reward personnel through the granting of stock-based and cash-based compensation awards, in order to increase stockholder value and the success of our company by motivating such individuals to perform to the best of their abilities and achieve our objectives. </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Corporate and Available Information</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were incorporated as a Cayman Islands exempted company in March 2020 as a blank check company under the name ARYA Sciences Acquisition Corp III. On June 9, 2021, we consummated the Business Combination pursuant to the terms of the Business Combination Agreement. Pursuant to the terms of the Business Combination Agreement, on the Closing Date, (i) we changed our jurisdiction of incorporation by deregistering as a Cayman Islands exempted company and continuing and domesticating as a corporation incorporated under the laws of the State of Delaware, upon which we changed our name to Nautilus Biotechnology, Inc.</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Our principal executive offices are located at 2701 Eastlake Avenue East Seattle, Washington, 98102, and our telephone number is (206) 333-2001. Our investor relations website is located at https://investors.nautilus.bio/. Information contained on the website is not incorporated by reference into this Form 10-K or any other filings we make with the SEC.</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use our investor relations website to post important information for investors, including news releases, analyst presentations, and supplemental financial information, and as a means of disclosing material non-public information and for complying with our disclosure obligations under Regulation FD. Accordingly, investors should monitor our investor relations website, in addition to following press releases, SEC filings and public conference calls and webcasts. We also make available, free of charge, on our investor relations website under “Financial Information—SEC Filings,” our Annual Reports on Form 10-K, Quarterly Reports on Form 10-Q, Current Reports on Form 8-K and amendments to these reports as soon as reasonably practicable after electronically filing or furnishing those reports to the SEC.</w:t>
      </w:r>
    </w:p>
    <w:p>
      <w:pPr>
        <w:pStyle w:val="TextBody"/>
        <w:bidi w:val="0"/>
        <w:spacing w:before="0" w:after="18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31445"/>
                <wp:effectExtent l="0" t="0" r="0" b="0"/>
                <wp:wrapNone/>
                <wp:docPr id="54" name="Frame3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36</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pPr>
      <w:r>
        <w:rPr>
          <w:rFonts w:ascii="Times New Roman;sans-serif" w:hAnsi="Times New Roman;sans-serif"/>
          <w:b/>
          <w:color w:val="000000"/>
          <w:sz w:val="20"/>
        </w:rPr>
        <w:t>Item 1A. Risk Factors</w:t>
      </w:r>
      <w:r>
        <w:rPr>
          <w:color w:val="000000"/>
        </w:rPr>
        <w:t> </w:t>
      </w:r>
    </w:p>
    <w:p>
      <w:pPr>
        <w:pStyle w:val="TextBody"/>
        <w:bidi w:val="0"/>
        <w:spacing w:lineRule="auto" w:line="288" w:before="0" w:after="180"/>
        <w:ind w:left="0" w:right="0" w:firstLine="360"/>
        <w:jc w:val="left"/>
        <w:rPr>
          <w:rFonts w:ascii="Times New Roman;sans-serif" w:hAnsi="Times New Roman;sans-serif"/>
          <w:b w:val="false"/>
          <w:i/>
          <w:color w:val="000000"/>
          <w:sz w:val="20"/>
        </w:rPr>
      </w:pPr>
      <w:r>
        <w:rPr>
          <w:rFonts w:ascii="Times New Roman;sans-serif" w:hAnsi="Times New Roman;sans-serif"/>
          <w:b w:val="false"/>
          <w:i/>
          <w:color w:val="000000"/>
          <w:sz w:val="20"/>
        </w:rPr>
        <w:t>You should consider carefully the following information about the risks described below, together with the other information contained in this Annual Report on Form 10-K and in our other public filings, in evaluating our business. If any of the following risks actually occurs, our business, financial condition, results of operations, and future growth prospects would likely be materially and adversely affected. In these circumstances, the market price of our common stock would likely decline.</w:t>
      </w:r>
    </w:p>
    <w:p>
      <w:pPr>
        <w:pStyle w:val="TextBody"/>
        <w:bidi w:val="0"/>
        <w:spacing w:lineRule="auto" w:line="288" w:before="0" w:after="180"/>
        <w:ind w:left="0" w:right="0" w:firstLine="360"/>
        <w:jc w:val="left"/>
        <w:rPr>
          <w:rFonts w:ascii="Times New Roman;sans-serif" w:hAnsi="Times New Roman;sans-serif"/>
          <w:b/>
          <w:color w:val="000000"/>
          <w:sz w:val="20"/>
        </w:rPr>
      </w:pPr>
      <w:r>
        <w:rPr>
          <w:rFonts w:ascii="Times New Roman;sans-serif" w:hAnsi="Times New Roman;sans-serif"/>
          <w:b/>
          <w:color w:val="000000"/>
          <w:sz w:val="20"/>
        </w:rPr>
        <w:t>Summary Risk Factors</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Our business is subject to numerous risks and uncertainties that you should consider before investing in our company, as more fully described below. The principal factors and uncertainties that make investing in our company risky include, among others:</w:t>
      </w:r>
    </w:p>
    <w:p>
      <w:pPr>
        <w:pStyle w:val="TextBody"/>
        <w:bidi w:val="0"/>
        <w:spacing w:lineRule="auto" w:line="288" w:before="0" w:after="180"/>
        <w:ind w:left="0" w:right="0" w:firstLine="360"/>
        <w:jc w:val="left"/>
        <w:rPr>
          <w:rFonts w:ascii="Times New Roman;sans-serif" w:hAnsi="Times New Roman;sans-serif"/>
          <w:b/>
          <w:color w:val="000000"/>
          <w:sz w:val="20"/>
        </w:rPr>
      </w:pPr>
      <w:r>
        <w:rPr>
          <w:rFonts w:ascii="Times New Roman;sans-serif" w:hAnsi="Times New Roman;sans-serif"/>
          <w:b/>
          <w:color w:val="000000"/>
          <w:sz w:val="20"/>
        </w:rPr>
        <w:t>Risks Related to Our Business</w:t>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shd w:fill="FFFFFF" w:val="clear"/>
        </w:rPr>
        <w:t xml:space="preserve">We are a development stage company that has incurred net losses in every period to date, has not yet commercialized any products, and expects to continue to incur significant losses as we develop our business. </w:t>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shd w:fill="FFFFFF" w:val="clear"/>
        </w:rPr>
        <w:t xml:space="preserve">Our business is entirely dependent on the successful development and commercialization of our proteomics platform (the “Nautilus platform”), which remains in the development stage and could be subject to delays, technical challenges and market acceptance challenges. </w:t>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rPr>
        <w:t>We may not compete successfully with our initial or future products in the highly competitive life sciences technology market.</w:t>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rPr>
        <w:t>We are dependent upon third parties for certain aspects of the development and commercialization of the Nautilus platform.</w:t>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shd w:fill="FFFFFF" w:val="clear"/>
        </w:rPr>
        <w:t>Our business depends significantly on research and development spending by pharmaceutical companies as well as by academic institutions and other research institutions and any reduction in spending could limit demand for our products.</w:t>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shd w:fill="FFFFFF" w:val="clear"/>
        </w:rPr>
        <w:t>We may not be able to launch our Nautilus platform successfully and even if it is successful, we may experience material delays in our commercialization program relative to current expectations.</w:t>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shd w:fill="FFFFFF" w:val="clear"/>
        </w:rPr>
        <w:t>Our operating results may fluctuate significantly in the future, which makes our future operating results difficult to predict and could cause our operating results to fall below expectations or our guidance.</w:t>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rPr>
        <w:t>We expect that we will need to raise additional capital to fund our development and commercialization plans.</w:t>
      </w:r>
    </w:p>
    <w:p>
      <w:pPr>
        <w:pStyle w:val="TextBody"/>
        <w:bidi w:val="0"/>
        <w:spacing w:lineRule="auto" w:line="288" w:before="0" w:after="180"/>
        <w:ind w:left="0" w:right="0" w:firstLine="360"/>
        <w:jc w:val="left"/>
        <w:rPr>
          <w:rFonts w:ascii="Times New Roman;sans-serif" w:hAnsi="Times New Roman;sans-serif"/>
          <w:b/>
          <w:color w:val="000000"/>
          <w:sz w:val="20"/>
        </w:rPr>
      </w:pPr>
      <w:r>
        <w:rPr>
          <w:rFonts w:ascii="Times New Roman;sans-serif" w:hAnsi="Times New Roman;sans-serif"/>
          <w:b/>
          <w:color w:val="000000"/>
          <w:sz w:val="20"/>
        </w:rPr>
        <w:t>Risks Related to Our Intellectual Property</w:t>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shd w:fill="FFFFFF" w:val="clear"/>
        </w:rPr>
        <w:t>We may be unable to obtain and maintain sufficient intellectual property protection for our products and technology, or if the scope of our intellectual property protection obtained is not sufficiently broad, competitors could develop and commercialize products similar or identical to ours.</w:t>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shd w:fill="FFFFFF" w:val="clear"/>
        </w:rPr>
        <w:t xml:space="preserve">We may not be able to protect our intellectual property and proprietary rights throughout the world. </w:t>
      </w:r>
    </w:p>
    <w:p>
      <w:pPr>
        <w:pStyle w:val="TextBody"/>
        <w:bidi w:val="0"/>
        <w:spacing w:lineRule="auto" w:line="288" w:before="0" w:after="180"/>
        <w:ind w:left="0" w:right="0" w:firstLine="360"/>
        <w:jc w:val="left"/>
        <w:rPr>
          <w:rFonts w:ascii="Times New Roman;sans-serif" w:hAnsi="Times New Roman;sans-serif"/>
          <w:b/>
          <w:color w:val="000000"/>
          <w:sz w:val="20"/>
        </w:rPr>
      </w:pPr>
      <w:r>
        <w:rPr>
          <w:rFonts w:ascii="Times New Roman;sans-serif" w:hAnsi="Times New Roman;sans-serif"/>
          <w:b/>
          <w:color w:val="000000"/>
          <w:sz w:val="20"/>
        </w:rPr>
        <w:t>Risks Related to Litigation</w:t>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rPr>
        <w:t>We may become involved in litigation to enforce or defend our intellectual property rights, or to defend ourselves from claims that we infringe the intellectual property rights of others.</w:t>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rPr>
        <w:t>We may face liability and/or negative publicity for any unknown defects or errors in our products.</w:t>
      </w:r>
    </w:p>
    <w:p>
      <w:pPr>
        <w:pStyle w:val="TextBody"/>
        <w:bidi w:val="0"/>
        <w:spacing w:lineRule="auto" w:line="288" w:before="0" w:after="180"/>
        <w:ind w:left="0" w:right="0" w:firstLine="360"/>
        <w:jc w:val="left"/>
        <w:rPr>
          <w:rFonts w:ascii="Times New Roman;sans-serif" w:hAnsi="Times New Roman;sans-serif"/>
          <w:b/>
          <w:color w:val="000000"/>
          <w:sz w:val="20"/>
        </w:rPr>
      </w:pPr>
      <w:r>
        <w:rPr>
          <w:rFonts w:ascii="Times New Roman;sans-serif" w:hAnsi="Times New Roman;sans-serif"/>
          <w:b/>
          <w:color w:val="000000"/>
          <w:sz w:val="20"/>
        </w:rPr>
        <w:t>Risks Related to Regulatory and Legal Compliance Matters</w:t>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rPr>
        <w:t>Our products may, in the future, be subject to regulation by the FDA or other regulatory authorities.</w:t>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rPr>
        <w:t>We are currently subject to, and may in the future become subject to additional, U.S. federal and state laws and regulations, as well as the laws and regulations of other countries, relating to how we collect, store and process personal information.</w:t>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rPr>
        <w:t xml:space="preserve">Future expansion of our development and commercialization activities outside of the United States, may subject us to an increased risk of inadvertently conducting activities in a manner that violates the U.S. Foreign Corrupt Practices Act and similar laws. </w:t>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rPr>
        <w:t>Environmental and health safety laws, including any failure to comply with such laws, may result in liabilities, expenses and restrictions on our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31445"/>
                <wp:effectExtent l="0" t="0" r="0" b="0"/>
                <wp:wrapNone/>
                <wp:docPr id="55" name="Frame3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37</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rPr>
        <w:t>Our employees, independent contractors, consultants, commercial partners, distributors and vendors may engage in misconduct or other improper activities, including noncompliance with regulatory standards and requirements.</w:t>
      </w:r>
    </w:p>
    <w:p>
      <w:pPr>
        <w:pStyle w:val="TextBody"/>
        <w:bidi w:val="0"/>
        <w:spacing w:lineRule="auto" w:line="288" w:before="0" w:after="180"/>
        <w:ind w:left="0" w:right="0" w:firstLine="360"/>
        <w:jc w:val="left"/>
        <w:rPr>
          <w:rFonts w:ascii="Times New Roman;sans-serif" w:hAnsi="Times New Roman;sans-serif"/>
          <w:b/>
          <w:color w:val="000000"/>
          <w:sz w:val="20"/>
        </w:rPr>
      </w:pPr>
      <w:r>
        <w:rPr>
          <w:rFonts w:ascii="Times New Roman;sans-serif" w:hAnsi="Times New Roman;sans-serif"/>
          <w:b/>
          <w:color w:val="000000"/>
          <w:sz w:val="20"/>
        </w:rPr>
        <w:t xml:space="preserve">Risks Related to our Operations </w:t>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shd w:fill="FFFFFF" w:val="clear"/>
        </w:rPr>
        <w:t>We may experience a significant disruption in our information technology systems or breaches of data security.</w:t>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shd w:fill="FFFFFF" w:val="clear"/>
        </w:rPr>
        <w:t>We are highly dependent on our key personnel, and if we are unable to recruit and retain key executives and scientists, we may not be able to achieve our goals.</w:t>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shd w:fill="FFFFFF" w:val="clear"/>
        </w:rPr>
        <w:t>Our operations and financial results could be adversely impacted by global and national events, such as the COVID-19 pandemic, conflicts in Eastern Europe and the Middle East, and general economic downturns.</w:t>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rPr>
        <w:t>Global supply chain interruptions may negatively impact the development and commercialization of our products.</w:t>
      </w:r>
    </w:p>
    <w:p>
      <w:pPr>
        <w:pStyle w:val="TextBody"/>
        <w:bidi w:val="0"/>
        <w:spacing w:lineRule="auto" w:line="288" w:before="0" w:after="180"/>
        <w:ind w:left="0" w:right="0" w:firstLine="360"/>
        <w:jc w:val="left"/>
        <w:rPr>
          <w:rFonts w:ascii="Times New Roman;sans-serif" w:hAnsi="Times New Roman;sans-serif"/>
          <w:b/>
          <w:color w:val="000000"/>
          <w:sz w:val="20"/>
        </w:rPr>
      </w:pPr>
      <w:r>
        <w:rPr>
          <w:rFonts w:ascii="Times New Roman;sans-serif" w:hAnsi="Times New Roman;sans-serif"/>
          <w:b/>
          <w:color w:val="000000"/>
          <w:sz w:val="20"/>
        </w:rPr>
        <w:t>Risks Related to Our Common Stock</w:t>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shd w:fill="FFFFFF" w:val="clear"/>
        </w:rPr>
        <w:t>The price of and market for our Common Stock may be volatile, which could result in substantial losses for investors and/or an inability to readily trade in our Common Stock.</w:t>
      </w:r>
    </w:p>
    <w:p>
      <w:pPr>
        <w:pStyle w:val="TextBody"/>
        <w:bidi w:val="0"/>
        <w:spacing w:lineRule="auto" w:line="288" w:before="0" w:after="180"/>
        <w:ind w:left="0" w:right="0" w:firstLine="360"/>
        <w:jc w:val="left"/>
        <w:rPr/>
      </w:pPr>
      <w:r>
        <w:rPr>
          <w:color w:val="000000"/>
          <w:shd w:fill="FFFFFF" w:val="clear"/>
        </w:rPr>
        <w:t>•</w:t>
      </w:r>
      <w:r>
        <w:rPr>
          <w:rFonts w:ascii="Times New Roman;sans-serif" w:hAnsi="Times New Roman;sans-serif"/>
          <w:b w:val="false"/>
          <w:color w:val="000000"/>
          <w:sz w:val="20"/>
          <w:shd w:fill="FFFFFF" w:val="clear"/>
        </w:rPr>
        <w:t>We will have broad discretion over the use of the proceeds to us from our “at the market” equity offering program and may apply the proceeds to uses that do not improve our operating results or the value of your securities.</w:t>
      </w:r>
    </w:p>
    <w:p>
      <w:pPr>
        <w:pStyle w:val="TextBody"/>
        <w:bidi w:val="0"/>
        <w:spacing w:lineRule="auto" w:line="288" w:before="0" w:after="180"/>
        <w:ind w:left="0" w:right="0" w:firstLine="360"/>
        <w:jc w:val="left"/>
        <w:rPr>
          <w:rFonts w:ascii="Times New Roman;sans-serif" w:hAnsi="Times New Roman;sans-serif"/>
          <w:b/>
          <w:color w:val="000000"/>
          <w:sz w:val="20"/>
        </w:rPr>
      </w:pPr>
      <w:r>
        <w:rPr>
          <w:rFonts w:ascii="Times New Roman;sans-serif" w:hAnsi="Times New Roman;sans-serif"/>
          <w:b/>
          <w:color w:val="000000"/>
          <w:sz w:val="20"/>
        </w:rPr>
        <w:t>General Risk Factors</w:t>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rPr>
        <w:t>We will continue to incur significant costs and management resources as a result of operating as a public company.</w:t>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rPr>
        <w:t>Reports published by analysts, including projections in those reports that differ from our actual results, could adversely affect the price and trading volume of our common shares.</w:t>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rPr>
        <w:t>Our ability to timely and accurately report our financial results and projections as a public company may be impacted by the effectiveness of our internal controls, and our estimates and judgments relating to critical accounting policies.</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Our risk factors are not guarantees that no such conditions exist as of the date of this report and should not be interpreted as an affirmative statement that such risks or conditions have not materialized, in whole or in part.</w:t>
      </w:r>
    </w:p>
    <w:p>
      <w:pPr>
        <w:pStyle w:val="TextBody"/>
        <w:bidi w:val="0"/>
        <w:spacing w:lineRule="auto" w:line="288" w:before="0" w:after="180"/>
        <w:ind w:left="0" w:right="0" w:firstLine="360"/>
        <w:jc w:val="left"/>
        <w:rPr>
          <w:rFonts w:ascii="Times New Roman;sans-serif" w:hAnsi="Times New Roman;sans-serif"/>
          <w:b/>
          <w:color w:val="000000"/>
          <w:sz w:val="20"/>
        </w:rPr>
      </w:pPr>
      <w:r>
        <w:rPr>
          <w:rFonts w:ascii="Times New Roman;sans-serif" w:hAnsi="Times New Roman;sans-serif"/>
          <w:b/>
          <w:color w:val="000000"/>
          <w:sz w:val="20"/>
        </w:rPr>
        <w:t xml:space="preserve">Risks Related to Our Business </w:t>
      </w:r>
    </w:p>
    <w:p>
      <w:pPr>
        <w:pStyle w:val="TextBody"/>
        <w:bidi w:val="0"/>
        <w:spacing w:lineRule="auto" w:line="288"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We are a development stage company that has incurred net losses in every period to date, has not yet commercialized any products, and expects to continue to incur significant losses as we develop our business. We may never achieve profitability.</w:t>
      </w:r>
    </w:p>
    <w:p>
      <w:pPr>
        <w:pStyle w:val="TextBody"/>
        <w:bidi w:val="0"/>
        <w:spacing w:lineRule="auto" w:line="288" w:before="0" w:after="180"/>
        <w:ind w:left="0" w:right="0" w:firstLine="360"/>
        <w:jc w:val="left"/>
        <w:rPr/>
      </w:pPr>
      <w:r>
        <w:rPr>
          <w:rFonts w:ascii="Times New Roman;sans-serif" w:hAnsi="Times New Roman;sans-serif"/>
          <w:b w:val="false"/>
          <w:color w:val="000000"/>
          <w:sz w:val="20"/>
        </w:rPr>
        <w:t xml:space="preserve">We are a development stage company that has incurred net losses in each quarterly and annual period since inception and that has not yet generated any revenue. We expect to incur increasing costs as we continue to devote substantially all of our resources towards the development and anticipated future commercialization of our </w:t>
      </w:r>
      <w:r>
        <w:rPr>
          <w:rFonts w:ascii="Times New Roman;sans-serif" w:hAnsi="Times New Roman;sans-serif"/>
          <w:b w:val="false"/>
          <w:color w:val="000000"/>
          <w:sz w:val="20"/>
          <w:shd w:fill="FFFFFF" w:val="clear"/>
        </w:rPr>
        <w:t xml:space="preserve">Nautilus </w:t>
      </w:r>
      <w:r>
        <w:rPr>
          <w:rFonts w:ascii="Times New Roman;sans-serif" w:hAnsi="Times New Roman;sans-serif"/>
          <w:b w:val="false"/>
          <w:color w:val="000000"/>
          <w:sz w:val="20"/>
        </w:rPr>
        <w:t xml:space="preserve">platform, which includes our end-to-end solution comprised of instruments, consumables, and software analysis. We cannot be certain if we will ever generate revenue or if or when we will produce sufficient revenue from operations to support our costs. Even if profitability is achieved, we may not be able to sustain profitability. We incurred net losses of $70.8 million and $63.7 million during the years ended December 31, 2024 and 2023, respectively. As of December 31, 2024, we had an accumulated deficit of $273.0 million. These losses and accumulated deficit were primarily due to the substantial investments we made in the scientific and technological development of our </w:t>
      </w:r>
      <w:r>
        <w:rPr>
          <w:rFonts w:ascii="Times New Roman;sans-serif" w:hAnsi="Times New Roman;sans-serif"/>
          <w:b w:val="false"/>
          <w:color w:val="000000"/>
          <w:sz w:val="20"/>
          <w:shd w:fill="FFFFFF" w:val="clear"/>
        </w:rPr>
        <w:t xml:space="preserve">Nautilus </w:t>
      </w:r>
      <w:r>
        <w:rPr>
          <w:rFonts w:ascii="Times New Roman;sans-serif" w:hAnsi="Times New Roman;sans-serif"/>
          <w:b w:val="false"/>
          <w:color w:val="000000"/>
          <w:sz w:val="20"/>
        </w:rPr>
        <w:t>platform. While we anticipate certain cost-savings associated with our recently announced workforce reductions, we expect to incur substantial losses and negative cash flows for the foreseeable future. In addition, as a public company, we will continue to incur significant legal, accounting, and other expenses. These expenses will make it harder for us to achieve and sustain future profitability. We may incur significant losses in the future for a number of reasons, many of which are beyond our control, including the other risks described in this Annual Report on Form 10-K.</w:t>
      </w:r>
    </w:p>
    <w:p>
      <w:pPr>
        <w:pStyle w:val="TextBody"/>
        <w:bidi w:val="0"/>
        <w:spacing w:lineRule="auto" w:line="288"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Our business is entirely dependent on the success of our Nautilus platform, which remains in the development stage and subject to scientific and technical validation. If we are unable to develop and commercialize our Nautilus platform successfully and in a manner that provides currently anticipated functionality and levels of performance, we may never be able to recognize any revenue, and our business, operating results, and financial condition will suffer.</w:t>
      </w:r>
    </w:p>
    <w:p>
      <w:pPr>
        <w:pStyle w:val="TextBody"/>
        <w:bidi w:val="0"/>
        <w:spacing w:lineRule="auto" w:line="288" w:before="0" w:after="180"/>
        <w:ind w:left="0" w:right="0" w:firstLine="360"/>
        <w:jc w:val="left"/>
        <w:rPr/>
      </w:pPr>
      <w:r>
        <w:rPr>
          <w:rFonts w:ascii="Times New Roman;sans-serif" w:hAnsi="Times New Roman;sans-serif"/>
          <w:b w:val="false"/>
          <w:color w:val="000000"/>
          <w:sz w:val="20"/>
        </w:rPr>
        <w:t xml:space="preserve">Our future success is entirely dependent on our ability to successfully develop and commercialize our </w:t>
      </w:r>
      <w:r>
        <w:rPr>
          <w:rFonts w:ascii="Times New Roman;sans-serif" w:hAnsi="Times New Roman;sans-serif"/>
          <w:b w:val="false"/>
          <w:color w:val="000000"/>
          <w:sz w:val="20"/>
          <w:shd w:fill="FFFFFF" w:val="clear"/>
        </w:rPr>
        <w:t xml:space="preserve">Nautilus </w:t>
      </w:r>
      <w:r>
        <w:rPr>
          <w:rFonts w:ascii="Times New Roman;sans-serif" w:hAnsi="Times New Roman;sans-serif"/>
          <w:b w:val="false"/>
          <w:color w:val="000000"/>
          <w:sz w:val="20"/>
        </w:rPr>
        <w:t xml:space="preserve">platform, which is based on innovative yet complex and unproven technologies and which is anticipated to be used in demanding scientific research that requires substantial levels of accuracy and precision. We are investing substantially all of our management efforts and financial resources in the development and commercialization of our </w:t>
      </w:r>
      <w:r>
        <w:rPr>
          <w:rFonts w:ascii="Times New Roman;sans-serif" w:hAnsi="Times New Roman;sans-serif"/>
          <w:b w:val="false"/>
          <w:color w:val="000000"/>
          <w:sz w:val="20"/>
          <w:shd w:fill="FFFFFF" w:val="clear"/>
        </w:rPr>
        <w:t>Nautilus</w:t>
      </w:r>
      <w:r>
        <w:rPr>
          <w:color w:val="000000"/>
        </w:rPr>
        <w:t xml:space="preserve"> </w:t>
      </w:r>
      <w:r>
        <w:rPr>
          <w:rFonts w:ascii="Times New Roman;sans-serif" w:hAnsi="Times New Roman;sans-serif"/>
          <w:b w:val="false"/>
          <w:color w:val="000000"/>
          <w:sz w:val="20"/>
        </w:rPr>
        <w:t xml:space="preserve">platform, which remains in the development stage and subject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31445"/>
                <wp:effectExtent l="0" t="0" r="0" b="0"/>
                <wp:wrapNone/>
                <wp:docPr id="56" name="Frame3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38</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pPr>
      <w:r>
        <w:rPr>
          <w:rFonts w:ascii="Times New Roman;sans-serif" w:hAnsi="Times New Roman;sans-serif"/>
          <w:b w:val="false"/>
          <w:color w:val="000000"/>
          <w:sz w:val="20"/>
        </w:rPr>
        <w:t xml:space="preserve">scientific and technical validation. Additionally, in developing our platform technology, we currently rely on co-development partners to assist us in the development of certain component technologies in our platform. We have experienced difficulties with some of these partners successfully delivering these component technologies on time and to our specifications, and these partners may not be successful in delivering these component technologies on time, to our specifications, or at all, in the future, which could have an adverse impact on our ability to meet our development timelines, and/or our products’ level of currently anticipated functionality and performance. While our goal is to leverage our </w:t>
      </w:r>
      <w:r>
        <w:rPr>
          <w:rFonts w:ascii="Times New Roman;sans-serif" w:hAnsi="Times New Roman;sans-serif"/>
          <w:b w:val="false"/>
          <w:color w:val="000000"/>
          <w:sz w:val="20"/>
          <w:shd w:fill="FFFFFF" w:val="clear"/>
        </w:rPr>
        <w:t>Nautilus p</w:t>
      </w:r>
      <w:r>
        <w:rPr>
          <w:rFonts w:ascii="Times New Roman;sans-serif" w:hAnsi="Times New Roman;sans-serif"/>
          <w:b w:val="false"/>
          <w:color w:val="000000"/>
          <w:sz w:val="20"/>
        </w:rPr>
        <w:t>latform to comprehensively measure the human proteome, the human proteome is dynamic and far more complex and diverse in structure, composition and number of variants than either the genome or transcriptome. If we cannot successfully complete platform development, if we are unable to achieve our goals for mapping the proteome, if our products fail to deliver currently anticipated functionality and levels of performance, if our products are found by a court of law to infringe the intellectual property of another party, or if we are unable to obtain broad scientific and market acceptance of our products and technologies, we may never recognize material revenue and may be unable to continue our operations.</w:t>
      </w:r>
    </w:p>
    <w:p>
      <w:pPr>
        <w:pStyle w:val="TextBody"/>
        <w:bidi w:val="0"/>
        <w:spacing w:lineRule="auto" w:line="288"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We have not yet commercially launched our Nautilus platform. We may not be able to launch our Nautilus platform successfully and even if it is successful, we may experience material delays in our commercialization program relative to current expectations.</w:t>
      </w:r>
    </w:p>
    <w:p>
      <w:pPr>
        <w:pStyle w:val="TextBody"/>
        <w:bidi w:val="0"/>
        <w:spacing w:lineRule="auto" w:line="288" w:before="0" w:after="180"/>
        <w:ind w:left="0" w:right="0" w:firstLine="360"/>
        <w:jc w:val="left"/>
        <w:rPr/>
      </w:pPr>
      <w:r>
        <w:rPr>
          <w:rFonts w:ascii="Times New Roman;sans-serif" w:hAnsi="Times New Roman;sans-serif"/>
          <w:b w:val="false"/>
          <w:color w:val="000000"/>
          <w:sz w:val="20"/>
        </w:rPr>
        <w:t xml:space="preserve">We anticipate commercializing our </w:t>
      </w:r>
      <w:r>
        <w:rPr>
          <w:rFonts w:ascii="Times New Roman;sans-serif" w:hAnsi="Times New Roman;sans-serif"/>
          <w:b w:val="false"/>
          <w:color w:val="000000"/>
          <w:sz w:val="20"/>
          <w:shd w:fill="FFFFFF" w:val="clear"/>
        </w:rPr>
        <w:t>Nautilus</w:t>
      </w:r>
      <w:r>
        <w:rPr>
          <w:color w:val="000000"/>
        </w:rPr>
        <w:t xml:space="preserve"> </w:t>
      </w:r>
      <w:r>
        <w:rPr>
          <w:rFonts w:ascii="Times New Roman;sans-serif" w:hAnsi="Times New Roman;sans-serif"/>
          <w:b w:val="false"/>
          <w:color w:val="000000"/>
          <w:sz w:val="20"/>
        </w:rPr>
        <w:t xml:space="preserve">platform in three phases involving first collaboration with biopharmaceutical companies and key academic opinion leaders exploring utility of pre-commercial versions of the platform, during which we do not expect to recognize significant revenue, if any; secondly an early access limited release phase in which we expect to recognize limited revenue; and finally a broader commercial launch phase. We are currently in the collaboration phase during which we have entered into collaborations with a small number of research customers, including with biopharmaceutical companies and key opinion leaders in proteomics whose assessment and validation of our products can significantly influence other researchers in their respective markets and/or fields. During the second, early access phase, we expect to work closely with early access collaborators to demonstrate a unique value proposition for our </w:t>
      </w:r>
      <w:r>
        <w:rPr>
          <w:rFonts w:ascii="Times New Roman;sans-serif" w:hAnsi="Times New Roman;sans-serif"/>
          <w:b w:val="false"/>
          <w:color w:val="000000"/>
          <w:sz w:val="20"/>
          <w:shd w:fill="FFFFFF" w:val="clear"/>
        </w:rPr>
        <w:t>Nautilus</w:t>
      </w:r>
      <w:r>
        <w:rPr>
          <w:color w:val="000000"/>
        </w:rPr>
        <w:t xml:space="preserve"> </w:t>
      </w:r>
      <w:r>
        <w:rPr>
          <w:rFonts w:ascii="Times New Roman;sans-serif" w:hAnsi="Times New Roman;sans-serif"/>
          <w:b w:val="false"/>
          <w:color w:val="000000"/>
          <w:sz w:val="20"/>
        </w:rPr>
        <w:t xml:space="preserve">platform. During this phase, we plan to provide early access to our collaborators with broad-scale and targeted analyses and profiling of samples analyzed in our facility or at the customers’ facilities and shared via a cloud platform. We believe there is significant interest in our platform for targeted proteoform analyses. As such, we expect to be working with our initial early access collaborators in this area, and to leverage our learnings from those collaborations for the benefit of both our broad-scale and targeted products and services. We do not anticipate that these activities will result in any material revenue. We expect this second phase to lead into the third phase of launch of our proteome analysis platform in late 2026 and subsequent broad commercialization thereafter. Voice of customer studies have suggested that there is market demand for a proteomics platform with specifications that are initially lower than what we have previously disclosed, for example, around characteristics such as sample input and proteome coverage. Consequently, as we balance our time to market goals with our evolving view of customer requirements, we are refining our initial launch specifications. We believe that subsequent consumable releases will enable our platform to meet or exceed our previously announced product specifications. </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Achieving the scientific and commercial objectives identified above within currently anticipated timelines will require substantial investments in our technologies and in the underlying science. Scientific and technological development of the nature being undertaken by us is extraordinarily complex, and there can be no assurances that any of these phases of commercial development will be successful or that they will be completed within the timelines currently anticipated. Given the scientific and technical complexity of our products, we could experience material delays in product development and commercial launch. If our research and product development efforts do not result in commercially viable products within the anticipated timelines, our business, operating results, and financial condition will be adversely affected.</w:t>
      </w:r>
    </w:p>
    <w:p>
      <w:pPr>
        <w:pStyle w:val="TextBody"/>
        <w:bidi w:val="0"/>
        <w:spacing w:lineRule="auto" w:line="288"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The commercialization of our products will require us to establish relationships and successfully collaborate with leading life science companies and research institutions, initially to test and validate our products and subsequently as we seek to expand the markets for our products. We may be unable to establish sufficient collaborations of this nature, and such collaborations could result in agreements that limit or otherwise impair our flexibility to pursue other strategic opportunities.</w:t>
      </w:r>
    </w:p>
    <w:p>
      <w:pPr>
        <w:pStyle w:val="TextBody"/>
        <w:bidi w:val="0"/>
        <w:spacing w:lineRule="auto" w:line="288" w:before="0" w:after="180"/>
        <w:ind w:left="0" w:right="0" w:firstLine="360"/>
        <w:jc w:val="left"/>
        <w:rPr/>
      </w:pPr>
      <w:r>
        <w:rPr>
          <w:rFonts w:ascii="Times New Roman;sans-serif" w:hAnsi="Times New Roman;sans-serif"/>
          <w:b w:val="false"/>
          <w:color w:val="000000"/>
          <w:sz w:val="20"/>
        </w:rPr>
        <w:t xml:space="preserve">As noted above, establishing collaborations and partnerships with large pharmaceutical and biotechnology companies and with major research institutions is a material element of our commercialization strategy. While early collaborations are expected to focus on the assessment and validation of our </w:t>
      </w:r>
      <w:r>
        <w:rPr>
          <w:rFonts w:ascii="Times New Roman;sans-serif" w:hAnsi="Times New Roman;sans-serif"/>
          <w:b w:val="false"/>
          <w:color w:val="000000"/>
          <w:sz w:val="20"/>
          <w:shd w:fill="FFFFFF" w:val="clear"/>
        </w:rPr>
        <w:t>Nautilus</w:t>
      </w:r>
      <w:r>
        <w:rPr>
          <w:color w:val="000000"/>
        </w:rPr>
        <w:t xml:space="preserve"> </w:t>
      </w:r>
      <w:r>
        <w:rPr>
          <w:rFonts w:ascii="Times New Roman;sans-serif" w:hAnsi="Times New Roman;sans-serif"/>
          <w:b w:val="false"/>
          <w:color w:val="000000"/>
          <w:sz w:val="20"/>
        </w:rPr>
        <w:t xml:space="preserve">platform with a focus in part on publication of results in peer-reviewed scientific journals, we also intend to pursue additional, potentially revenue-generating collaborations in areas of biological interest. Among other examples, we may pursue collaborations relating to the development and commercialization of therapeutic product candidates targeting proteins identified by our </w:t>
      </w:r>
      <w:r>
        <w:rPr>
          <w:rFonts w:ascii="Times New Roman;sans-serif" w:hAnsi="Times New Roman;sans-serif"/>
          <w:b w:val="false"/>
          <w:color w:val="000000"/>
          <w:sz w:val="20"/>
          <w:shd w:fill="FFFFFF" w:val="clear"/>
        </w:rPr>
        <w:t>Nautilus</w:t>
      </w:r>
      <w:r>
        <w:rPr>
          <w:color w:val="000000"/>
        </w:rPr>
        <w:t xml:space="preserve"> </w:t>
      </w:r>
      <w:r>
        <w:rPr>
          <w:rFonts w:ascii="Times New Roman;sans-serif" w:hAnsi="Times New Roman;sans-serif"/>
          <w:b w:val="false"/>
          <w:color w:val="000000"/>
          <w:sz w:val="20"/>
        </w:rPr>
        <w:t>platform.</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There can be no assurance that we will be successful in developing or maintaining collaborations or that, if established, these collaborations will achieve the desired objectives. Establishing collaborations is difficult and time-consuming. Discussions may not lead to collaborations on favorable terms, if at all, and particularly where we are negotiating against major pharmaceutical companies, we may have relatively less leverage in negotiating favorable terms. To the extent we agree to work exclusively with a party in a given field, our opportunities to collaborate with others in that field would be limited. Certain parties may seek to partner with other companies in addition to us in connection with a project. This, in turn, may limit the commercial potential of any products that are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31445"/>
                <wp:effectExtent l="0" t="0" r="0" b="0"/>
                <wp:wrapNone/>
                <wp:docPr id="57" name="Frame3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39</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subject of such collaborations. Potential collaborators may elect not to work with us based upon their assessment of our financial, regulatory, commercial or intellectual property position.</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Even if we are successful in entering into collaborations, the success of such collaborations will depend heavily on the efforts and activities of our collaborators.</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Scientific collaborations of the nature we propose to pursue are subject to numerous risks, including that:</w:t>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shd w:fill="FFFFFF" w:val="clear"/>
        </w:rPr>
        <w:t>collaborators may have significant discretion in determining the efforts and resources that they will apply to a specific project;</w:t>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shd w:fill="FFFFFF" w:val="clear"/>
        </w:rPr>
        <w:t>collaborators may not pursue development and commercialization of products or may elect not to continue or renew development or commercialization programs based on trial or test results, changes in their strategic focus due to the acquisition of competitive products, availability of funding, or other external factors such as a business combination that diverts resources or creates competing priorities;</w:t>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shd w:fill="FFFFFF" w:val="clear"/>
        </w:rPr>
        <w:t>collaborators may own intellectual property covering products that result from our collaboration with them, and in such cases, we would not have the right to develop or commercialize such intellectual property;</w:t>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shd w:fill="FFFFFF" w:val="clear"/>
        </w:rPr>
        <w:t>collaborators may co-own intellectual property covering products that result from our collaboration with them, and in such cases, we would not have the right to exclude others from developing or commercializing such intellectual property;</w:t>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shd w:fill="FFFFFF" w:val="clear"/>
        </w:rPr>
        <w:t>collaborators could independently develop, or develop with third parties, products that compete directly or indirectly with product candidates that are being developed under the collaboration with us;</w:t>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shd w:fill="FFFFFF" w:val="clear"/>
        </w:rPr>
        <w:t>a collaborator with marketing, manufacturing, and distribution rights to one or more products may not commit sufficient resources to or otherwise not perform satisfactorily in carrying out these activities;</w:t>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shd w:fill="FFFFFF" w:val="clear"/>
        </w:rPr>
        <w:t>we could grant exclusive rights to our collaborators that would prevent us from collaborating with others;</w:t>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shd w:fill="FFFFFF" w:val="clear"/>
        </w:rPr>
        <w:t>collaborators may not properly maintain or defend our intellectual property rights or may use our intellectual property or proprietary information in a way that gives rise to actual or threatened litigation that could jeopardize or invalidate our intellectual property or proprietary information or expose us to potential liability;</w:t>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shd w:fill="FFFFFF" w:val="clear"/>
        </w:rPr>
        <w:t>disputes may arise between us and a collaborator that cause the delay or termination of the research, development, or commercialization of products or that result in costly litigation or arbitration that diverts management attention and resources;</w:t>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shd w:fill="FFFFFF" w:val="clear"/>
        </w:rPr>
        <w:t>collaborations may be terminated, and, if terminated, in addition to reducing our revenue, may reduce exposure to research and clinical trials that facilitate the collection and incorporation of new information into our platform; and</w:t>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shd w:fill="FFFFFF" w:val="clear"/>
        </w:rPr>
        <w:t>a collaborator’s sales and marketing activities or other operations may not be in compliance with applicable laws resulting in civil or criminal proceedings.</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before obtaining marketing approval from regulatory authorities for the sale of product candidates subject to future collaborations, our collaborators must conduct extensive clinical trials to demonstrate the safety and efficacy of the product candidates. If clinical trials of product candidates resulting from collaborations are prolonged or delayed, collaborators may be unable to obtain required regulatory approvals and therefore be unable to commercialize product candidates on a timely basis or at all, which may have a material impact on the revenue recognized from such collaborations.</w:t>
      </w:r>
    </w:p>
    <w:p>
      <w:pPr>
        <w:pStyle w:val="TextBody"/>
        <w:bidi w:val="0"/>
        <w:spacing w:lineRule="auto" w:line="288"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Even if we are able to complete development of our Nautilus platform, we may not achieve or maintain significant commercial market acceptance.</w:t>
      </w:r>
    </w:p>
    <w:p>
      <w:pPr>
        <w:pStyle w:val="TextBody"/>
        <w:bidi w:val="0"/>
        <w:spacing w:lineRule="auto" w:line="288" w:before="0" w:after="180"/>
        <w:ind w:left="0" w:right="0" w:firstLine="360"/>
        <w:jc w:val="left"/>
        <w:rPr/>
      </w:pPr>
      <w:r>
        <w:rPr>
          <w:rFonts w:ascii="Times New Roman;sans-serif" w:hAnsi="Times New Roman;sans-serif"/>
          <w:b w:val="false"/>
          <w:color w:val="000000"/>
          <w:sz w:val="20"/>
        </w:rPr>
        <w:t xml:space="preserve">Even if we are able to complete development of our </w:t>
      </w:r>
      <w:r>
        <w:rPr>
          <w:rFonts w:ascii="Times New Roman;sans-serif" w:hAnsi="Times New Roman;sans-serif"/>
          <w:b w:val="false"/>
          <w:color w:val="000000"/>
          <w:sz w:val="20"/>
          <w:shd w:fill="FFFFFF" w:val="clear"/>
        </w:rPr>
        <w:t>Nautilus</w:t>
      </w:r>
      <w:r>
        <w:rPr>
          <w:color w:val="000000"/>
        </w:rPr>
        <w:t xml:space="preserve"> </w:t>
      </w:r>
      <w:r>
        <w:rPr>
          <w:rFonts w:ascii="Times New Roman;sans-serif" w:hAnsi="Times New Roman;sans-serif"/>
          <w:b w:val="false"/>
          <w:color w:val="000000"/>
          <w:sz w:val="20"/>
        </w:rPr>
        <w:t>platform, the platform will be subject to market forces and adoption curves common to new technologies. The market for novel proteomics technologies and products like those being developed by us is in the early stages of development. While these technologies present the potential to displace legacy products, changing long-standing scientific workflows with new instruments requiring substantial capital expenditures will require us to invest substantial financial and management resources to educate potential customers on the benefits of our</w:t>
      </w:r>
      <w:r>
        <w:rPr>
          <w:color w:val="000000"/>
          <w:shd w:fill="FFFFFF" w:val="clear"/>
        </w:rPr>
        <w:t xml:space="preserve"> </w:t>
      </w:r>
      <w:r>
        <w:rPr>
          <w:rFonts w:ascii="Times New Roman;sans-serif" w:hAnsi="Times New Roman;sans-serif"/>
          <w:b w:val="false"/>
          <w:color w:val="000000"/>
          <w:sz w:val="20"/>
          <w:shd w:fill="FFFFFF" w:val="clear"/>
        </w:rPr>
        <w:t>Nautilus</w:t>
      </w:r>
      <w:r>
        <w:rPr>
          <w:color w:val="000000"/>
        </w:rPr>
        <w:t xml:space="preserve"> </w:t>
      </w:r>
      <w:r>
        <w:rPr>
          <w:rFonts w:ascii="Times New Roman;sans-serif" w:hAnsi="Times New Roman;sans-serif"/>
          <w:b w:val="false"/>
          <w:color w:val="000000"/>
          <w:sz w:val="20"/>
        </w:rPr>
        <w:t xml:space="preserve">platform relative to existing technologies and to validate our </w:t>
      </w:r>
      <w:r>
        <w:rPr>
          <w:rFonts w:ascii="Times New Roman;sans-serif" w:hAnsi="Times New Roman;sans-serif"/>
          <w:b w:val="false"/>
          <w:color w:val="000000"/>
          <w:sz w:val="20"/>
          <w:shd w:fill="FFFFFF" w:val="clear"/>
        </w:rPr>
        <w:t>Nautilus</w:t>
      </w:r>
      <w:r>
        <w:rPr>
          <w:color w:val="000000"/>
        </w:rPr>
        <w:t xml:space="preserve"> </w:t>
      </w:r>
      <w:r>
        <w:rPr>
          <w:rFonts w:ascii="Times New Roman;sans-serif" w:hAnsi="Times New Roman;sans-serif"/>
          <w:b w:val="false"/>
          <w:color w:val="000000"/>
          <w:sz w:val="20"/>
        </w:rPr>
        <w:t xml:space="preserve">platform’s ability to meet customer requirements. In that regard, we anticipate that our initial market focus will be pharmaceutical development and associated research, which are characterized by demanding and exacting requirements for product performance and accuracy. If widespread adoption of our </w:t>
      </w:r>
      <w:r>
        <w:rPr>
          <w:rFonts w:ascii="Times New Roman;sans-serif" w:hAnsi="Times New Roman;sans-serif"/>
          <w:b w:val="false"/>
          <w:color w:val="000000"/>
          <w:sz w:val="20"/>
          <w:shd w:fill="FFFFFF" w:val="clear"/>
        </w:rPr>
        <w:t>Nautilus</w:t>
      </w:r>
      <w:r>
        <w:rPr>
          <w:color w:val="000000"/>
        </w:rPr>
        <w:t xml:space="preserve"> </w:t>
      </w:r>
      <w:r>
        <w:rPr>
          <w:rFonts w:ascii="Times New Roman;sans-serif" w:hAnsi="Times New Roman;sans-serif"/>
          <w:b w:val="false"/>
          <w:color w:val="000000"/>
          <w:sz w:val="20"/>
        </w:rPr>
        <w:t>platform takes longer than anticipated or does not occur, our business will be materially and adversely affected.</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More specifically, the successful introduction of new technologies in life science markets requires substantial engagement with the scientific community in order to encourage community acceptance of the utility, performance, and cost of the technology relative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31445"/>
                <wp:effectExtent l="0" t="0" r="0" b="0"/>
                <wp:wrapNone/>
                <wp:docPr id="58" name="Frame40"/>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40</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pPr>
      <w:r>
        <w:rPr>
          <w:rFonts w:ascii="Times New Roman;sans-serif" w:hAnsi="Times New Roman;sans-serif"/>
          <w:b w:val="false"/>
          <w:color w:val="000000"/>
          <w:sz w:val="20"/>
        </w:rPr>
        <w:t xml:space="preserve">to its benefits in the applicable field or fields of research. The life sciences scientific community is often led by a small number of early adopters and key opinion leaders who significantly influence the larger community through publications in peer-reviewed journals. In these journal publications, the researchers describe not only their discoveries but also the methods and typically the products used to fuel these discoveries. We expect that references to the use of our </w:t>
      </w:r>
      <w:r>
        <w:rPr>
          <w:rFonts w:ascii="Times New Roman;sans-serif" w:hAnsi="Times New Roman;sans-serif"/>
          <w:b w:val="false"/>
          <w:color w:val="000000"/>
          <w:sz w:val="20"/>
          <w:shd w:fill="FFFFFF" w:val="clear"/>
        </w:rPr>
        <w:t>Nautilus p</w:t>
      </w:r>
      <w:r>
        <w:rPr>
          <w:rFonts w:ascii="Times New Roman;sans-serif" w:hAnsi="Times New Roman;sans-serif"/>
          <w:b w:val="false"/>
          <w:color w:val="000000"/>
          <w:sz w:val="20"/>
        </w:rPr>
        <w:t>latform in peer-reviewed journal publications will be critical to our ability to obtain widespread acceptance within the scientific community. In addition, continuing collaborative relationships with key opinion leaders will be vital to maintaining any market acceptance we achieve. If too few researchers describe the use of our products, too many researchers shift to a competing product and publish research outlining their use of that product, or too many researchers negatively describe the use of our products in publications, customers may be less willing to engage with us concerning our products, which could materially delay our commercialization plan and/or substantially extend our sales cycles. Moreover, these customers may ultimately be less willing to purchase our products, which would adversely affect our business and future revenue.</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Specific, material factors that will influence our ability to achieve market acceptance include the following:</w:t>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shd w:fill="FFFFFF" w:val="clear"/>
        </w:rPr>
        <w:t>the ability of our marketing and engagement initiatives to increase awareness of the capabilities of our Nautilus platform;</w:t>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shd w:fill="FFFFFF" w:val="clear"/>
        </w:rPr>
        <w:t>the ability of our Nautilus platform to demonstrate reliable performance in intended use applications, in particular, when the platform is used by customers in their own research;</w:t>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shd w:fill="FFFFFF" w:val="clear"/>
        </w:rPr>
        <w:t>our ability to demonstrate that the functionality and performance of our Nautilus platform relative to alternative products and technologies justifies the substantial anticipated cost of the platform;</w:t>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shd w:fill="FFFFFF" w:val="clear"/>
        </w:rPr>
        <w:t>the willingness of prospective customers to adopt new products and workflows;</w:t>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shd w:fill="FFFFFF" w:val="clear"/>
        </w:rPr>
        <w:t>the ease of use of our Nautilus platform and whether it reliably provides significant advantages over alternative products and technologies;</w:t>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shd w:fill="FFFFFF" w:val="clear"/>
        </w:rPr>
        <w:t>the rate of adoption of our Nautilus platform by biopharmaceutical companies, laboratories, academic institutions and others;</w:t>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shd w:fill="FFFFFF" w:val="clear"/>
        </w:rPr>
        <w:t>the prices at which we will be able to sell our Nautilus platform instruments and consumables;</w:t>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shd w:fill="FFFFFF" w:val="clear"/>
        </w:rPr>
        <w:t>our ability to develop new products, workflows, and solutions that meet customer requirements;</w:t>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shd w:fill="FFFFFF" w:val="clear"/>
        </w:rPr>
        <w:t>the introduction or development and commercialization by competitors of new products or enhancements to existing products with functionality and/or performance similar to our Nautilus platform; and</w:t>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shd w:fill="FFFFFF" w:val="clear"/>
        </w:rPr>
        <w:t>the impact of our investments in product innovation and commercial growth.</w:t>
      </w:r>
    </w:p>
    <w:p>
      <w:pPr>
        <w:pStyle w:val="TextBody"/>
        <w:bidi w:val="0"/>
        <w:spacing w:lineRule="auto" w:line="288" w:before="0" w:after="180"/>
        <w:ind w:left="0" w:right="0" w:firstLine="360"/>
        <w:jc w:val="left"/>
        <w:rPr/>
      </w:pPr>
      <w:r>
        <w:rPr>
          <w:rFonts w:ascii="Times New Roman;sans-serif" w:hAnsi="Times New Roman;sans-serif"/>
          <w:b w:val="false"/>
          <w:color w:val="000000"/>
          <w:sz w:val="20"/>
        </w:rPr>
        <w:t xml:space="preserve">We cannot assure you that we will be successful in addressing any of these criteria or any additional criteria that might affect the market acceptance of our products. If we are unsuccessful in achieving and maintaining market acceptance of our </w:t>
      </w:r>
      <w:r>
        <w:rPr>
          <w:rFonts w:ascii="Times New Roman;sans-serif" w:hAnsi="Times New Roman;sans-serif"/>
          <w:b w:val="false"/>
          <w:color w:val="000000"/>
          <w:sz w:val="20"/>
          <w:shd w:fill="FFFFFF" w:val="clear"/>
        </w:rPr>
        <w:t>Nautilus p</w:t>
      </w:r>
      <w:r>
        <w:rPr>
          <w:rFonts w:ascii="Times New Roman;sans-serif" w:hAnsi="Times New Roman;sans-serif"/>
          <w:b w:val="false"/>
          <w:color w:val="000000"/>
          <w:sz w:val="20"/>
        </w:rPr>
        <w:t>latform, our business, financial condition and results of operations would be adversely affected.</w:t>
      </w:r>
    </w:p>
    <w:p>
      <w:pPr>
        <w:pStyle w:val="TextBody"/>
        <w:bidi w:val="0"/>
        <w:spacing w:lineRule="auto" w:line="288"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We have no experience in manufacturing our products at commercial scale. If we are unable to establish manufacturing capacity by ourselves or with partners in a timely manner after completing development, commercialization of our Nautilus platform would be delayed, which would result in lost revenue and harm our business.</w:t>
      </w:r>
    </w:p>
    <w:p>
      <w:pPr>
        <w:pStyle w:val="TextBody"/>
        <w:bidi w:val="0"/>
        <w:spacing w:lineRule="auto" w:line="288" w:before="0" w:after="180"/>
        <w:ind w:left="0" w:right="0" w:firstLine="360"/>
        <w:jc w:val="left"/>
        <w:rPr/>
      </w:pPr>
      <w:r>
        <w:rPr>
          <w:rFonts w:ascii="Times New Roman;sans-serif" w:hAnsi="Times New Roman;sans-serif"/>
          <w:b w:val="false"/>
          <w:color w:val="000000"/>
          <w:sz w:val="20"/>
        </w:rPr>
        <w:t xml:space="preserve">In order for us to commercialize our </w:t>
      </w:r>
      <w:r>
        <w:rPr>
          <w:rFonts w:ascii="Times New Roman;sans-serif" w:hAnsi="Times New Roman;sans-serif"/>
          <w:b w:val="false"/>
          <w:color w:val="000000"/>
          <w:sz w:val="20"/>
          <w:shd w:fill="FFFFFF" w:val="clear"/>
        </w:rPr>
        <w:t>Nautilus p</w:t>
      </w:r>
      <w:r>
        <w:rPr>
          <w:rFonts w:ascii="Times New Roman;sans-serif" w:hAnsi="Times New Roman;sans-serif"/>
          <w:b w:val="false"/>
          <w:color w:val="000000"/>
          <w:sz w:val="20"/>
        </w:rPr>
        <w:t xml:space="preserve">latform in volume, we will need to establish internal manufacturing capacity or to contract with one or more manufacturing partners, or both. Our technology is complex, and the manufacturing process for our products will be similarly complex, involving a large number of unique precision parts in addition to the production of various reagents and antibodies. We may encounter unexpected difficulties in manufacturing our </w:t>
      </w:r>
      <w:r>
        <w:rPr>
          <w:rFonts w:ascii="Times New Roman;sans-serif" w:hAnsi="Times New Roman;sans-serif"/>
          <w:b w:val="false"/>
          <w:color w:val="000000"/>
          <w:sz w:val="20"/>
          <w:shd w:fill="FFFFFF" w:val="clear"/>
        </w:rPr>
        <w:t>Nautilus p</w:t>
      </w:r>
      <w:r>
        <w:rPr>
          <w:rFonts w:ascii="Times New Roman;sans-serif" w:hAnsi="Times New Roman;sans-serif"/>
          <w:b w:val="false"/>
          <w:color w:val="000000"/>
          <w:sz w:val="20"/>
        </w:rPr>
        <w:t xml:space="preserve">latform, including our proteome analysis system and related consumables. Among other factors, we will need to develop reliable supply chains for the various components in our platform instruments and consumables to support large-scale commercial production. In connection with our </w:t>
      </w:r>
      <w:r>
        <w:rPr>
          <w:rFonts w:ascii="Times New Roman;sans-serif" w:hAnsi="Times New Roman;sans-serif"/>
          <w:b w:val="false"/>
          <w:color w:val="000000"/>
          <w:sz w:val="20"/>
          <w:shd w:fill="FFFFFF" w:val="clear"/>
        </w:rPr>
        <w:t>Nautilus p</w:t>
      </w:r>
      <w:r>
        <w:rPr>
          <w:rFonts w:ascii="Times New Roman;sans-serif" w:hAnsi="Times New Roman;sans-serif"/>
          <w:b w:val="false"/>
          <w:color w:val="000000"/>
          <w:sz w:val="20"/>
        </w:rPr>
        <w:t xml:space="preserve">latform, we may utilize long lead time instrument system components, such as cameras and lasers, and as a result, it may impact our ability to consistently source such components. Additionally, we intend to utilize over 300 complex reagents and various antibodies in order to generate deep proteomic information at the speed and scale which we expect our </w:t>
      </w:r>
      <w:r>
        <w:rPr>
          <w:rFonts w:ascii="Times New Roman;sans-serif" w:hAnsi="Times New Roman;sans-serif"/>
          <w:b w:val="false"/>
          <w:color w:val="000000"/>
          <w:sz w:val="20"/>
          <w:shd w:fill="FFFFFF" w:val="clear"/>
        </w:rPr>
        <w:t>Nautilus p</w:t>
      </w:r>
      <w:r>
        <w:rPr>
          <w:rFonts w:ascii="Times New Roman;sans-serif" w:hAnsi="Times New Roman;sans-serif"/>
          <w:b w:val="false"/>
          <w:color w:val="000000"/>
          <w:sz w:val="20"/>
        </w:rPr>
        <w:t xml:space="preserve">latform to perform. Such reagents and antibodies are expected to be more difficult to manufacture and more expensive to procure. There are no assurances that we will be able to build manufacturing or consumable production capacity internally or find one or more suitable manufacturing or production partners, or both, to meet the volume and quality requirements necessary to be successful in the proteomics market. In addition, in connection with establishing third party relationships or sourcing component supplies, including with respect to instrument components, reagents and antibodies, we may incur costs that are higher than currently expected and that may adversely affect our gross margins and operating results following commercialization. Assuming we complete development of our </w:t>
      </w:r>
      <w:r>
        <w:rPr>
          <w:rFonts w:ascii="Times New Roman;sans-serif" w:hAnsi="Times New Roman;sans-serif"/>
          <w:b w:val="false"/>
          <w:color w:val="000000"/>
          <w:sz w:val="20"/>
          <w:shd w:fill="FFFFFF" w:val="clear"/>
        </w:rPr>
        <w:t>Nautilus p</w:t>
      </w:r>
      <w:r>
        <w:rPr>
          <w:rFonts w:ascii="Times New Roman;sans-serif" w:hAnsi="Times New Roman;sans-serif"/>
          <w:b w:val="false"/>
          <w:color w:val="000000"/>
          <w:sz w:val="20"/>
        </w:rPr>
        <w:t xml:space="preserve">latform, we may experience manufacturing and product quality issues as we increase the scale of our production. Any delay or inability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31445"/>
                <wp:effectExtent l="0" t="0" r="0" b="0"/>
                <wp:wrapNone/>
                <wp:docPr id="59" name="Frame41"/>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41</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establishing or expanding our manufacturing capacity could diminish our ability to develop or sell our products, result in increased or unanticipated costs, result in lost revenue, and seriously harm our business, results of operations and financial condition.</w:t>
      </w:r>
    </w:p>
    <w:p>
      <w:pPr>
        <w:pStyle w:val="TextBody"/>
        <w:bidi w:val="0"/>
        <w:spacing w:lineRule="auto" w:line="288"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If we are unable to establish an effective commercial organization, including effective distribution channels and sales and marketing functions, we may not be successful in commercializing our Nautilus platform.</w:t>
      </w:r>
    </w:p>
    <w:p>
      <w:pPr>
        <w:pStyle w:val="TextBody"/>
        <w:bidi w:val="0"/>
        <w:spacing w:lineRule="auto" w:line="288" w:before="0" w:after="180"/>
        <w:ind w:left="0" w:right="0" w:firstLine="360"/>
        <w:jc w:val="left"/>
        <w:rPr/>
      </w:pPr>
      <w:r>
        <w:rPr>
          <w:rFonts w:ascii="Times New Roman;sans-serif" w:hAnsi="Times New Roman;sans-serif"/>
          <w:b w:val="false"/>
          <w:color w:val="000000"/>
          <w:sz w:val="20"/>
        </w:rPr>
        <w:t xml:space="preserve">We are only beginning to establish an internal organization focused specifically on the commercialization of our </w:t>
      </w:r>
      <w:r>
        <w:rPr>
          <w:rFonts w:ascii="Times New Roman;sans-serif" w:hAnsi="Times New Roman;sans-serif"/>
          <w:b w:val="false"/>
          <w:color w:val="000000"/>
          <w:sz w:val="20"/>
          <w:shd w:fill="FFFFFF" w:val="clear"/>
        </w:rPr>
        <w:t>Nautilus</w:t>
      </w:r>
      <w:r>
        <w:rPr>
          <w:color w:val="000000"/>
        </w:rPr>
        <w:t xml:space="preserve"> </w:t>
      </w:r>
      <w:r>
        <w:rPr>
          <w:rFonts w:ascii="Times New Roman;sans-serif" w:hAnsi="Times New Roman;sans-serif"/>
          <w:b w:val="false"/>
          <w:color w:val="000000"/>
          <w:sz w:val="20"/>
        </w:rPr>
        <w:t xml:space="preserve">platform. Our initial hiring has focused on senior commercial leadership, and although this leadership has considerable industry experience, in order to achieve substantial revenue growth and profitability, we will be required to develop sales, marketing, distribution, customer service, and customer support capabilities. Staffing of these functions will frequently require individuals with the requisite technical and scientific expertise to establish and support sales of a sophisticated and complex platform for life sciences experimentation. We will be required to expend substantial financial resources to hire personnel and develop our commercial operations prior to commercial launch of our </w:t>
      </w:r>
      <w:r>
        <w:rPr>
          <w:rFonts w:ascii="Times New Roman;sans-serif" w:hAnsi="Times New Roman;sans-serif"/>
          <w:b w:val="false"/>
          <w:color w:val="000000"/>
          <w:sz w:val="20"/>
          <w:shd w:fill="FFFFFF" w:val="clear"/>
        </w:rPr>
        <w:t>Nautilus</w:t>
      </w:r>
      <w:r>
        <w:rPr>
          <w:color w:val="000000"/>
        </w:rPr>
        <w:t xml:space="preserve"> </w:t>
      </w:r>
      <w:r>
        <w:rPr>
          <w:rFonts w:ascii="Times New Roman;sans-serif" w:hAnsi="Times New Roman;sans-serif"/>
          <w:b w:val="false"/>
          <w:color w:val="000000"/>
          <w:sz w:val="20"/>
        </w:rPr>
        <w:t>platform. Accordingly, these initiatives will adversely affect our operating expenses prior to us having material off-setting revenue, if any.</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To develop these functions successfully, we will face a number of additional risks, including:</w:t>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shd w:fill="FFFFFF" w:val="clear"/>
        </w:rPr>
        <w:t>our ability to attract, retain, and manage the sales, marketing, customer service, and customer support force necessary to commercialize and gain market acceptance for our technology, with the additional challenge that many of these new hires will require specific scientific and technological expertise that may be more difficult to find; and</w:t>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shd w:fill="FFFFFF" w:val="clear"/>
        </w:rPr>
        <w:t>the time and cost of establishing a specialized sales, marketing and customer service and support force.</w:t>
      </w:r>
    </w:p>
    <w:p>
      <w:pPr>
        <w:pStyle w:val="TextBody"/>
        <w:bidi w:val="0"/>
        <w:spacing w:lineRule="auto" w:line="288" w:before="0" w:after="180"/>
        <w:ind w:left="0" w:right="0" w:firstLine="360"/>
        <w:jc w:val="left"/>
        <w:rPr/>
      </w:pPr>
      <w:r>
        <w:rPr>
          <w:rFonts w:ascii="Times New Roman;sans-serif" w:hAnsi="Times New Roman;sans-serif"/>
          <w:b w:val="false"/>
          <w:color w:val="000000"/>
          <w:sz w:val="20"/>
        </w:rPr>
        <w:t xml:space="preserve">In addition to our internal organization, we may seek to enlist one or more third parties to assist with sales, distribution, and customer service and support globally or in certain regions of the world. In certain markets, we could seek to establish partnerships with larger market participants to provide access to their distribution channels and which could also involve scientific or technological collaboration. There is no guarantee, if we do seek to enter into any of these arrangements, that we will be successful in attracting desirable partners or that we will be able to enter into such arrangements on commercially favorable terms. If our commercialization efforts, or those of any third-party partners, are not successful, our </w:t>
      </w:r>
      <w:r>
        <w:rPr>
          <w:rFonts w:ascii="Times New Roman;sans-serif" w:hAnsi="Times New Roman;sans-serif"/>
          <w:b w:val="false"/>
          <w:color w:val="000000"/>
          <w:sz w:val="20"/>
          <w:shd w:fill="FFFFFF" w:val="clear"/>
        </w:rPr>
        <w:t>Nautilus p</w:t>
      </w:r>
      <w:r>
        <w:rPr>
          <w:rFonts w:ascii="Times New Roman;sans-serif" w:hAnsi="Times New Roman;sans-serif"/>
          <w:b w:val="false"/>
          <w:color w:val="000000"/>
          <w:sz w:val="20"/>
        </w:rPr>
        <w:t>latform may not gain market acceptance, which could materially impact our business and results of operations.</w:t>
      </w:r>
    </w:p>
    <w:p>
      <w:pPr>
        <w:pStyle w:val="TextBody"/>
        <w:bidi w:val="0"/>
        <w:spacing w:lineRule="auto" w:line="288"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The size of the markets for our Nautilus platform may be smaller than estimated, and new market opportunities may not develop as quickly as we expect, or at all, limiting our ability to successfully sell our products.</w:t>
      </w:r>
    </w:p>
    <w:p>
      <w:pPr>
        <w:pStyle w:val="TextBody"/>
        <w:bidi w:val="0"/>
        <w:spacing w:lineRule="auto" w:line="288" w:before="0" w:after="180"/>
        <w:ind w:left="0" w:right="0" w:firstLine="360"/>
        <w:jc w:val="left"/>
        <w:rPr/>
      </w:pPr>
      <w:r>
        <w:rPr>
          <w:rFonts w:ascii="Times New Roman;sans-serif" w:hAnsi="Times New Roman;sans-serif"/>
          <w:b w:val="false"/>
          <w:color w:val="000000"/>
          <w:sz w:val="20"/>
        </w:rPr>
        <w:t xml:space="preserve">The market for proteomics technologies and products is evolving, making it difficult to predict with any accuracy the size of the markets for our current and future products, including our </w:t>
      </w:r>
      <w:r>
        <w:rPr>
          <w:rFonts w:ascii="Times New Roman;sans-serif" w:hAnsi="Times New Roman;sans-serif"/>
          <w:b w:val="false"/>
          <w:color w:val="000000"/>
          <w:sz w:val="20"/>
          <w:shd w:fill="FFFFFF" w:val="clear"/>
        </w:rPr>
        <w:t>Nautilus platform</w:t>
      </w:r>
      <w:r>
        <w:rPr>
          <w:rFonts w:ascii="Times New Roman;sans-serif" w:hAnsi="Times New Roman;sans-serif"/>
          <w:b w:val="false"/>
          <w:color w:val="000000"/>
          <w:sz w:val="20"/>
        </w:rPr>
        <w:t xml:space="preserve">. Our estimates of the total addressable market for our current and future products, including with respect to the proteomics market, the diagnostic market, and the mass spectrometry market, are based on a number of internal and third-party estimates and assumptions. In particular, our estimates are based on our expectations that researchers in the market for certain life sciences research tools and technologies will view our products as competitive alternatives to, or better options than, existing tools and technologies. We also expect researchers will recognize the ability of our products to complement, enhance and enable new applications of their current tools and technologies. We expect them to recognize the value proposition offered by our products enough to purchase our products in addition to the tools and technologies they already own. Underlying each of these expectations are a number of estimates and assumptions that may be incorrect, including the assumptions that government or other sources of funding will continue to be available to life sciences researchers at times and in amounts necessary to allow them to purchase our products and that researchers have sufficient samples and an unmet need for performing proteomics studies at scale across thousands of samples. In addition, sales of new products into new market opportunities may take years to develop and mature and we cannot be certain that these market opportunities will develop as we expect. New life sciences technology may not be adopted until the consistency and accuracy of such technology, method or device has been proven. As a result, the sizes of the annual total addressable market for new markets and new products are even more difficult to predict. Our product is an innovative new product, and while we draw comparisons between the evolution and growth of the genomics market, the proteomics market may develop more slowly or differently. In addition, our </w:t>
      </w:r>
      <w:r>
        <w:rPr>
          <w:rFonts w:ascii="Times New Roman;sans-serif" w:hAnsi="Times New Roman;sans-serif"/>
          <w:b w:val="false"/>
          <w:color w:val="000000"/>
          <w:sz w:val="20"/>
          <w:shd w:fill="FFFFFF" w:val="clear"/>
        </w:rPr>
        <w:t>Nautilus platform</w:t>
      </w:r>
      <w:r>
        <w:rPr>
          <w:color w:val="000000"/>
        </w:rPr>
        <w:t xml:space="preserve"> </w:t>
      </w:r>
      <w:r>
        <w:rPr>
          <w:rFonts w:ascii="Times New Roman;sans-serif" w:hAnsi="Times New Roman;sans-serif"/>
          <w:b w:val="false"/>
          <w:color w:val="000000"/>
          <w:sz w:val="20"/>
        </w:rPr>
        <w:t>may not impact the field of proteomics in the same manner or degree, or within the same time frame, that NGS technologies have impacted the field of genomics, or at all. While we believe our assumptions and the data underlying our estimates of the total addressable market for our products are reasonable, these assumptions and estimates may not be correct and the conditions supporting our assumptions or estimates, or those underlying the third-party data we have used, may change at any time, thereby reducing the accuracy of our estimates. As a result, our estimates of the total addressable market for our products may be incorrect.</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future growth of the market for our current and future products depends on many factors beyond our control, including recognition and acceptance of our products by the scientific community and the growth, prevalence and costs of competing products and solutions. Such recognition and acceptance may not occur in the near term, or at all. If the markets for our current and future products are smaller than estimated or do not develop as we expect, our growth may be limited and our business, financial condition and operational results of operations could be adversely affected.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31445"/>
                <wp:effectExtent l="0" t="0" r="0" b="0"/>
                <wp:wrapNone/>
                <wp:docPr id="60" name="Frame4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42</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ind w:left="0" w:right="0" w:firstLine="360"/>
        <w:jc w:val="left"/>
        <w:rPr/>
      </w:pPr>
      <w:r>
        <w:rPr>
          <w:rFonts w:ascii="Times New Roman;sans-serif" w:hAnsi="Times New Roman;sans-serif"/>
          <w:b/>
          <w:i/>
          <w:color w:val="000000"/>
          <w:sz w:val="20"/>
        </w:rPr>
        <w:t>We are dependent on single source suppliers for some of the components and materials used in our</w:t>
      </w:r>
      <w:r>
        <w:rPr>
          <w:color w:val="000000"/>
          <w:shd w:fill="FFFFFF" w:val="clear"/>
        </w:rPr>
        <w:t xml:space="preserve"> </w:t>
      </w:r>
      <w:r>
        <w:rPr>
          <w:rFonts w:ascii="Times New Roman;sans-serif" w:hAnsi="Times New Roman;sans-serif"/>
          <w:b/>
          <w:i/>
          <w:color w:val="000000"/>
          <w:sz w:val="20"/>
        </w:rPr>
        <w:t>Nautilus platform, and the loss of any of these suppliers could harm our business.</w:t>
      </w:r>
    </w:p>
    <w:p>
      <w:pPr>
        <w:pStyle w:val="TextBody"/>
        <w:bidi w:val="0"/>
        <w:spacing w:lineRule="auto" w:line="288" w:before="0" w:after="180"/>
        <w:ind w:left="0" w:right="0" w:firstLine="360"/>
        <w:jc w:val="left"/>
        <w:rPr/>
      </w:pPr>
      <w:r>
        <w:rPr>
          <w:rFonts w:ascii="Times New Roman;sans-serif" w:hAnsi="Times New Roman;sans-serif"/>
          <w:b w:val="false"/>
          <w:color w:val="000000"/>
          <w:sz w:val="20"/>
        </w:rPr>
        <w:t xml:space="preserve">We rely on single source suppliers for certain components and materials used in our </w:t>
      </w:r>
      <w:r>
        <w:rPr>
          <w:rFonts w:ascii="Times New Roman;sans-serif" w:hAnsi="Times New Roman;sans-serif"/>
          <w:b w:val="false"/>
          <w:color w:val="000000"/>
          <w:sz w:val="20"/>
          <w:shd w:fill="FFFFFF" w:val="clear"/>
        </w:rPr>
        <w:t>Nautilus platform. The loss of any of these single source suppliers would require us to expend significant time and effort to locate and qualify an alternative source of supply for these components. Though we do not c</w:t>
      </w:r>
      <w:r>
        <w:rPr>
          <w:rFonts w:ascii="Times New Roman;sans-serif" w:hAnsi="Times New Roman;sans-serif"/>
          <w:b w:val="false"/>
          <w:color w:val="000000"/>
          <w:sz w:val="20"/>
        </w:rPr>
        <w:t xml:space="preserve">urrently have contracts for third parties to provide manufacturing capabilities for each component of our </w:t>
      </w:r>
      <w:r>
        <w:rPr>
          <w:rFonts w:ascii="Times New Roman;sans-serif" w:hAnsi="Times New Roman;sans-serif"/>
          <w:b w:val="false"/>
          <w:color w:val="000000"/>
          <w:sz w:val="20"/>
          <w:shd w:fill="FFFFFF" w:val="clear"/>
        </w:rPr>
        <w:t>Nautilus platform for which we expect to employ such third party manufacturers</w:t>
      </w:r>
      <w:r>
        <w:rPr>
          <w:rFonts w:ascii="Times New Roman;sans-serif" w:hAnsi="Times New Roman;sans-serif"/>
          <w:b w:val="false"/>
          <w:color w:val="000000"/>
          <w:sz w:val="20"/>
        </w:rPr>
        <w:t>, if we are successful in reaching the point of manufacturing our products for commercialization, we may rely on a single company for such manufacturing. Any contractual disputes between us and such manufacturer or loss of manufacturing ability by such manufacturer could similarly require significant time, effort and expense to locate and qualify an alternative source of manufacturing, which could materially harm our business.</w:t>
      </w:r>
    </w:p>
    <w:p>
      <w:pPr>
        <w:pStyle w:val="TextBody"/>
        <w:bidi w:val="0"/>
        <w:spacing w:lineRule="auto" w:line="288" w:before="0" w:after="180"/>
        <w:ind w:left="0" w:right="0" w:firstLine="360"/>
        <w:jc w:val="left"/>
        <w:rPr/>
      </w:pPr>
      <w:r>
        <w:rPr>
          <w:rFonts w:ascii="Times New Roman;sans-serif" w:hAnsi="Times New Roman;sans-serif"/>
          <w:b w:val="false"/>
          <w:color w:val="000000"/>
          <w:sz w:val="20"/>
        </w:rPr>
        <w:t xml:space="preserve">We also rely, and expect to continue to rely, on third-party manufacturers and, in many cases, single third-party manufacturers for the production of certain reagents and antibodies needed to generate the deep proteomic information at the speed and scale which we expect our </w:t>
      </w:r>
      <w:r>
        <w:rPr>
          <w:rFonts w:ascii="Times New Roman;sans-serif" w:hAnsi="Times New Roman;sans-serif"/>
          <w:b w:val="false"/>
          <w:color w:val="000000"/>
          <w:sz w:val="20"/>
          <w:shd w:fill="FFFFFF" w:val="clear"/>
        </w:rPr>
        <w:t>Nautilus platform</w:t>
      </w:r>
      <w:r>
        <w:rPr>
          <w:color w:val="000000"/>
        </w:rPr>
        <w:t xml:space="preserve"> </w:t>
      </w:r>
      <w:r>
        <w:rPr>
          <w:rFonts w:ascii="Times New Roman;sans-serif" w:hAnsi="Times New Roman;sans-serif"/>
          <w:b w:val="false"/>
          <w:color w:val="000000"/>
          <w:sz w:val="20"/>
        </w:rPr>
        <w:t>to perform. With respect to any antibodies or reagents that are single sourced, the loss of any suppliers would require significant time and effort to locate and qualify an alternative source of supply. Such reagents and antibodies may also become scarce, more expensive to procure, or not meet quality standards, and we may not be able to obtain favorable terms in agreements with suppliers. Given their complexity, our suppliers may not be able to provide these reagents and antibodies in a cost-effective manner or in a time frame that is consistent with our expected future needs. If our suppliers cease or interrupt production or if suppliers fail to supply materials, products or services to us for any reason, such interruption could delay development, or interrupt the commercial supply, with the potential for additional costs and lost revenue. If this were to occur, we might also need to seek alternative means to fulfill our manufacturing needs. Any such transition would require significant efforts in testing and validation and could result in delays or other issues, which could materially harm our business.</w:t>
      </w:r>
    </w:p>
    <w:p>
      <w:pPr>
        <w:pStyle w:val="TextBody"/>
        <w:bidi w:val="0"/>
        <w:spacing w:lineRule="auto" w:line="288"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The life sciences technology market is highly competitive. If we fail to compete effectively, our business and results of operation will suffer.</w:t>
      </w:r>
    </w:p>
    <w:p>
      <w:pPr>
        <w:pStyle w:val="TextBody"/>
        <w:bidi w:val="0"/>
        <w:spacing w:lineRule="auto" w:line="288" w:before="0" w:after="180"/>
        <w:ind w:left="0" w:right="0" w:firstLine="360"/>
        <w:jc w:val="left"/>
        <w:rPr/>
      </w:pPr>
      <w:r>
        <w:rPr>
          <w:rFonts w:ascii="Times New Roman;sans-serif" w:hAnsi="Times New Roman;sans-serif"/>
          <w:b w:val="false"/>
          <w:color w:val="000000"/>
          <w:sz w:val="20"/>
        </w:rPr>
        <w:t>We face significant competition in the life sciences technology market. We currently compete with technology and diagnostic companies tha</w:t>
      </w:r>
      <w:r>
        <w:rPr>
          <w:rFonts w:ascii="Times New Roman;sans-serif" w:hAnsi="Times New Roman;sans-serif"/>
          <w:b w:val="false"/>
          <w:color w:val="000000"/>
          <w:sz w:val="20"/>
          <w:shd w:fill="FFFFFF" w:val="clear"/>
        </w:rPr>
        <w:t>t supply components, products, and services to customers engaged in proteomics analysis. Major competitors include Thermo Fisher Scientific (including Olink); Bruker Corporation; Agilent Technologies; Danaher; (SCIEX); Becton, Dickinson and Company; Quanterix; and Standard Biotools (formerly known as Somalogic). We also compete with a number of emerging companies that are developing proteomic products and solut</w:t>
      </w:r>
      <w:r>
        <w:rPr>
          <w:rFonts w:ascii="Times New Roman;sans-serif" w:hAnsi="Times New Roman;sans-serif"/>
          <w:b w:val="false"/>
          <w:color w:val="000000"/>
          <w:sz w:val="20"/>
        </w:rPr>
        <w:t>ions.</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Some of our current competitors are large publicly-traded companies, or are divisions of large publicly-traded companies, and enjoy a number of competitive advantages over us, including:</w:t>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shd w:fill="FFFFFF" w:val="clear"/>
        </w:rPr>
        <w:t>greater name and brand recognition;</w:t>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shd w:fill="FFFFFF" w:val="clear"/>
        </w:rPr>
        <w:t>greater financial and human resources;</w:t>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shd w:fill="FFFFFF" w:val="clear"/>
        </w:rPr>
        <w:t>broader product lines;</w:t>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shd w:fill="FFFFFF" w:val="clear"/>
        </w:rPr>
        <w:t>larger sales forces and more established distributor networks;</w:t>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shd w:fill="FFFFFF" w:val="clear"/>
        </w:rPr>
        <w:t>substantial intellectual property portfolios;</w:t>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shd w:fill="FFFFFF" w:val="clear"/>
        </w:rPr>
        <w:t>larger and more established customer bases and relationships; and</w:t>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shd w:fill="FFFFFF" w:val="clear"/>
        </w:rPr>
        <w:t>better established, larger scale and lower cost manufacturing capabilities.</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cannot assure investors that our products will compete favorably or that we will be successful in the face of increasing competition from products and technologies introduced by our existing or future competitors or by companies entering our markets or that are developed by our customers internally. In addition, we cannot assure investors that our competitors do not have or will not develop products or technologies that currently or in the future will enable them to produce competitive products with superior functionality or performance or at lower costs than ours or that are able to run comparable experiments at a lower total experiment cost. Additionally, the merger or consolidation of significant competitors would result in competitors with greater resources, which may enable them to offer a different market approach, or a lower cost structure through economies of scale or other efficiencies that we may be unable to match and which may intensify competition. Further, our competitors may seek to vertically integrate by buying suppliers that also supply products or components to us, which could enable them to further reduce prices, or could increase our costs. Any failure to compete effectively could materially and adversely affect our business, financial condition and operating results.</w:t>
      </w:r>
    </w:p>
    <w:p>
      <w:pPr>
        <w:pStyle w:val="TextBody"/>
        <w:bidi w:val="0"/>
        <w:spacing w:before="0" w:after="180"/>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31445"/>
                <wp:effectExtent l="0" t="0" r="0" b="0"/>
                <wp:wrapNone/>
                <wp:docPr id="61" name="Frame4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43</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Even if our Nautilus platform is commercialized and achieves broad scientific and market acceptance, if we fail to improve it or introduce compelling new products, our revenue and our prospects could be harmed.</w:t>
      </w:r>
    </w:p>
    <w:p>
      <w:pPr>
        <w:pStyle w:val="TextBody"/>
        <w:bidi w:val="0"/>
        <w:spacing w:lineRule="auto" w:line="288" w:before="0" w:after="180"/>
        <w:ind w:left="0" w:right="0" w:firstLine="360"/>
        <w:jc w:val="left"/>
        <w:rPr/>
      </w:pPr>
      <w:r>
        <w:rPr>
          <w:rFonts w:ascii="Times New Roman;sans-serif" w:hAnsi="Times New Roman;sans-serif"/>
          <w:b w:val="false"/>
          <w:color w:val="000000"/>
          <w:sz w:val="20"/>
        </w:rPr>
        <w:t xml:space="preserve">The life sciences industry is characterized by rapid and significant technological changes, frequent new product introductions and enhancements and evolving industry standards. Even if we are able to commercialize our </w:t>
      </w:r>
      <w:r>
        <w:rPr>
          <w:rFonts w:ascii="Times New Roman;sans-serif" w:hAnsi="Times New Roman;sans-serif"/>
          <w:b w:val="false"/>
          <w:color w:val="000000"/>
          <w:sz w:val="20"/>
          <w:shd w:fill="FFFFFF" w:val="clear"/>
        </w:rPr>
        <w:t>Nautilus platform</w:t>
      </w:r>
      <w:r>
        <w:rPr>
          <w:color w:val="000000"/>
        </w:rPr>
        <w:t xml:space="preserve"> </w:t>
      </w:r>
      <w:r>
        <w:rPr>
          <w:rFonts w:ascii="Times New Roman;sans-serif" w:hAnsi="Times New Roman;sans-serif"/>
          <w:b w:val="false"/>
          <w:color w:val="000000"/>
          <w:sz w:val="20"/>
        </w:rPr>
        <w:t xml:space="preserve">and achieve broad scientific and market acceptance, our ability to attract new customers and increase revenue from existing customers will depend in large part on our ability to enhance and improve our </w:t>
      </w:r>
      <w:r>
        <w:rPr>
          <w:rFonts w:ascii="Times New Roman;sans-serif" w:hAnsi="Times New Roman;sans-serif"/>
          <w:b w:val="false"/>
          <w:color w:val="000000"/>
          <w:sz w:val="20"/>
          <w:shd w:fill="FFFFFF" w:val="clear"/>
        </w:rPr>
        <w:t>Nautilus platform</w:t>
      </w:r>
      <w:r>
        <w:rPr>
          <w:color w:val="000000"/>
        </w:rPr>
        <w:t xml:space="preserve"> </w:t>
      </w:r>
      <w:r>
        <w:rPr>
          <w:rFonts w:ascii="Times New Roman;sans-serif" w:hAnsi="Times New Roman;sans-serif"/>
          <w:b w:val="false"/>
          <w:color w:val="000000"/>
          <w:sz w:val="20"/>
        </w:rPr>
        <w:t xml:space="preserve">and to introduce compelling new products. The success of any enhancement to our </w:t>
      </w:r>
      <w:r>
        <w:rPr>
          <w:rFonts w:ascii="Times New Roman;sans-serif" w:hAnsi="Times New Roman;sans-serif"/>
          <w:b w:val="false"/>
          <w:color w:val="000000"/>
          <w:sz w:val="20"/>
          <w:shd w:fill="FFFFFF" w:val="clear"/>
        </w:rPr>
        <w:t>Nautilus platform</w:t>
      </w:r>
      <w:r>
        <w:rPr>
          <w:color w:val="000000"/>
        </w:rPr>
        <w:t xml:space="preserve"> </w:t>
      </w:r>
      <w:r>
        <w:rPr>
          <w:rFonts w:ascii="Times New Roman;sans-serif" w:hAnsi="Times New Roman;sans-serif"/>
          <w:b w:val="false"/>
          <w:color w:val="000000"/>
          <w:sz w:val="20"/>
        </w:rPr>
        <w:t xml:space="preserve">or introduction of new products depends on several factors, including timely completion and delivery, competitive pricing, adequate quality testing, integration with existing technologies, freedom from intellectual property encumbrance, appropriately timed and staged introduction and overall market acceptance. Any new product or enhancement to our </w:t>
      </w:r>
      <w:r>
        <w:rPr>
          <w:rFonts w:ascii="Times New Roman;sans-serif" w:hAnsi="Times New Roman;sans-serif"/>
          <w:b w:val="false"/>
          <w:color w:val="000000"/>
          <w:sz w:val="20"/>
          <w:shd w:fill="FFFFFF" w:val="clear"/>
        </w:rPr>
        <w:t>Nautilus platform</w:t>
      </w:r>
      <w:r>
        <w:rPr>
          <w:color w:val="000000"/>
        </w:rPr>
        <w:t xml:space="preserve"> </w:t>
      </w:r>
      <w:r>
        <w:rPr>
          <w:rFonts w:ascii="Times New Roman;sans-serif" w:hAnsi="Times New Roman;sans-serif"/>
          <w:b w:val="false"/>
          <w:color w:val="000000"/>
          <w:sz w:val="20"/>
        </w:rPr>
        <w:t>that we develop may not be introduced in a timely or cost-effective manner, may contain defects, errors, vulnerabilities or bugs, or may not achieve the market acceptance necessary to generate significant revenue.</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typical development cycle of new life sciences products can be lengthy and complicated, and may require new scientific discoveries or advancements, considerable resources and complex technology and engineering. Such developments may involve external suppliers and service providers, making the management of development projects complex and subject to risks and uncertainties regarding timing, timely delivery of required components or services and satisfactory technical performance of such components or assembled products. If we do not achieve the required technical specifications or successfully manage new product development processes, or if development work is not performed according to schedule, then such new technologies or products may be adversely impacted. If we are unable to successfully develop new products, enhance our proteomics product platform to meet customer requirements, compete with alternative products, or otherwise gain and maintain market acceptance, our business, results of operations and financial condition could be harmed.</w:t>
      </w:r>
    </w:p>
    <w:p>
      <w:pPr>
        <w:pStyle w:val="TextBody"/>
        <w:bidi w:val="0"/>
        <w:spacing w:lineRule="auto" w:line="288"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We rely on third parties for development of certain aspects of the Nautilus platform, and any failure of these third parties to perform their respective obligations in a timely manner or to our specifications could negatively impact our timelines, costs or product performance.</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are engaged with a number of third party collaborators who assist us in co-development of certain aspects of the Nautilus platform, including, for example, certain affinity reagents and array chip substrates. Our agreements with these third party collaborators include obligations for these third parties to deliver certain aspects of technology to be used in the Nautilus platform in accordance with certain defined timelines, in accordance with defined specifications, and in accordance with certain cost limitations. We have also sought to include redundancy and contingency planning with respect to the efforts of our third party collaborators where practicable. Despite our contractual assurances and contingency planning, it is possible that one or more of our third party collaborators may fail to deliver their respective technologies to us on time or in accordance with our specifications, and such failure could negatively impact the timing of the commercialization of the Nautilus platform, its performance, or its cost.</w:t>
      </w:r>
    </w:p>
    <w:p>
      <w:pPr>
        <w:pStyle w:val="TextBody"/>
        <w:bidi w:val="0"/>
        <w:spacing w:lineRule="auto" w:line="288"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Our business will depend significantly on research and development spending by pharmaceutical companies as well as by academic and other research institutions. Any reduction in spending could limit demand for our products and adversely affect our business, results of operations, financial condition and prospects.</w:t>
      </w:r>
    </w:p>
    <w:p>
      <w:pPr>
        <w:pStyle w:val="TextBody"/>
        <w:bidi w:val="0"/>
        <w:spacing w:lineRule="auto" w:line="288" w:before="0" w:after="180"/>
        <w:ind w:left="0" w:right="0" w:firstLine="360"/>
        <w:jc w:val="left"/>
        <w:rPr/>
      </w:pPr>
      <w:r>
        <w:rPr>
          <w:rFonts w:ascii="Times New Roman;sans-serif" w:hAnsi="Times New Roman;sans-serif"/>
          <w:b w:val="false"/>
          <w:color w:val="000000"/>
          <w:sz w:val="20"/>
        </w:rPr>
        <w:t xml:space="preserve">We expect that our revenue in the foreseeable future will be derived primarily from sales of our </w:t>
      </w:r>
      <w:r>
        <w:rPr>
          <w:rFonts w:ascii="Times New Roman;sans-serif" w:hAnsi="Times New Roman;sans-serif"/>
          <w:b w:val="false"/>
          <w:color w:val="000000"/>
          <w:sz w:val="20"/>
          <w:shd w:fill="FFFFFF" w:val="clear"/>
        </w:rPr>
        <w:t>Nautilus platform</w:t>
      </w:r>
      <w:r>
        <w:rPr>
          <w:color w:val="000000"/>
        </w:rPr>
        <w:t xml:space="preserve"> </w:t>
      </w:r>
      <w:r>
        <w:rPr>
          <w:rFonts w:ascii="Times New Roman;sans-serif" w:hAnsi="Times New Roman;sans-serif"/>
          <w:b w:val="false"/>
          <w:color w:val="000000"/>
          <w:sz w:val="20"/>
        </w:rPr>
        <w:t xml:space="preserve">to biotechnology companies and life science laboratories worldwide, and to a lesser extent, academic institutions and non-profit organizations. Our success will depend upon demand for and use of our products. Accordingly, the spending policies of these customers could have a significant effect on the demand for our technology. These policies may be based on a wide variety of factors, including the resources available to make purchases, the spending priorities among various types of equipment, policies regarding spending during recessionary periods and changes in the political climate. In addition, academic, governmental and other research institutions that fund research and development activities may be subject to stringent budgetary constraints that could result in spending reductions, reduced allocations or budget cutbacks, which could jeopardize the ability of these customers to purchase our products. Our operating results may fluctuate substantially due to reductions and delays in research and development expenditures by these customers. For example, reductions in capital expenditures by these customers may result in lower than expected system sales and, similarly, reductions in operating expenditures by these customers could result in lower than expected sales of our </w:t>
      </w:r>
      <w:r>
        <w:rPr>
          <w:rFonts w:ascii="Times New Roman;sans-serif" w:hAnsi="Times New Roman;sans-serif"/>
          <w:b w:val="false"/>
          <w:color w:val="000000"/>
          <w:sz w:val="20"/>
          <w:shd w:fill="FFFFFF" w:val="clear"/>
        </w:rPr>
        <w:t>Nautilus platform</w:t>
      </w:r>
      <w:r>
        <w:rPr>
          <w:rFonts w:ascii="Times New Roman;sans-serif" w:hAnsi="Times New Roman;sans-serif"/>
          <w:b w:val="false"/>
          <w:color w:val="000000"/>
          <w:sz w:val="20"/>
        </w:rPr>
        <w:t>. These reductions and delays may result from factors that are not within our control, such as:</w:t>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rPr>
        <w:t>decreases in government funding of research and development, including any reductions in funding to the U.S. National Institutes of Health;</w:t>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shd w:fill="FFFFFF" w:val="clear"/>
        </w:rPr>
        <w:t xml:space="preserve">changes in economic conditions, including recessionary effects, inflationary pressures </w:t>
      </w:r>
      <w:r>
        <w:rPr>
          <w:rFonts w:ascii="Times New Roman;sans-serif" w:hAnsi="Times New Roman;sans-serif"/>
          <w:b w:val="false"/>
          <w:color w:val="000000"/>
          <w:sz w:val="20"/>
        </w:rPr>
        <w:t xml:space="preserve">and instability in the global financial markets, including with respect to </w:t>
      </w:r>
      <w:r>
        <w:rPr>
          <w:rFonts w:ascii="Times New Roman;sans-serif" w:hAnsi="Times New Roman;sans-serif"/>
          <w:b w:val="false"/>
          <w:color w:val="000000"/>
          <w:sz w:val="20"/>
          <w:shd w:fill="FFFFFF" w:val="clear"/>
        </w:rPr>
        <w:t>any</w:t>
      </w:r>
      <w:r>
        <w:rPr>
          <w:color w:val="000000"/>
        </w:rPr>
        <w:t xml:space="preserve"> </w:t>
      </w:r>
      <w:r>
        <w:rPr>
          <w:rFonts w:ascii="Times New Roman;sans-serif" w:hAnsi="Times New Roman;sans-serif"/>
          <w:b w:val="false"/>
          <w:color w:val="000000"/>
          <w:sz w:val="20"/>
        </w:rPr>
        <w:t>future financial institution failures</w:t>
      </w:r>
      <w:r>
        <w:rPr>
          <w:rFonts w:ascii="Times New Roman;sans-serif" w:hAnsi="Times New Roman;sans-serif"/>
          <w:b w:val="false"/>
          <w:color w:val="000000"/>
          <w:sz w:val="20"/>
          <w:shd w:fill="FFFFFF" w:val="clear"/>
        </w:rPr>
        <w:t>;</w:t>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shd w:fill="FFFFFF" w:val="clear"/>
        </w:rPr>
        <w:t>changes in government programs that provide funding to research institutions and companies, including changes in the amount of funds allocated to different areas of research or changes that have the effect of increasing the length of time of the funding process;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31445"/>
                <wp:effectExtent l="0" t="0" r="0" b="0"/>
                <wp:wrapNone/>
                <wp:docPr id="62" name="Frame4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44</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shd w:fill="FFFFFF" w:val="clear"/>
        </w:rPr>
        <w:t>changes in the regulatory environment affecting life science and Ag-Bio companies engaged in research and commercial activities;</w:t>
      </w:r>
    </w:p>
    <w:p>
      <w:pPr>
        <w:pStyle w:val="TextBody"/>
        <w:bidi w:val="0"/>
        <w:spacing w:lineRule="auto" w:line="288" w:before="0" w:after="180"/>
        <w:ind w:left="0" w:right="0" w:firstLine="360"/>
        <w:jc w:val="left"/>
        <w:rPr/>
      </w:pPr>
      <w:r>
        <w:rPr>
          <w:color w:val="000000"/>
          <w:shd w:fill="FFFFFF" w:val="clear"/>
        </w:rPr>
        <w:t>•</w:t>
      </w:r>
      <w:r>
        <w:rPr>
          <w:rFonts w:ascii="Times New Roman;sans-serif" w:hAnsi="Times New Roman;sans-serif"/>
          <w:b w:val="false"/>
          <w:color w:val="000000"/>
          <w:sz w:val="20"/>
          <w:shd w:fill="FFFFFF" w:val="clear"/>
        </w:rPr>
        <w:t xml:space="preserve">availability of AI and </w:t>
      </w:r>
      <w:r>
        <w:rPr>
          <w:rFonts w:ascii="Times New Roman;sans-serif" w:hAnsi="Times New Roman;sans-serif"/>
          <w:b w:val="false"/>
          <w:i/>
          <w:color w:val="000000"/>
          <w:sz w:val="20"/>
          <w:shd w:fill="FFFFFF" w:val="clear"/>
        </w:rPr>
        <w:t>in silico</w:t>
      </w:r>
      <w:r>
        <w:rPr>
          <w:color w:val="000000"/>
          <w:shd w:fill="FFFFFF" w:val="clear"/>
        </w:rPr>
        <w:t xml:space="preserve"> </w:t>
      </w:r>
      <w:r>
        <w:rPr>
          <w:rFonts w:ascii="Times New Roman;sans-serif" w:hAnsi="Times New Roman;sans-serif"/>
          <w:b w:val="false"/>
          <w:color w:val="000000"/>
          <w:sz w:val="20"/>
          <w:shd w:fill="FFFFFF" w:val="clear"/>
        </w:rPr>
        <w:t>based research and development approaches, such as in drug discovery, that could impact funding allocations for R&amp;D in the pharmaceutical and biotechnology industry;</w:t>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shd w:fill="FFFFFF" w:val="clear"/>
        </w:rPr>
        <w:t>differences in budget cycles across various geographies and industries;</w:t>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shd w:fill="FFFFFF" w:val="clear"/>
        </w:rPr>
        <w:t>market-driven pressures on companies to consolidate operations and reduce costs;</w:t>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shd w:fill="FFFFFF" w:val="clear"/>
        </w:rPr>
        <w:t>mergers and acquisitions in the life science and Ag-Bio industries; and</w:t>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shd w:fill="FFFFFF" w:val="clear"/>
        </w:rPr>
        <w:t>other factors affecting research and development spending.</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Any decrease in our customers’ budgets or expenditures or in the size, scope or frequency of capital or operating expenditures as a result of the foregoing or other factors could materially and adversely affect our business, results of operations, financial condition, and prospects.</w:t>
      </w:r>
    </w:p>
    <w:p>
      <w:pPr>
        <w:pStyle w:val="TextBody"/>
        <w:bidi w:val="0"/>
        <w:spacing w:lineRule="auto" w:line="288"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Our operating results may fluctuate significantly in the future, which makes our future operating results difficult to predict and could cause our operating results to fall below expectations or any guidance we may provide.</w:t>
      </w:r>
    </w:p>
    <w:p>
      <w:pPr>
        <w:pStyle w:val="TextBody"/>
        <w:bidi w:val="0"/>
        <w:spacing w:lineRule="auto" w:line="288" w:before="0" w:after="180"/>
        <w:ind w:left="0" w:right="0" w:firstLine="360"/>
        <w:jc w:val="left"/>
        <w:rPr/>
      </w:pPr>
      <w:r>
        <w:rPr>
          <w:rFonts w:ascii="Times New Roman;sans-serif" w:hAnsi="Times New Roman;sans-serif"/>
          <w:b w:val="false"/>
          <w:color w:val="000000"/>
          <w:sz w:val="20"/>
        </w:rPr>
        <w:t xml:space="preserve">Our quarterly and annual operating results may fluctuate significantly, which makes it difficult for us to predict our future operating results. In the near term, as we devote substantially all of our resources towards the development and anticipated future commercialization of our </w:t>
      </w:r>
      <w:r>
        <w:rPr>
          <w:rFonts w:ascii="Times New Roman;sans-serif" w:hAnsi="Times New Roman;sans-serif"/>
          <w:b w:val="false"/>
          <w:color w:val="000000"/>
          <w:sz w:val="20"/>
          <w:shd w:fill="FFFFFF" w:val="clear"/>
        </w:rPr>
        <w:t>Nautilus</w:t>
      </w:r>
      <w:r>
        <w:rPr>
          <w:color w:val="000000"/>
        </w:rPr>
        <w:t xml:space="preserve"> </w:t>
      </w:r>
      <w:r>
        <w:rPr>
          <w:rFonts w:ascii="Times New Roman;sans-serif" w:hAnsi="Times New Roman;sans-serif"/>
          <w:b w:val="false"/>
          <w:color w:val="000000"/>
          <w:sz w:val="20"/>
        </w:rPr>
        <w:t>platform, specific factors that may result in fluctuations include, without limitation:</w:t>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shd w:fill="FFFFFF" w:val="clear"/>
        </w:rPr>
        <w:t>the timing and cost of, and level of investment in, research and development and commercialization activities relating to our Nautilus platform;</w:t>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shd w:fill="FFFFFF" w:val="clear"/>
        </w:rPr>
        <w:t xml:space="preserve">our ability to successfully establish and successfully maintain appropriate collaborations and derive revenue from those collaborations; </w:t>
      </w:r>
    </w:p>
    <w:p>
      <w:pPr>
        <w:pStyle w:val="TextBody"/>
        <w:bidi w:val="0"/>
        <w:spacing w:lineRule="auto" w:line="288" w:before="0" w:after="180"/>
        <w:ind w:left="0" w:right="0" w:firstLine="360"/>
        <w:jc w:val="left"/>
        <w:rPr/>
      </w:pPr>
      <w:r>
        <w:rPr>
          <w:color w:val="000000"/>
          <w:shd w:fill="FFFFFF" w:val="clear"/>
        </w:rPr>
        <w:t>•</w:t>
      </w:r>
      <w:r>
        <w:rPr>
          <w:rFonts w:ascii="Times New Roman;sans-serif" w:hAnsi="Times New Roman;sans-serif"/>
          <w:b w:val="false"/>
          <w:color w:val="000000"/>
          <w:sz w:val="20"/>
        </w:rPr>
        <w:t>the impact that economic inflation may have on our costs for manufacturing our products;</w:t>
      </w:r>
    </w:p>
    <w:p>
      <w:pPr>
        <w:pStyle w:val="TextBody"/>
        <w:bidi w:val="0"/>
        <w:spacing w:lineRule="auto" w:line="288" w:before="0" w:after="180"/>
        <w:ind w:left="0" w:right="0" w:firstLine="360"/>
        <w:jc w:val="left"/>
        <w:rPr/>
      </w:pPr>
      <w:r>
        <w:rPr>
          <w:color w:val="000000"/>
          <w:shd w:fill="FFFFFF" w:val="clear"/>
        </w:rPr>
        <w:t>•</w:t>
      </w:r>
      <w:r>
        <w:rPr>
          <w:rFonts w:ascii="Times New Roman;sans-serif" w:hAnsi="Times New Roman;sans-serif"/>
          <w:b w:val="false"/>
          <w:color w:val="000000"/>
          <w:sz w:val="20"/>
          <w:shd w:fill="FFFFFF" w:val="clear"/>
        </w:rPr>
        <w:t>any litigation or governmental investigations involving us, our industry or both; and</w:t>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shd w:fill="FFFFFF" w:val="clear"/>
        </w:rPr>
        <w:t>our ability to successfully develop and commercialize our Nautilus platform on our anticipated timeline.</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As we transition from a company with a focus on research and development to a company capable of supporting manufacturing, these fluctuations may also occur due to a variety of other factors, many of which are outside of our control, including, but not limited to:</w:t>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shd w:fill="FFFFFF" w:val="clear"/>
        </w:rPr>
        <w:t>the level of demand for any products we are able to commercialize, particularly our Nautilus platform, which may vary significantly from period to period;</w:t>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shd w:fill="FFFFFF" w:val="clear"/>
        </w:rPr>
        <w:t>our ability to drive adoption of our Nautilus platform in our target markets and our ability to expand into any future target markets;</w:t>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rPr>
        <w:t>the impact that economic inflation may have on our costs for manufacturing our products;</w:t>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shd w:fill="FFFFFF" w:val="clear"/>
        </w:rPr>
        <w:t>the prices at which we will be able to sell our Nautilus platform;</w:t>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shd w:fill="FFFFFF" w:val="clear"/>
        </w:rPr>
        <w:t>the volume and mix of our sales between consumables, instruments and software, or changes in the manufacturing or sales costs related to our products;</w:t>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shd w:fill="FFFFFF" w:val="clear"/>
        </w:rPr>
        <w:t>the timing and amount of expenditures that we may incur to develop, commercialize or acquire additional products and technologies or for other purposes, such as the expansion of our facilities;</w:t>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shd w:fill="FFFFFF" w:val="clear"/>
        </w:rPr>
        <w:t>changes in governmental funding of life sciences research and development or changes that impact budgets and budget cycles;</w:t>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shd w:fill="FFFFFF" w:val="clear"/>
        </w:rPr>
        <w:t>seasonal spending patterns of our customers;</w:t>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shd w:fill="FFFFFF" w:val="clear"/>
        </w:rPr>
        <w:t>the timing of when we recognize any revenue;</w:t>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shd w:fill="FFFFFF" w:val="clear"/>
        </w:rPr>
        <w:t>future accounting pronouncements or changes in our accounting policies;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31445"/>
                <wp:effectExtent l="0" t="0" r="0" b="0"/>
                <wp:wrapNone/>
                <wp:docPr id="63" name="Frame4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45</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shd w:fill="FFFFFF" w:val="clear"/>
        </w:rPr>
        <w:t>higher than anticipated service, replacement and warranty costs;</w:t>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shd w:fill="FFFFFF" w:val="clear"/>
        </w:rPr>
        <w:t>the impact of the COVID-19 pandemic, the conflicts in Eastern Europe and the Middle East, any potential future financial institution failures</w:t>
      </w:r>
      <w:r>
        <w:rPr>
          <w:rFonts w:ascii="Times New Roman;sans-serif" w:hAnsi="Times New Roman;sans-serif"/>
          <w:b w:val="false"/>
          <w:color w:val="000000"/>
          <w:sz w:val="20"/>
        </w:rPr>
        <w:t xml:space="preserve">, </w:t>
      </w:r>
      <w:r>
        <w:rPr>
          <w:rFonts w:ascii="Times New Roman;sans-serif" w:hAnsi="Times New Roman;sans-serif"/>
          <w:b w:val="false"/>
          <w:color w:val="000000"/>
          <w:sz w:val="20"/>
          <w:shd w:fill="FFFFFF" w:val="clear"/>
        </w:rPr>
        <w:t>and other national and global events on the economy, investment in life sciences and research industries, our business operations, and resources and operations of our customers, suppliers, and distributors; and</w:t>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shd w:fill="FFFFFF" w:val="clear"/>
        </w:rPr>
        <w:t>general industry, economic and market conditions and other factors, including factors unrelated to our operating performance or the operating performance of our competitors.</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cumulative effects of the factors discussed above could result in large fluctuations and unpredictability in our quarterly and annual operating results. As a result, comparing our operating results on a period-to-period basis may not be meaningful. Investors should not rely on our past results as an indication of our future performance.</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This variability and unpredictability could also result in us failing to meet the expectations of industry or financial analysts or investors for any period. If we are unable to commercialize products or generate revenue, or if our operating results fall below the expectations of analysts or investors or below any guidance we may provide, or if the guidance we provide is below the expectations of analysts or investors, it could cause the market price of our Common Stock to decline.</w:t>
      </w:r>
    </w:p>
    <w:p>
      <w:pPr>
        <w:pStyle w:val="TextBody"/>
        <w:bidi w:val="0"/>
        <w:spacing w:lineRule="auto" w:line="288"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We have a limited operating history, which may make it difficult to evaluate our current business and the prospects for our future viability, and to predict our future performance.</w:t>
      </w:r>
    </w:p>
    <w:p>
      <w:pPr>
        <w:pStyle w:val="TextBody"/>
        <w:bidi w:val="0"/>
        <w:spacing w:lineRule="auto" w:line="288" w:before="0" w:after="180"/>
        <w:ind w:left="0" w:right="0" w:firstLine="360"/>
        <w:jc w:val="left"/>
        <w:rPr/>
      </w:pPr>
      <w:r>
        <w:rPr>
          <w:rFonts w:ascii="Times New Roman;sans-serif" w:hAnsi="Times New Roman;sans-serif"/>
          <w:b w:val="false"/>
          <w:color w:val="000000"/>
          <w:sz w:val="20"/>
        </w:rPr>
        <w:t xml:space="preserve">We are a life sciences technology company with a limited operating history. We have not completed development of our </w:t>
      </w:r>
      <w:r>
        <w:rPr>
          <w:rFonts w:ascii="Times New Roman;sans-serif" w:hAnsi="Times New Roman;sans-serif"/>
          <w:b w:val="false"/>
          <w:color w:val="000000"/>
          <w:sz w:val="20"/>
          <w:shd w:fill="FFFFFF" w:val="clear"/>
        </w:rPr>
        <w:t>Nautilus</w:t>
      </w:r>
      <w:r>
        <w:rPr>
          <w:color w:val="000000"/>
        </w:rPr>
        <w:t xml:space="preserve"> </w:t>
      </w:r>
      <w:r>
        <w:rPr>
          <w:rFonts w:ascii="Times New Roman;sans-serif" w:hAnsi="Times New Roman;sans-serif"/>
          <w:b w:val="false"/>
          <w:color w:val="000000"/>
          <w:sz w:val="20"/>
        </w:rPr>
        <w:t xml:space="preserve">platform or any other products and have not generated any revenue to date. Our operations to date have been limited to developing our </w:t>
      </w:r>
      <w:r>
        <w:rPr>
          <w:rFonts w:ascii="Times New Roman;sans-serif" w:hAnsi="Times New Roman;sans-serif"/>
          <w:b w:val="false"/>
          <w:color w:val="000000"/>
          <w:sz w:val="20"/>
          <w:shd w:fill="FFFFFF" w:val="clear"/>
        </w:rPr>
        <w:t>Nautilus</w:t>
      </w:r>
      <w:r>
        <w:rPr>
          <w:color w:val="000000"/>
        </w:rPr>
        <w:t xml:space="preserve"> </w:t>
      </w:r>
      <w:r>
        <w:rPr>
          <w:rFonts w:ascii="Times New Roman;sans-serif" w:hAnsi="Times New Roman;sans-serif"/>
          <w:b w:val="false"/>
          <w:color w:val="000000"/>
          <w:sz w:val="20"/>
        </w:rPr>
        <w:t>platform. Our prospects must be considered in light of the uncertainties, risks, expenses, and difficulties frequently encountered by companies in their early stages of operations. Consequently, predictions about our future success or viability are highly uncertain and may not be as accurate as they could be if we had a longer operating history or a company history of successfully developing and commercializing products.</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as a business with a limited operating history, we may encounter unforeseen expenses, difficulties, complications, delays and other known and unknown obstacles. We will eventually need to transition from a company with a focus on research and development to a company capable of supporting manufacturing and commercial activities as well, and we may not be successful in such a transition. We have encountered in the past, and will encounter in the future, risks and uncertainties frequently experienced by growing companies with limited operating histories in emerging and rapidly changing industries. If our assumptions regarding these risks and uncertainties, which we use to plan and operate our business, are incorrect or change, or if we do not address these risks successfully, our results of operations could differ materially from our expectations, and our business, financial condition and results of operations could be adversely affected.</w:t>
      </w:r>
    </w:p>
    <w:p>
      <w:pPr>
        <w:pStyle w:val="TextBody"/>
        <w:bidi w:val="0"/>
        <w:spacing w:lineRule="auto" w:line="288"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We expect that we will need to raise additional capital to fund our development and commercialization plans.</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Based on our current plans, we believe that our available resources and existing cash, cash equivalents and short-term investments, will be sufficient to meet our anticipated cash requirements for at least 12 months from the date of this Annual Report on Form 10-K. If our available resources and existing cash and cash equivalents and short-term investments are insufficient to satisfy our liquidity requirements, including because of the realization of other risks described in this Annual Report on Form 10-K, we may be required to raise additional capital prior to such time through issuances of equity or convertible debt securities, enter into a credit facility or another form of third-party funding or seek other debt financing.</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expect that we will need to raise additional capital in the future to expand our business, to pursue strategic investments, to take advantage of financing or acquisition opportunities or for other reasons, including:</w:t>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shd w:fill="FFFFFF" w:val="clear"/>
        </w:rPr>
        <w:t>funding development and marketing efforts of our Nautilus platform or any other future products;</w:t>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shd w:fill="FFFFFF" w:val="clear"/>
        </w:rPr>
        <w:t>increasing our sales and marketing and other commercialization efforts to drive market adoption of our Nautilus platform, once commercialized;</w:t>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shd w:fill="FFFFFF" w:val="clear"/>
        </w:rPr>
        <w:t>expanding our technologies into additional markets;</w:t>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shd w:fill="FFFFFF" w:val="clear"/>
        </w:rPr>
        <w:t>preparing, filing, prosecuting, defending and enforcing any patent claims and other intellectual property rights;</w:t>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shd w:fill="FFFFFF" w:val="clear"/>
        </w:rPr>
        <w:t>acquiring, licensing or defending against third party intellectual property rights;</w:t>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shd w:fill="FFFFFF" w:val="clear"/>
        </w:rPr>
        <w:t>acquiring or investing in complementary technologies, businesses or assets; and</w:t>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shd w:fill="FFFFFF" w:val="clear"/>
        </w:rPr>
        <w:t>financing capital expenditures and general and administrative expenses.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31445"/>
                <wp:effectExtent l="0" t="0" r="0" b="0"/>
                <wp:wrapNone/>
                <wp:docPr id="64" name="Frame4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46</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Our present and future funding requirements will depend on many factors, including:</w:t>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shd w:fill="FFFFFF" w:val="clear"/>
        </w:rPr>
        <w:t>delays in execution of our development plans;</w:t>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shd w:fill="FFFFFF" w:val="clear"/>
        </w:rPr>
        <w:t>the scope and timing of our investment in our sales, marketing, and distribution capabilities;</w:t>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shd w:fill="FFFFFF" w:val="clear"/>
        </w:rPr>
        <w:t>changes we may make to our business that affect ongoing operating expenses;</w:t>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shd w:fill="FFFFFF" w:val="clear"/>
        </w:rPr>
        <w:t>the costs of filing, prosecuting, defending and enforcing any patent claims and other intellectual property rights;</w:t>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shd w:fill="FFFFFF" w:val="clear"/>
        </w:rPr>
        <w:t>changes we may make in our business or commercialization strategy;</w:t>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shd w:fill="FFFFFF" w:val="clear"/>
        </w:rPr>
        <w:t>changes we may make in our research and development spending plans;</w:t>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shd w:fill="FFFFFF" w:val="clear"/>
        </w:rPr>
        <w:t>the effect of competing technological and market developments;</w:t>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shd w:fill="FFFFFF" w:val="clear"/>
        </w:rPr>
        <w:t>our need to implement additional infrastructure and internal systems;</w:t>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shd w:fill="FFFFFF" w:val="clear"/>
        </w:rPr>
        <w:t xml:space="preserve">the impact of the COVID-19 pandemic, </w:t>
      </w:r>
      <w:r>
        <w:rPr>
          <w:rFonts w:ascii="Times New Roman;sans-serif" w:hAnsi="Times New Roman;sans-serif"/>
          <w:b w:val="false"/>
          <w:color w:val="000000"/>
          <w:sz w:val="20"/>
        </w:rPr>
        <w:t>the conflicts in Eastern Europe and the Middle East, changing interest rates, instability in the global financial markets and general economic downturns</w:t>
      </w:r>
      <w:r>
        <w:rPr>
          <w:rFonts w:ascii="Times New Roman;sans-serif" w:hAnsi="Times New Roman;sans-serif"/>
          <w:b w:val="false"/>
          <w:color w:val="000000"/>
          <w:sz w:val="20"/>
          <w:shd w:fill="FFFFFF" w:val="clear"/>
        </w:rPr>
        <w:t>; and</w:t>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shd w:fill="FFFFFF" w:val="clear"/>
        </w:rPr>
        <w:t>other items affecting our forecasted level of expenditures and use of cash resources including potential acquisitions.</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various ways we could raise additional capital carry potential risks. If we raise funds by issuing equity securities, dilution to our stockholders could result. If we raise funds by issuing debt securities, those debt securities could have rights, preferences and privileges senior to those of holders of our Common Stock. The terms of debt securities issued or borrowings pursuant to a credit agreement could impose significant restrictions on our operations. If we raise funds through collaborations or licensing arrangements, we might be required to relinquish significant rights to our technologies or products or grant licenses on terms that are not favorable to us.</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may be unable to raise additional funds or to enter into such agreements or arrangements on favorable terms, or at all. Our ability to raise additional funds may be adversely impacted by potential worsening global economic conditions and the recent disruptions to, and volatility in, the credit and financial markets in the United States and worldwide resulting from the COVID</w:t>
        <w:noBreakHyphen/>
        <w:t>19 pandemic, the conflicts in Eastern Europe and the Middle East, and otherwise. If we are unable to obtain adequate financing or financing on terms satisfactory to us, if we require it, our ability to continue to pursue our business objectives and to respond to business opportunities, challenges, or unforeseen circumstances could be significantly limited, and could have a material adverse effect on our business, financial condition, results of operations and prospects.</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actual events involving limited liquidity or other adverse developments that affect financial institutions, transactional counterparties or other companies in the financial services industry or the financial services industry generally, or concerns or rumors about any events of these kinds or other similar risks, have in the past and may in the future lead to market-wide liquidity problems. For example, the collapse of Silicon Valley Bank and other financial institutions in March 2023 has caused and could continue to cause instability in the global financial markets.</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Although we assess our banking relationships as we believe necessary or appropriate, our access to funding sources and other credit arrangements in amounts adequate to finance or capitalize our current and projected future business operations could be significantly impaired by factors that affect us, the financial institutions with which we have arrangements directly, or the financial services industry or economy in general. These factors could include, among others, events such as liquidity constraints or failures, disruptions or instability in the financial services industry or financial markets, or concerns or negative expectations about the prospects for companies in the financial services industry. These factors could involve financial institutions or financial services industry companies with which we have financial or business relationships, but could also include factors involving financial markets or the financial services industry generally. Credit and banking costs, generally, may also be adversely impacted by these factors, resulting in higher costs for the Company. For example, as part of our efforts to diversify our banking and credit arrangements following the collapse of Silicon Valley Bank, we have incurred higher banking related costs.</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investor concerns regarding the U.S. or international financial systems could result in less favorable commercial financing terms, including higher interest rates or costs and tighter financial and operating covenants, or systemic limitations on access to credit and liquidity sources, thereby making it more difficult for us to acquire financing on acceptable terms or at all.</w:t>
      </w:r>
    </w:p>
    <w:p>
      <w:pPr>
        <w:pStyle w:val="TextBody"/>
        <w:bidi w:val="0"/>
        <w:spacing w:before="0" w:after="180"/>
        <w:ind w:left="0" w:right="0" w:firstLine="360"/>
        <w:jc w:val="left"/>
        <w:rPr/>
      </w:pPr>
      <w:r>
        <w:rPr/>
      </w:r>
    </w:p>
    <w:p>
      <w:pPr>
        <w:pStyle w:val="TextBody"/>
        <w:bidi w:val="0"/>
        <w:spacing w:before="0" w:after="180"/>
        <w:ind w:left="0" w:right="0" w:firstLine="360"/>
        <w:jc w:val="left"/>
        <w:rPr/>
      </w:pPr>
      <w:r>
        <w:rPr/>
      </w:r>
    </w:p>
    <w:p>
      <w:pPr>
        <w:pStyle w:val="TextBody"/>
        <w:bidi w:val="0"/>
        <w:spacing w:before="0" w:after="180"/>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31445"/>
                <wp:effectExtent l="0" t="0" r="0" b="0"/>
                <wp:wrapNone/>
                <wp:docPr id="65" name="Frame4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47</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before="0" w:after="180"/>
        <w:ind w:left="0" w:right="0" w:firstLine="360"/>
        <w:jc w:val="left"/>
        <w:rPr/>
      </w:pPr>
      <w:r>
        <w:rPr/>
      </w:r>
    </w:p>
    <w:p>
      <w:pPr>
        <w:pStyle w:val="TextBody"/>
        <w:bidi w:val="0"/>
        <w:spacing w:lineRule="auto" w:line="288" w:before="0" w:after="180"/>
        <w:ind w:left="0" w:right="0" w:firstLine="360"/>
        <w:jc w:val="left"/>
        <w:rPr>
          <w:rFonts w:ascii="Times New Roman;sans-serif" w:hAnsi="Times New Roman;sans-serif"/>
          <w:b/>
          <w:color w:val="000000"/>
          <w:sz w:val="20"/>
        </w:rPr>
      </w:pPr>
      <w:r>
        <w:rPr>
          <w:rFonts w:ascii="Times New Roman;sans-serif" w:hAnsi="Times New Roman;sans-serif"/>
          <w:b/>
          <w:color w:val="000000"/>
          <w:sz w:val="20"/>
        </w:rPr>
        <w:t>Risks Related to Our Intellectual Property</w:t>
      </w:r>
    </w:p>
    <w:p>
      <w:pPr>
        <w:pStyle w:val="TextBody"/>
        <w:bidi w:val="0"/>
        <w:spacing w:lineRule="auto" w:line="288"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If we are unable to obtain and maintain sufficient intellectual property protection for our products and technology, or if the scope of our intellectual property protection obtained is not sufficiently broad, competitors could develop and commercialize products similar or identical to ours, and our ability to successfully commercialize our products may be impaired.</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Our commercial success depends in part on our ability to protect our intellectual property and proprietary technologies. We rely on patent protection, where appropriate and available, as well as a combination of copyright, trade secret and trademark laws, and nondisclosure, confidentiality and other contractual restrictions to protect our proprietary technology. However, these legal means afford only limited protection and may not adequately protect our rights or permit us to gain or keep any competitive advantage. If we fail to obtain, maintain and protect our intellectual property, third parties may be able to compete more effectively against us. In addition, we may incur substantial costs related to litigation or other patent proceedings in our attempts to recover or restrict use of our intellectual property.</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To the extent our intellectual property offers inadequate protection, or is found to be invalid or unenforceable, we would be exposed to a greater risk of direct competition. If our intellectual property does not provide adequate coverage of our competitors’ products, our competitive position could be adversely affected, as could our business, financial condition, results of operations and prospects. Both the patent application process and the process of managing patent and other intellectual property disputes are generally unpredictable, time-consuming and expensive.</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Our success depends in large part on our and any future licensor’s ability to obtain and maintain protection of the intellectual property we may own or license, whether solely or jointly, particularly patents, in the United States and other countries with respect to our products and technologies. We apply for patents to protect our products, technologies and commercial activities, as we deem appropriate. However, obtaining and enforcing patents is costly, time-consuming and complex, and we may fail to apply for patents on important products and technologies in a timely fashion or at all, or we may fail to apply for patents in potentially relevant jurisdictions. We may not be able to file and prosecute all necessary or desirable patent applications, or maintain, enforce and license any patents that may issue from such patent applications, at a reasonable cost or in a timely manner or in all jurisdictions. It is also possible that we will fail to identify patentable aspects of our research and development output before it is too late to obtain patent protection. Moreover, we may not develop additional proprietary products, methods and technologies that are patentable. We may not have the right to control the preparation, filing and prosecution of patent applications, or to maintain the rights to patents which may be licensed from or to third parties. In connection with any future licensing arrangements with third parties, these patents and applications may not be prosecuted and enforced by such third parties in a manner consistent with the best interests of our business.</w:t>
      </w:r>
    </w:p>
    <w:p>
      <w:pPr>
        <w:pStyle w:val="TextBody"/>
        <w:bidi w:val="0"/>
        <w:spacing w:lineRule="auto" w:line="288" w:before="0" w:after="180"/>
        <w:ind w:left="0" w:right="0" w:firstLine="360"/>
        <w:jc w:val="left"/>
        <w:rPr/>
      </w:pPr>
      <w:r>
        <w:rPr>
          <w:rFonts w:ascii="Times New Roman;sans-serif" w:hAnsi="Times New Roman;sans-serif"/>
          <w:b w:val="false"/>
          <w:color w:val="000000"/>
          <w:sz w:val="20"/>
        </w:rPr>
        <w:t xml:space="preserve">In addition, the patent position of life sciences technology companies generally is highly uncertain, involves complex legal and factual questions, and has been the </w:t>
      </w:r>
      <w:r>
        <w:rPr>
          <w:rFonts w:ascii="Times New Roman;sans-serif" w:hAnsi="Times New Roman;sans-serif"/>
          <w:b w:val="false"/>
          <w:color w:val="000000"/>
          <w:sz w:val="20"/>
          <w:shd w:fill="FFFFFF" w:val="clear"/>
        </w:rPr>
        <w:t>subject of much litigation in recent years. Changes in either the patent laws or in interpretations of patent laws in the United States or other jurisdictions may diminish the value of our intellectual property. As a result, the issuance, scope, validity, enforceability, and commercial value of our patent rights are highly uncertain. It is possible that none of our pending patent applications will result in issued patents in a timely fashion or at all, and even if issued, the patents may not provide a basis for intellectual property protection of commercially viable products or services, may not provide us with any competitive advantages, or may be challenged, narrowed or invalidated by third parties. We cannot predict the breadth of claims that may be allowed or enforced in our patents or in third-party patents. It is possible that third parties will design around our current or future patents such that we cannot prevent such third parties from using similar technologies and commercializing similar products to compete with us. Some of our owned or any future licensed patents or patent applications may be challenged at a future point in time and we may not be successful in defending any such challenges made against our patents or patent applications. Any successful third-party challenge to our patents could result in diminished or lost rights, for example, due to narrowing, unenforceability or invalidity of such patents and increased competition to our business. The outcome of patent litigation or other proceedings is generally uncertain, and any attempt by us to enforce our patent rights against others or to challenge the patent rights of others may not be successful, or, regardless of success, may take substantial time and result in substantial cost, and may divert our efforts and attention from other aspects of our business. Any of the foregoing events could have a material adverse effect on our business, financial condition and results of operations.</w:t>
      </w:r>
    </w:p>
    <w:p>
      <w:pPr>
        <w:pStyle w:val="TextBody"/>
        <w:bidi w:val="0"/>
        <w:spacing w:lineRule="auto" w:line="288" w:before="0" w:after="180"/>
        <w:ind w:left="0" w:right="0" w:firstLine="360"/>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The U.S. law relating to the patentability of certain inventions in the life sciences technology industry is uncertain and rapidly changing, which may adversely impact our existing patents or our ability to obtain patents in the future.</w:t>
      </w:r>
    </w:p>
    <w:p>
      <w:pPr>
        <w:pStyle w:val="TextBody"/>
        <w:bidi w:val="0"/>
        <w:spacing w:lineRule="auto" w:line="288" w:before="0" w:after="180"/>
        <w:ind w:left="0" w:right="0" w:firstLine="36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Changes in either the patent laws or interpretation of the patent laws in the United States or in other jurisdictions could increase the uncertainties and costs surrounding the prosecution of patent applications and the enforcement or defense of issued patents. In the last decade, the US Congress made sweeping changes to patent law in passing the America Invents Act (“AIA”). These changes include, among others, allowing third-party submission of prior art to the United States Patent and Trademark Office (“USPTO”) during patent prosecution and additional procedures to challenge the validity of a patent by USPTO administered post-grant proceedings, including post-grant review, inter partes review and derivation proceedings. The changes brought about by the AIA have not been extensively tested, and therefore increase the uncertainties and costs surrounding the prosecution of our patent applications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31445"/>
                <wp:effectExtent l="0" t="0" r="0" b="0"/>
                <wp:wrapNone/>
                <wp:docPr id="66" name="Frame4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48</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and the enforcement or defense of our issued patents, all of which could have a material adverse effect on our business, financial condition, results of operations and prospects.</w:t>
      </w:r>
    </w:p>
    <w:p>
      <w:pPr>
        <w:pStyle w:val="TextBody"/>
        <w:bidi w:val="0"/>
        <w:spacing w:lineRule="auto" w:line="288" w:before="0" w:after="180"/>
        <w:ind w:left="0" w:right="0" w:firstLine="360"/>
        <w:jc w:val="left"/>
        <w:rPr/>
      </w:pPr>
      <w:r>
        <w:rPr>
          <w:rFonts w:ascii="Times New Roman;sans-serif" w:hAnsi="Times New Roman;sans-serif"/>
          <w:b w:val="false"/>
          <w:color w:val="000000"/>
          <w:sz w:val="20"/>
          <w:shd w:fill="FFFFFF" w:val="clear"/>
        </w:rPr>
        <w:t xml:space="preserve">Various courts, including the U.S. Supreme Court, have recently rendered decisions that impact the scope of patentability of certain inventions or discoveries relating to our technology and commercial goals. Specifically, these </w:t>
      </w:r>
      <w:r>
        <w:rPr>
          <w:rFonts w:ascii="Times New Roman;sans-serif" w:hAnsi="Times New Roman;sans-serif"/>
          <w:b w:val="false"/>
          <w:color w:val="000000"/>
          <w:sz w:val="20"/>
        </w:rPr>
        <w:t>decisions have substantially increased the probability that patent claims will be ruled patent ineligible for reciting a natural phenomenon, law of nature or abstract idea. Furthermore, in view of these decisions, since December 2014, the USPTO has published and continues to publish revised guidelines for patent examiners to apply when examining claims for patent eligibility. Patent claims relating to software algorithms, biologically-derived reagents, methods for analyzing biological systems and other subject matters that underlies our technology and commercial goals are impacted by these changes.</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Actions taken by the U.S. Congress, federal courts and USPTO have from time to time narrowed the scope of patent protection available in certain circumstances and weakened the rights of patent owners in certain situations. Similar changes have been made by authorities in other jurisdictions. In addition to increasing uncertainty with regard to our ability to obtain patents in the future, such changes create uncertainty with respect to the value of patents, once obtained. Depending on decisions by authorities in various jurisdictions, the laws and regulations governing patents could change in unpredictable ways that may have a material adverse effect on our ability to obtain new patents and to defend and enforce our existing patents and patents that we might obtain in the future.</w:t>
      </w:r>
    </w:p>
    <w:p>
      <w:pPr>
        <w:pStyle w:val="TextBody"/>
        <w:bidi w:val="0"/>
        <w:spacing w:lineRule="auto" w:line="288" w:before="0" w:after="180"/>
        <w:ind w:left="0" w:right="0" w:firstLine="360"/>
        <w:jc w:val="left"/>
        <w:rPr/>
      </w:pPr>
      <w:r>
        <w:rPr>
          <w:rFonts w:ascii="Times New Roman;sans-serif" w:hAnsi="Times New Roman;sans-serif"/>
          <w:b w:val="false"/>
          <w:color w:val="000000"/>
          <w:sz w:val="20"/>
        </w:rPr>
        <w:t>We cannot assure you that our patent portfolio will not be negatively impacted by the current uncertain state of the law, new court rulings or changes in guidance or procedures issued by governments or patent offices around the world. From ti</w:t>
      </w:r>
      <w:r>
        <w:rPr>
          <w:rFonts w:ascii="Times New Roman;sans-serif" w:hAnsi="Times New Roman;sans-serif"/>
          <w:b w:val="false"/>
          <w:color w:val="000000"/>
          <w:sz w:val="20"/>
          <w:shd w:fill="FFFFFF" w:val="clear"/>
        </w:rPr>
        <w:t>me to time, the U.S. Supreme Court, other federal courts, the U.S. Congress or the USPTO may change the standards of patentability, scope and validity of patents within the life sciences technology and any such changes, or any similar adverse changes in the patent laws of other jurisdictions, could have a negative impact on our business, financial condition, prospects and results of operations.</w:t>
      </w:r>
    </w:p>
    <w:p>
      <w:pPr>
        <w:pStyle w:val="TextBody"/>
        <w:bidi w:val="0"/>
        <w:spacing w:lineRule="auto" w:line="288" w:before="0" w:after="180"/>
        <w:ind w:left="0" w:right="0" w:firstLine="360"/>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We may not be able to protect our intellectual property rights throughout the world.</w:t>
      </w:r>
    </w:p>
    <w:p>
      <w:pPr>
        <w:pStyle w:val="TextBody"/>
        <w:bidi w:val="0"/>
        <w:spacing w:lineRule="auto" w:line="288" w:before="0" w:after="180"/>
        <w:ind w:left="0" w:right="0" w:firstLine="36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Filing, prosecuting and defending patents on our Nautilus platform in all countries throughout the world would be prohibitively expensive, and our intellectual property rights in some countries outside the United States can be less extensive than those in the United States.</w:t>
      </w:r>
    </w:p>
    <w:p>
      <w:pPr>
        <w:pStyle w:val="TextBody"/>
        <w:bidi w:val="0"/>
        <w:spacing w:lineRule="auto" w:line="288" w:before="0" w:after="180"/>
        <w:ind w:left="0" w:right="0" w:firstLine="36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laws of some foreign countries do not protect intellectual property rights to the same extent as the laws of the United States, and we and any future licensor may encounter difficulties in protecting and defending such rights in foreign jurisdictions. Consequently, we and any future licensor may not be able to prevent third parties from practicing our inventions in some or all countries outside the United States, or from selling or importing products made using our or any future licensor’s inventions in and into the United States or other jurisdictions. Competitors and other third parties may be able to use our technologies in jurisdictions where we have not obtained patent protection to develop our own products and technologies and may also export infringing products to territories where we have patent protection, but enforcement is not as strong as that in the United States. These products may compete with our products. We and any future licensor’s patents or other intellectual property rights may not be effective or sufficient to prevent them from competing. In addition, certain countries have compulsory licensing laws under which a patent owner may be compelled to grant licenses to other parties. Furthermore, many countries limit the enforceability of patents against other parties, including government agencies or government contractors. In these countries, the patent owner may have limited remedies, which could materially diminish the value of any patents.</w:t>
      </w:r>
    </w:p>
    <w:p>
      <w:pPr>
        <w:pStyle w:val="TextBody"/>
        <w:bidi w:val="0"/>
        <w:spacing w:lineRule="auto" w:line="288" w:before="0" w:after="180"/>
        <w:ind w:left="0" w:right="0" w:firstLine="360"/>
        <w:jc w:val="left"/>
        <w:rPr/>
      </w:pPr>
      <w:r>
        <w:rPr>
          <w:rFonts w:ascii="Times New Roman;sans-serif" w:hAnsi="Times New Roman;sans-serif"/>
          <w:b w:val="false"/>
          <w:color w:val="000000"/>
          <w:sz w:val="20"/>
          <w:shd w:fill="FFFFFF" w:val="clear"/>
        </w:rPr>
        <w:t>Many companies have enc</w:t>
      </w:r>
      <w:r>
        <w:rPr>
          <w:rFonts w:ascii="Times New Roman;sans-serif" w:hAnsi="Times New Roman;sans-serif"/>
          <w:b w:val="false"/>
          <w:color w:val="000000"/>
          <w:sz w:val="20"/>
        </w:rPr>
        <w:t>ountered significant problems in protecting and defending intellectual property rights in foreign jurisdictions. The legal systems of many other countries do not favor the enforcement of patents and other intellectual property protection, which could make it difficult for us to stop the misappropriation or other violations of our intellectual property rights including infringement of our patents in such countries. The legal systems in certain countries may also favor state-sponsored companies or companies headquartered in particular jurisdictions over our patents and other intellectual property protection. The absence of harmonized intellectual property protection laws and effective enforcement makes it difficult to ensure consistent respect for patent, trade secret, and other intellectual property rights on a worldwide basis. As a result, it is possible that we will not be able to enforce our rights against third parties that misappropriate our proprietary technology in those countries.</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Proceedings to enforce our or any future licensor’s patent rights in foreign jurisdictions could result in substantial cost and divert our efforts and attention from other aspects of our business, could put our and any future licensor’s patents at risk of being invalidated or interpreted narrowly and our and any future licensor’s patent applications at risk of not issuing, and could provoke third parties to assert claims against us. We and any future licensor may not prevail in any lawsuits that we and any future licensor initiates, or that are initiated against us or any future licensor, and the damages or other remedies awarded, if any, may not be commercially meaningful. In addition, changes in the law and legal decisions by courts in the United States and foreign countries may affect our ability to obtain adequate protection for our products, services and other technologies and the enforcement of intellectual property. Accordingly, our efforts to enforce our intellectual property rights around the world may be inadequate to obtain a significant commercial advantage from the intellectual property that we develop or license. Any of the foregoing events could have a material adverse effect on our business, financial condition, results of operations and prospects.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31445"/>
                <wp:effectExtent l="0" t="0" r="0" b="0"/>
                <wp:wrapNone/>
                <wp:docPr id="67" name="Frame4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49</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We may become involved in lawsuits to defend against third-party claims of infringement, misappropriation or other violations of intellectual property or to protect or enforce our intellectual property, any of which could be expensive, time consuming and unsuccessful, and may prevent or delay our development and commercialization efforts.</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Litigation may be necessary for us to enforce our patent and proprietary rights and/or to determine the scope, coverage and validity of others’ proprietary rights. Litigation on these matters has been prevalent in our industry and we expect that this will continue. To determine the priority of inventions, we may have to initiate and participate in interference proceedings declared by the USPTO that could result in substantial legal fees and could substantially affect the scope of our patent protection. Also, our intellectual property may be subject to significant administrative and litigation proceedings such as invalidity, unenforceability, re-examination and opposition proceedings against our patents. The outcome of any litigation or other proceeding is inherently uncertain and might not be favorable to us, and we might not be able to obtain licenses to technology that we require or a competitor may have already obtained an exclusive license to such technology in all fields. Even if such licenses are obtainable, they may not be available at a reasonable cost. We could therefore incur substantial costs related to royalty payments for licenses obtained from third parties, which could negatively affect our gross margins. In some cases, the outcome of litigation may be to enjoin us from commercializing a patent protected technology. We could encounter delays in product introductions, or interruptions in product sales, as we develop alternative methods or products.</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if we resort to legal proceedings to enforce our intellectual property rights or to determine the validity, scope and coverage of the intellectual property or other proprietary rights of others, the proceedings could be burdensome and expensive, even if we were to prevail.</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Our commercial success may depend in part on our non-infringement of the patents or proprietary rights of third parties. Numerous significant intellectual property issues have been litigated, and will likely continue to be litigated, between existing and new participants in the life sciences market and competitors may assert that our products infringe their intellectual property rights as part of a business strategy to impede our successful entry into those markets. Third parties may assert that we are employing our proprietary technology without authorization. We are aware that there are issued third party patents that are in the general proteomics field. Specifically, we are aware of various U.S. patents and U.S. non-provisional applications assigned to Washington University and the National Institute of Health, with claims directed to characterizing and identifying a polypeptide strand.</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our competitors and others may have patents or may in the future obtain patents and may claim that use of our products infringes these patents. For example, we have received and may from time to time in the future receive letters, notices or “invitations to license” related to the use of intellectual property in our products or services, or may become the subject of claims that our products and business operations infringe or violate the intellectual property rights of others. Even if we were to prevail in any future litigation, litigation could also result in substantial costs and diversion of resources and could have a material adverse effect on our business, operating results or financial condition.</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As we move into new markets and applications for our products, incumbent participants in such markets may assert their patents and other proprietary rights against us, alleging that our products or services infringe, misappropriate or otherwise violate their intellectual property rights, including patents and trade secrets, as a means of slowing or preventing our entry into such markets, or as a means to extract substantial license and royalty payments from us. The defense of these matters can be time consuming, costly to defend in litigation, divert management’s attention and resources, damage our reputation and brand and cause us to incur significant expenses or make substantial payments.</w:t>
      </w:r>
    </w:p>
    <w:p>
      <w:pPr>
        <w:pStyle w:val="TextBody"/>
        <w:bidi w:val="0"/>
        <w:spacing w:lineRule="auto" w:line="288"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Issued patents covering our products could be found invalid or unenforceable if challenged.</w:t>
      </w:r>
    </w:p>
    <w:p>
      <w:pPr>
        <w:pStyle w:val="TextBody"/>
        <w:bidi w:val="0"/>
        <w:spacing w:lineRule="auto" w:line="288" w:before="0" w:after="180"/>
        <w:ind w:left="0" w:right="0" w:firstLine="360"/>
        <w:jc w:val="left"/>
        <w:rPr/>
      </w:pPr>
      <w:r>
        <w:rPr>
          <w:rFonts w:ascii="Times New Roman;sans-serif" w:hAnsi="Times New Roman;sans-serif"/>
          <w:b w:val="false"/>
          <w:color w:val="000000"/>
          <w:sz w:val="20"/>
        </w:rPr>
        <w:t>Our owned and any future licensed patents and</w:t>
      </w:r>
      <w:r>
        <w:rPr>
          <w:color w:val="000000"/>
          <w:shd w:fill="FFFFFF" w:val="clear"/>
        </w:rPr>
        <w:t xml:space="preserve"> </w:t>
      </w:r>
      <w:r>
        <w:rPr>
          <w:rFonts w:ascii="Times New Roman;sans-serif" w:hAnsi="Times New Roman;sans-serif"/>
          <w:b w:val="false"/>
          <w:color w:val="000000"/>
          <w:sz w:val="20"/>
          <w:shd w:fill="FFFFFF" w:val="clear"/>
        </w:rPr>
        <w:t xml:space="preserve">patent applications may be subject to validity, enforceability and priority disputes. The issuance of a patent is not conclusive as to its inventorship, scope, validity or enforceability. Some of our patents or patent applications may be challenged at a future point in time in opposition, derivation, reexamination, </w:t>
      </w:r>
      <w:r>
        <w:rPr>
          <w:rFonts w:ascii="Times New Roman;sans-serif" w:hAnsi="Times New Roman;sans-serif"/>
          <w:b w:val="false"/>
          <w:i/>
          <w:color w:val="000000"/>
          <w:sz w:val="20"/>
        </w:rPr>
        <w:t>inter partes</w:t>
      </w:r>
      <w:r>
        <w:rPr>
          <w:color w:val="000000"/>
          <w:shd w:fill="FFFFFF" w:val="clear"/>
        </w:rPr>
        <w:t xml:space="preserve"> </w:t>
      </w:r>
      <w:r>
        <w:rPr>
          <w:rFonts w:ascii="Times New Roman;sans-serif" w:hAnsi="Times New Roman;sans-serif"/>
          <w:b w:val="false"/>
          <w:color w:val="000000"/>
          <w:sz w:val="20"/>
          <w:shd w:fill="FFFFFF" w:val="clear"/>
        </w:rPr>
        <w:t>review, post-grant review or interference or other similar proceedings. Any successful third-party challenge to our patents in this or any other proceeding could result in the unenforceability or invalidity of such patents, which may lead to increase</w:t>
      </w:r>
      <w:r>
        <w:rPr>
          <w:rFonts w:ascii="Times New Roman;sans-serif" w:hAnsi="Times New Roman;sans-serif"/>
          <w:b w:val="false"/>
          <w:color w:val="000000"/>
          <w:sz w:val="20"/>
        </w:rPr>
        <w:t>d competition to our business, which could have a material adverse effect on our business, financial condition, results of operations and prospects. In addition, if we or any future licensor initiates legal proceedings against a third party to enforce a patent covering our products, the defendant could counterclaim that such patent covering our products, as applicable, is invalid and/or unenforceable. In patent litigation in the United States, defendant counterclaims alleging invalidity or unenforceability are commonplace. There are numerous grounds upon which a third party can assert invalidity or unenforceability of a patent. Grounds for a validity challenge could be an alleged failure to meet any of several statutory requirements, including, but not limited to, lack of novelty, obviousness or non-enablement. Grounds for an unenforceability assertion could be an allegation that someone connected with prosecution of the patent withheld relevant information from the relevant patent office, or made a m</w:t>
      </w:r>
      <w:r>
        <w:rPr>
          <w:rFonts w:ascii="Times New Roman;sans-serif" w:hAnsi="Times New Roman;sans-serif"/>
          <w:b w:val="false"/>
          <w:color w:val="000000"/>
          <w:sz w:val="20"/>
          <w:shd w:fill="FFFFFF" w:val="clear"/>
        </w:rPr>
        <w:t xml:space="preserve">isleading statement, during prosecution. Third parties may also raise similar claims before administrative bodies in the United States or abroad, even outside the context of litigation. Such mechanisms include ex parte re-examination, </w:t>
      </w:r>
      <w:r>
        <w:rPr>
          <w:rFonts w:ascii="Times New Roman;sans-serif" w:hAnsi="Times New Roman;sans-serif"/>
          <w:b w:val="false"/>
          <w:i/>
          <w:color w:val="000000"/>
          <w:sz w:val="20"/>
        </w:rPr>
        <w:t>inter partes</w:t>
      </w:r>
      <w:r>
        <w:rPr>
          <w:color w:val="000000"/>
          <w:shd w:fill="FFFFFF" w:val="clear"/>
        </w:rPr>
        <w:t xml:space="preserve"> </w:t>
      </w:r>
      <w:r>
        <w:rPr>
          <w:rFonts w:ascii="Times New Roman;sans-serif" w:hAnsi="Times New Roman;sans-serif"/>
          <w:b w:val="false"/>
          <w:color w:val="000000"/>
          <w:sz w:val="20"/>
          <w:shd w:fill="FFFFFF" w:val="clear"/>
        </w:rPr>
        <w:t xml:space="preserve">review, post-grant review, derivation and equivalent proceedings in non-U.S. jurisdictions, such as opposition proceedings. Such proceedings could result in revocation of or amendment to our patents in such a way that they no longer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31445"/>
                <wp:effectExtent l="0" t="0" r="0" b="0"/>
                <wp:wrapNone/>
                <wp:docPr id="68" name="Frame50"/>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50</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cover and protect our products. With respect to the validity of our patents, for example, we cannot be certain that there is no invalidating prior art of which us, any future licensor, our patent counsel and the patent examiner were unaware during prosecution. The outcome following legal assertions of invalidity and unenforceability during patent litigation is unpredictable. If a defendant or other third party were to prevail on a legal assertion of invalidity or unenforceability, we would lose at least part, and perhaps all, of the patent protection for our products and technologies, which could have a material adverse effect on our business, financial condition, results of operations and prospects. In addition, if the breadth or strength of protection provided by our patents and patent applications is threatened, regardless of the outcome, it could dissuade companies from collaborating with us to license intellectual property or develop or commercialize current or future products.</w:t>
      </w:r>
    </w:p>
    <w:p>
      <w:pPr>
        <w:pStyle w:val="TextBody"/>
        <w:bidi w:val="0"/>
        <w:spacing w:lineRule="auto" w:line="288" w:before="0" w:after="180"/>
        <w:ind w:left="0" w:right="0" w:firstLine="360"/>
        <w:jc w:val="left"/>
        <w:rPr/>
      </w:pPr>
      <w:r>
        <w:rPr>
          <w:rFonts w:ascii="Times New Roman;sans-serif" w:hAnsi="Times New Roman;sans-serif"/>
          <w:b w:val="false"/>
          <w:color w:val="000000"/>
          <w:sz w:val="20"/>
          <w:shd w:fill="FFFFFF" w:val="clear"/>
        </w:rPr>
        <w:t>We may not be aware of all third-party intel</w:t>
      </w:r>
      <w:r>
        <w:rPr>
          <w:rFonts w:ascii="Times New Roman;sans-serif" w:hAnsi="Times New Roman;sans-serif"/>
          <w:b w:val="false"/>
          <w:color w:val="000000"/>
          <w:sz w:val="20"/>
        </w:rPr>
        <w:t>lectual property rights potentially relating to our products. Publications of discoveries in the scientific literature often lag behind the actual discoveries, and patent applications in the United States and other jurisdictions are typically not published until approximately 18 months after filing or, in some cases, not until such patent applications issue as patents. We might not have been the first to make the inventions covered by each of our pending patent applications and we might not have been the first to file patent applications for these inventions. To determine the priority of these inventions, we may have to participate in interference proceedings, derivation proceedings or other post-grant proceedings declared by the USPTO, or other similar proceedings in non-U.S. jurisdictions, that could result in substantial cost to us and the loss of valuable patent protection. The outcome of such proceedings is uncertain. No assurance can be given that other patent applications will not have priority over our patent applications. In addition, changes to the patent laws of the United States in the last decade allow for various post-grant opposition proceedings that have not been extensively tested, and their outcome is therefore uncertain. Furthermore, if third parties bring these proceedings against our patents, regardless of the merit of such proceedings and regardless of whether we are successful, we could experience significant costs and our management may be distracted. Any of the foregoing events could have a material adverse effect on our business, financial condition, results of operations and prospects.</w:t>
      </w:r>
    </w:p>
    <w:p>
      <w:pPr>
        <w:pStyle w:val="TextBody"/>
        <w:bidi w:val="0"/>
        <w:spacing w:lineRule="auto" w:line="288"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If we are unable to protect the confidentiality of our trade secrets, the value of our technology could be materially adversely affected, and our business could be harmed.</w:t>
      </w:r>
    </w:p>
    <w:p>
      <w:pPr>
        <w:pStyle w:val="TextBody"/>
        <w:bidi w:val="0"/>
        <w:spacing w:lineRule="auto" w:line="288" w:before="0" w:after="180"/>
        <w:ind w:left="0" w:right="0" w:firstLine="360"/>
        <w:jc w:val="left"/>
        <w:rPr/>
      </w:pPr>
      <w:r>
        <w:rPr>
          <w:rFonts w:ascii="Times New Roman;sans-serif" w:hAnsi="Times New Roman;sans-serif"/>
          <w:b w:val="false"/>
          <w:color w:val="000000"/>
          <w:sz w:val="20"/>
        </w:rPr>
        <w:t xml:space="preserve">We rely heavily on trade secrets and confidentiality agreements to protect our unpatented know-how, technology and other proprietary information, including parts of our </w:t>
      </w:r>
      <w:r>
        <w:rPr>
          <w:rFonts w:ascii="Times New Roman;sans-serif" w:hAnsi="Times New Roman;sans-serif"/>
          <w:b w:val="false"/>
          <w:color w:val="000000"/>
          <w:sz w:val="20"/>
          <w:shd w:fill="FFFFFF" w:val="clear"/>
        </w:rPr>
        <w:t>Nautilus platform</w:t>
      </w:r>
      <w:r>
        <w:rPr>
          <w:rFonts w:ascii="Times New Roman;sans-serif" w:hAnsi="Times New Roman;sans-serif"/>
          <w:b w:val="false"/>
          <w:color w:val="000000"/>
          <w:sz w:val="20"/>
        </w:rPr>
        <w:t>, and to maintain our competitive position. However, trade secrets and know-how can be difficult to protect. In particular, we anticipate that with respect to our technologies, these trade secrets and know how will over time be disseminated within the industry through independent development, the publication of journal articles describing the methodology, and the movement of personnel between academic and industry scientific positions.</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to pursuing patents on our technology, we take steps to protect our intellectual property and proprietary technology by entering into agreements, including confidentiality agreements, non-disclosure agreements and intellectual property assignment agreements, with our employees, consultants, academic institutions, corporate partners and, when needed, our advisers. However, we cannot be certain that such agreements have been entered into with all relevant parties, and we cannot be certain that our trade secrets and other confidential proprietary information will not be disclosed or that competitors or other third parties will not otherwise gain access to our trade secrets or independently develop substantially equivalent information and techniques. For example, any of these parties may breach the agreements and disclose our proprietary information, including our trade secrets, and we may not be able to obtain adequate remedies for such breaches. Such agreements may not be enforceable or may not provide meaningful protection for our trade secrets or other proprietary information in the event of unauthorized use or disclosure or other breaches of the agreements, and we may not be able to prevent such unauthorized disclosure, which could adversely impact our ability to establish or maintain a competitive advantage in the market, business, financial condition, results of operations and prospects.</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Monitoring unauthorized disclosure is difficult, and we do not know whether the steps we have taken to prevent such disclosure are, or will be, adequate. If we were to enforce a claim that a third party had wrongfully obtained and was using our trade secrets, it would be expensive and time-consuming, it could distract our personnel, and the outcome would be unpredictable. In addition, courts outside the United States may be less willing to protect trade secrets.</w:t>
      </w:r>
    </w:p>
    <w:p>
      <w:pPr>
        <w:pStyle w:val="TextBody"/>
        <w:bidi w:val="0"/>
        <w:spacing w:lineRule="auto" w:line="288" w:before="0" w:after="180"/>
        <w:ind w:left="0" w:right="0" w:firstLine="360"/>
        <w:jc w:val="left"/>
        <w:rPr/>
      </w:pPr>
      <w:r>
        <w:rPr>
          <w:rFonts w:ascii="Times New Roman;sans-serif" w:hAnsi="Times New Roman;sans-serif"/>
          <w:b w:val="false"/>
          <w:color w:val="000000"/>
          <w:sz w:val="20"/>
        </w:rPr>
        <w:t>We also seek to preserve the integrity and confidentiality of our confidential proprietary information by maintaining physical security of our premises and physical and electronic security of our information technology systems, but it is possible that these security measures could be breached. If any of our confidential proprietary information were to be lawfully obtained or independently developed by a competitor or other third party, absent patent protection, we would have no right to prevent such competitor from using that technology or information to compete with us, which could harm our competitive position. Competitors or third parties could purchase our products and attempt to replicate some or all of the competitive advantages we derive from our development efforts, design around our protected technology</w:t>
      </w:r>
      <w:r>
        <w:rPr>
          <w:rFonts w:ascii="Times New Roman;sans-serif" w:hAnsi="Times New Roman;sans-serif"/>
          <w:b w:val="false"/>
          <w:color w:val="000000"/>
          <w:sz w:val="20"/>
          <w:shd w:fill="FFFFFF" w:val="clear"/>
        </w:rPr>
        <w:t>, develop their own competitive technologies that fall outside the scope of our intellectual property rights or independently develop our technologies without reference to our trade secrets. If any of our trade secrets were to be disclosed to or independently discovered by a competitor or other third party, it could materially and adversely affect our business, financial condition, results of operations and prospects.</w:t>
      </w:r>
    </w:p>
    <w:p>
      <w:pPr>
        <w:pStyle w:val="TextBody"/>
        <w:bidi w:val="0"/>
        <w:spacing w:before="0" w:after="180"/>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31445"/>
                <wp:effectExtent l="0" t="0" r="0" b="0"/>
                <wp:wrapNone/>
                <wp:docPr id="69" name="Frame51"/>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51</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ind w:left="0" w:right="0" w:firstLine="360"/>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We may be subject to claims challenging the inventorship of our patents and other intellectual property.</w:t>
      </w:r>
    </w:p>
    <w:p>
      <w:pPr>
        <w:pStyle w:val="TextBody"/>
        <w:bidi w:val="0"/>
        <w:spacing w:lineRule="auto" w:line="288" w:before="0" w:after="180"/>
        <w:ind w:left="0" w:right="0" w:firstLine="360"/>
        <w:jc w:val="left"/>
        <w:rPr/>
      </w:pPr>
      <w:r>
        <w:rPr>
          <w:rFonts w:ascii="Times New Roman;sans-serif" w:hAnsi="Times New Roman;sans-serif"/>
          <w:b w:val="false"/>
          <w:color w:val="000000"/>
          <w:sz w:val="20"/>
          <w:shd w:fill="FFFFFF" w:val="clear"/>
        </w:rPr>
        <w:t>We or any future licensor may be subject to claims that former employees, collaborators or other third parties have an interest in our patents, trade secrets or other intellectual property. For example, us or any future licensor may have inventorship disputes arise from conflicting obligations of employees, consultants or others who are involved in developing our products. In addition, counterparties to our consulting, software development, and other agreements may assert that they have an ownership interest in intellectual property developed under such arrangements. Litigation may be necessary to defend against claims challenging ownership or inventorship of our or any future licensor’s ownership of our patents, trade secrets or other intellectual property. If we or any future licensor fails in defending any such claims, in addition to paying monetary damages, we may lose valuable intellectual property rights, such as exclusive ownership of, or right to use, intellectual property that is im</w:t>
      </w:r>
      <w:r>
        <w:rPr>
          <w:rFonts w:ascii="Times New Roman;sans-serif" w:hAnsi="Times New Roman;sans-serif"/>
          <w:b w:val="false"/>
          <w:color w:val="000000"/>
          <w:sz w:val="20"/>
        </w:rPr>
        <w:t xml:space="preserve">portant to our </w:t>
      </w:r>
      <w:r>
        <w:rPr>
          <w:rFonts w:ascii="Times New Roman;sans-serif" w:hAnsi="Times New Roman;sans-serif"/>
          <w:b w:val="false"/>
          <w:color w:val="000000"/>
          <w:sz w:val="20"/>
          <w:shd w:fill="FFFFFF" w:val="clear"/>
        </w:rPr>
        <w:t>Nautilus platform</w:t>
      </w:r>
      <w:r>
        <w:rPr>
          <w:rFonts w:ascii="Times New Roman;sans-serif" w:hAnsi="Times New Roman;sans-serif"/>
          <w:b w:val="false"/>
          <w:color w:val="000000"/>
          <w:sz w:val="20"/>
        </w:rPr>
        <w:t>, including our software, workflows, consumables and reagent kits. In such an event, we may be required to obtain licenses from third parties and such licenses may not be available on commercially reasonable terms or at all or may be non-exclusive. If we are unable to obtain and maintain such licenses, we may need to cease the development, manufacture or commercialization of our products and technologies. Even if we are successful in defending against such claims, litigation could result in substantial costs and be a distraction to management and other employees, and certain customers or partners may defer engaging with us until the particular dispute is resolved. Any of the foregoing could have a material adverse effect on our business, financial condition, results of operations and prospects.</w:t>
      </w:r>
    </w:p>
    <w:p>
      <w:pPr>
        <w:pStyle w:val="TextBody"/>
        <w:bidi w:val="0"/>
        <w:spacing w:lineRule="auto" w:line="288"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We may not be able to protect and enforce our trademarks and trade names or build name recognition in our markets of interest thereby harming our competitive position.</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registered or unregistered trademarks or trade names that we own may be challenged, infringed, circumvented, declared generic, lapsed or determined to be infringing on or dilutive of other marks. We may not be able to protect our rights in these trademarks and trade names, which we need in order to build name recognition. In addition, third parties have filed, and may in the future file, for registration of trademarks similar or identical to our trademarks, thereby impeding our ability to build brand identity and possibly leading to market confusion. In addition, there could be potential trade name or trademark infringement claims brought by owners of other registered trademarks or trademarks that incorporate variations of our registered or unregistered trademarks or trade names. Further, we have and may in the future enter into agreements with owners of such third-party trade names or trademarks to avoid potential trademark litigation which may limit our ability to use our trade names or trademarks in certain fields of business. Over the long term, if we are unable to establish name recognition based on our trademarks and trade names, then we may not be able to compete effectively, and our business, financial condition, results of operations and prospects may be adversely affected. Our efforts to enforce or protect our proprietary rights related to trademarks, domain names, copyrights or other intellectual property may be ineffective and could result in substantial costs and diversion of resources. Any of the foregoing events could have a material adverse effect on our business, financial condition and results of operations.</w:t>
      </w:r>
    </w:p>
    <w:p>
      <w:pPr>
        <w:pStyle w:val="TextBody"/>
        <w:bidi w:val="0"/>
        <w:spacing w:lineRule="auto" w:line="288"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Patent terms may be inadequate to protect our competitive position on our Nautilus platform for an adequate amount of time.</w:t>
      </w:r>
    </w:p>
    <w:p>
      <w:pPr>
        <w:pStyle w:val="TextBody"/>
        <w:bidi w:val="0"/>
        <w:spacing w:lineRule="auto" w:line="288" w:before="0" w:after="180"/>
        <w:ind w:left="0" w:right="0" w:firstLine="360"/>
        <w:jc w:val="left"/>
        <w:rPr/>
      </w:pPr>
      <w:r>
        <w:rPr>
          <w:rFonts w:ascii="Times New Roman;sans-serif" w:hAnsi="Times New Roman;sans-serif"/>
          <w:b w:val="false"/>
          <w:color w:val="000000"/>
          <w:sz w:val="20"/>
        </w:rPr>
        <w:t>Patents have a limited lifespan. In the United States, if all maintenance fees are timely paid, the natural expiration of a patent is generally 20 years from its earliest U.S. non-provisional filing date. While extensions may be available, the life of a patent, and the protection it affords, is limited. In the United States, a patent’s term may, in certain cases, be lengthened by patent term adjustment, which comp</w:t>
      </w:r>
      <w:r>
        <w:rPr>
          <w:rFonts w:ascii="Times New Roman;sans-serif" w:hAnsi="Times New Roman;sans-serif"/>
          <w:b w:val="false"/>
          <w:color w:val="000000"/>
          <w:sz w:val="20"/>
          <w:shd w:fill="FFFFFF" w:val="clear"/>
        </w:rPr>
        <w:t>ensates a patentee for administrative delays by the USPTO in examining and granting a patent, or may be shortened</w:t>
      </w:r>
      <w:r>
        <w:rPr>
          <w:color w:val="000000"/>
        </w:rPr>
        <w:t xml:space="preserve"> </w:t>
      </w:r>
      <w:r>
        <w:rPr>
          <w:rFonts w:ascii="Times New Roman;sans-serif" w:hAnsi="Times New Roman;sans-serif"/>
          <w:b w:val="false"/>
          <w:color w:val="000000"/>
          <w:sz w:val="20"/>
        </w:rPr>
        <w:t>if a patent is terminally disclaimed over a commonly owned patent or a patent naming a common inventor and having an earlier expiration date. Even if patents covering our products are obtained, once the patent life has expired, we may be open to competition from competitive products. If one of our products requires extended development, testing and/or regulatory review, patents protecting such products might expire before or shortly after such products are commercialized. As a result, our owned and licensed patent portfolio may not provide us with sufficient rights to exclude others from commercializing products similar or identical to ours, which could have a material adverse effect on our business, financial condition and results of operations.</w:t>
      </w:r>
    </w:p>
    <w:p>
      <w:pPr>
        <w:pStyle w:val="TextBody"/>
        <w:bidi w:val="0"/>
        <w:spacing w:lineRule="auto" w:line="288"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Obtaining and maintaining our patent protection depends on compliance with various required procedures, document submissions, fee payments and other requirements imposed by governmental patent agencies, and our patent protection could be reduced or eliminated for non-compliance with these requirements.</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Periodic maintenance fees, renewal fees, annuity fees and various other governmental fees on patents and/or applications will be due to be paid to the USPTO and various governmental patent agencies outside of the United States at several stages over the lifetime of the patents and/or applications. The USPTO and various non-U.S. governmental patent agencies require compliance with a number of procedural, documentary, fee payment and other similar provisions during the patent application process. In certain circumstances, we may rely on any future licensor to pay these fees due to the U.S. and non-U.S. patent agencies and to take the necessary action to comply with these requirements with respect to any future licensed intellectual property. In many cases, an inadvertent lapse can be cured by payment of a late fee or by other means in accordance with the applicable rules. However, there are situations in which non-compliance can result in abandonment or lapse of the patent or patent application, resulting in partial or complete loss of patent rights in the relevant jurisdiction. In such an event, our competitors may be able to enter the market without infringing our patents and this circumstance would have a material adverse effect on our business, financial condition, results of operations and prospects.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31445"/>
                <wp:effectExtent l="0" t="0" r="0" b="0"/>
                <wp:wrapNone/>
                <wp:docPr id="70" name="Frame5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52</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We may be subject to claims that our employees, consultants or independent contractors have wrongfully used or disclosed confidential information of third parties or that our employees have wrongfully used or disclosed trade secrets of our former employers.</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have employed and expect to employ individuals who were previously employed at universities or other companies, including, for example, our competitors or potential competitors. Although we try to ensure that our employees, consultants, advisors and independent contractors do not use the proprietary information or know-how of others in their work for us, we may be subject to claims that our employees, advisors, consultants or independent contractors have inadvertently or otherwise used or disclosed intellectual property, including trade secrets or other proprietary information of their former employers or other third parties, or to claims that we have improperly used or obtained such trade secrets. Litigation may be necessary to defend against these claims. If we fail in defending such claims, in addition to paying monetary damages, we may lose valuable intellectual property rights and face increased competition to our business. Any such litigation or the threat thereof may adversely affect our ability to hire employees or contract with advisors, contractors and consultants. A loss of key research personnel work product could hamper or prevent our ability to commercialize potential products, which could harm our business. Even if we are successful in defending against these claims, litigation could result in substantial costs and be a distraction to management. This type of litigation or proceeding could substantially increase our operating losses and reduce our resources available for development activities. Some of our competitors may be able to sustain the costs of this type of litigation or proceedings more effectively than we can because of their substantially greater financial resources.</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 Furthermore, individuals executing agreements with us may have pre-existing or competing obligations to a third party, such as an academic institution, and thus an agreement with us may be ineffective in perfecting ownership of inventions developed by that individual, which could have a material adverse effect on our business, financial condition, results of operations, and prospects.</w:t>
      </w:r>
    </w:p>
    <w:p>
      <w:pPr>
        <w:pStyle w:val="TextBody"/>
        <w:bidi w:val="0"/>
        <w:spacing w:lineRule="auto" w:line="288" w:before="0" w:after="180"/>
        <w:ind w:left="0" w:right="0" w:firstLine="360"/>
        <w:jc w:val="left"/>
        <w:rPr/>
      </w:pPr>
      <w:r>
        <w:rPr>
          <w:rFonts w:ascii="Times New Roman;sans-serif" w:hAnsi="Times New Roman;sans-serif"/>
          <w:b w:val="false"/>
          <w:color w:val="000000"/>
          <w:sz w:val="20"/>
        </w:rPr>
        <w:t>Furthermore, we or any future licensor may in the futur</w:t>
      </w:r>
      <w:r>
        <w:rPr>
          <w:rFonts w:ascii="Times New Roman;sans-serif" w:hAnsi="Times New Roman;sans-serif"/>
          <w:b w:val="false"/>
          <w:color w:val="000000"/>
          <w:sz w:val="20"/>
          <w:shd w:fill="FFFFFF" w:val="clear"/>
        </w:rPr>
        <w:t xml:space="preserve">e be subject to claims by former or current employees, consultants or other third parties asserting an ownership right or inventorship in our owned, or any future licensed, patents or patent applications. For example, our Founder and Chief Scientist is employed by Stanford University and a member of the Stanford Cancer Institute. Stanford University and the Stanford Cancer Institute may assert an ownership right in any of our owned patents or patent applications. We may have </w:t>
      </w:r>
      <w:r>
        <w:rPr>
          <w:rFonts w:ascii="Times New Roman;sans-serif" w:hAnsi="Times New Roman;sans-serif"/>
          <w:b w:val="false"/>
          <w:color w:val="000000"/>
          <w:sz w:val="20"/>
        </w:rPr>
        <w:t>other consultants that are or have been employed by third parties, which may assert an ownership right in any of our owned patents or patent applications. In addition, we are aware that we might not be able to obtain ownership of or seek a license to any intellectual property developed during a research collaboration with a third party. An adverse determination in any such proceeding may result in loss of exclusivity or freedom to operate or in patent claims being narrowed, invalidated or held unenforceable, in whole or in part, which could limit our ability to stop others from using or commercializing similar technology, without payment to us, or could limit the duration of the patent protection covering our technology and products. Such challenges may also result in our inability to develop, manufacture or commercialize our products without infringing third-party patent rights. Any of the foregoing could harm our business, financial condition, results of operations and prospects.</w:t>
      </w:r>
    </w:p>
    <w:p>
      <w:pPr>
        <w:pStyle w:val="TextBody"/>
        <w:bidi w:val="0"/>
        <w:spacing w:lineRule="auto" w:line="288"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If we cannot license rights to use technologies on reasonable terms, we may not be able to commercialize new products in the future.</w:t>
      </w:r>
    </w:p>
    <w:p>
      <w:pPr>
        <w:pStyle w:val="TextBody"/>
        <w:bidi w:val="0"/>
        <w:spacing w:lineRule="auto" w:line="288" w:before="0" w:after="180"/>
        <w:ind w:left="0" w:right="0" w:firstLine="360"/>
        <w:jc w:val="left"/>
        <w:rPr/>
      </w:pPr>
      <w:r>
        <w:rPr>
          <w:rFonts w:ascii="Times New Roman;sans-serif" w:hAnsi="Times New Roman;sans-serif"/>
          <w:b w:val="false"/>
          <w:color w:val="000000"/>
          <w:sz w:val="20"/>
        </w:rPr>
        <w:t xml:space="preserve">We may identify third-party technology that we may need to license or acquire in order to develop or commercialize our products or technologies, including our </w:t>
      </w:r>
      <w:r>
        <w:rPr>
          <w:rFonts w:ascii="Times New Roman;sans-serif" w:hAnsi="Times New Roman;sans-serif"/>
          <w:b w:val="false"/>
          <w:color w:val="000000"/>
          <w:sz w:val="20"/>
          <w:shd w:fill="FFFFFF" w:val="clear"/>
        </w:rPr>
        <w:t>Nautilus platform</w:t>
      </w:r>
      <w:r>
        <w:rPr>
          <w:rFonts w:ascii="Times New Roman;sans-serif" w:hAnsi="Times New Roman;sans-serif"/>
          <w:b w:val="false"/>
          <w:color w:val="000000"/>
          <w:sz w:val="20"/>
        </w:rPr>
        <w:t>. However, we may be unable to secure such licenses or acquisitions. The licensing or acquisition of third-party intellectual property rights is a competitive area, and several more established companies may pursue strategies to license or acquire third-party intellectual property rights that we may consider attractive or necessary. These established companies may have a competitive advantage over us due to their size, capital resources, or greater development and commercialization capabilities. In addition, companies that perceive us to be a competitor may be unwilling to assign or license rights to us.</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also may be unable to license or acquire third-party intellectual property rights on terms that would allow us to make an appropriate return on our investment or at all. In return for the use of a third party’s technology, we may agree to pay the licensor royalties based on sales of our products or services. Royalties are a component of cost of products or technologies and affect the margins on our products. We may also need to negotiate licenses to patents or patent applications before or after introducing a commercial product. We may not be able to obtain necessary licenses to patents or patent applications, and our business may suffer if we are unable to enter into the necessary licenses on acceptable terms or at all, if any necessary licenses are subsequently terminated, if the licensor fails to abide by the terms of the license or fails to prevent infringement by third parties, or if the licensed intellectual property rights are found to be invalid or unenforceable.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31445"/>
                <wp:effectExtent l="0" t="0" r="0" b="0"/>
                <wp:wrapNone/>
                <wp:docPr id="71" name="Frame5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53</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Our use of open source software and failure to comply with the terms of the underlying open source software licenses could impose limitations on our ability to commercialize our products and provide third parties to our proprietary software.</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Our products utilize open source software that contain modules licensed for use from third-party authors under open source licenses. In particular, some of the software may be provided under license arrangements that allow use of the software for research or other noncommercial purposes. Use and distribution of open source software may entail greater risks than use of third-party commercial software, as open source software licensors generally do not provide warranties or other contractual protections regarding infringement claims or the quality of the code. Some open source software licenses contain requirements that the licensee make its source code publicly available if the licensee creates modifications or derivative works using the open source software, depending on the type of open source software the licensee uses and how the licensee uses it. If we combine our proprietary software with open source software in a certain manner, we could, under certain open source software licenses, be required to release the source code of our proprietary software to the public for free. This would allow our competitors and other third parties to create similar products with less development effort and time and ultimately could result in a loss of our product sales and revenue, which could have a material adverse effect on our business, financial condition, results of operations and prospects. In addition, some companies that use third-party open source software have faced claims challenging their use of such open source software and their compliance with the terms of the applicable open source license. We may be subject to suits by third parties claiming ownership of what we believe to be open source software or claiming non-compliance with the applicable open source licensing terms. Use of open source software may also present additional security risks because the public availability of such software may make it easier for hackers and other third parties to compromise or attempt to compromise our technology platform and systems.</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Although we review and monitors our use of open source software to avoid subjecting our proprietary software to conditions we do not intend, the terms of many open source software licenses have not been interpreted by United States courts, and there is a risk that these licenses could be construed in a way that could impose unanticipated conditions or restrictions on our ability to commercialize our products and proprietary software. Moreover, we cannot assure investors that our processes for monitoring and controlling our use of open source software in our products will be effective. If we are held to have breached the terms of an open source software license, we could be subject to damages, required to seek licenses from third parties to continue offering our products on terms that are not economically feasible, to re-engineer our products, to discontinue the sale of our products if re-engineering could not be accomplished on a timely basis, or to make generally available, in source code form, our proprietary code, any of which could adversely affect our business, financial condition, results of operations and prospects.</w:t>
      </w:r>
    </w:p>
    <w:p>
      <w:pPr>
        <w:pStyle w:val="TextBody"/>
        <w:bidi w:val="0"/>
        <w:spacing w:lineRule="auto" w:line="288"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Intellectual property rights do not necessarily address all potential threats.</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degree of future protection afforded by our intellectual property rights is uncertain because intellectual property rights have limitations and may not adequately protect our business or permit us to maintain our competitive advantage. For example:</w:t>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shd w:fill="FFFFFF" w:val="clear"/>
        </w:rPr>
        <w:t>others may be able to make products that are similar to products and technologies we may develop or may be able to utilize similar technologies that are not covered by the claims of the patents that we own or licenses now or in the future;</w:t>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shd w:fill="FFFFFF" w:val="clear"/>
        </w:rPr>
        <w:t>we, or any future licensor(s), might not have been the first to make the inventions covered by the issued patent or pending patent application that we license or may own in the future;</w:t>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shd w:fill="FFFFFF" w:val="clear"/>
        </w:rPr>
        <w:t>we, or any future licensor(s), might not have been the first to file patent applications covering certain of our or their inventions;</w:t>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shd w:fill="FFFFFF" w:val="clear"/>
        </w:rPr>
        <w:t>others may independently develop similar or alternative technologies or duplicate any of our technologies without infringing, misappropriating or otherwise violating our owned or future licensed intellectual property rights;</w:t>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shd w:fill="FFFFFF" w:val="clear"/>
        </w:rPr>
        <w:t>it is possible that our pending patent applications or those that we may license or own in the future will not lead to issued patents;</w:t>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shd w:fill="FFFFFF" w:val="clear"/>
        </w:rPr>
        <w:t>issued patents that we hold rights to may be held invalid or unenforceable, including as a result of legal challenges by our competitors;</w:t>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shd w:fill="FFFFFF" w:val="clear"/>
        </w:rPr>
        <w:t>our competitors might conduct research and development activities in countries where we do not have patent rights and then use the information learned from such activities to develop competitive products for sale in our major commercial markets;</w:t>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shd w:fill="FFFFFF" w:val="clear"/>
        </w:rPr>
        <w:t>we may not develop additional proprietary technologies that are patentable;</w:t>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shd w:fill="FFFFFF" w:val="clear"/>
        </w:rPr>
        <w:t>the patents of others may harm our business; and</w:t>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shd w:fill="FFFFFF" w:val="clear"/>
        </w:rPr>
        <w:t>we may choose not to file a patent for certain trade secrets or know-how, and a third party may independently derive, use, commercialize, publish or patent such intellectual property.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31445"/>
                <wp:effectExtent l="0" t="0" r="0" b="0"/>
                <wp:wrapNone/>
                <wp:docPr id="72" name="Frame5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54</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Should any of these events occur, they could materially adversely affect our business, financial condition, results of operations and prospects.</w:t>
      </w:r>
    </w:p>
    <w:p>
      <w:pPr>
        <w:pStyle w:val="TextBody"/>
        <w:bidi w:val="0"/>
        <w:spacing w:lineRule="auto" w:line="288" w:before="0" w:after="180"/>
        <w:ind w:left="0" w:right="0" w:firstLine="360"/>
        <w:jc w:val="left"/>
        <w:rPr>
          <w:rFonts w:ascii="Times New Roman;sans-serif" w:hAnsi="Times New Roman;sans-serif"/>
          <w:b/>
          <w:color w:val="000000"/>
          <w:sz w:val="20"/>
        </w:rPr>
      </w:pPr>
      <w:r>
        <w:rPr>
          <w:rFonts w:ascii="Times New Roman;sans-serif" w:hAnsi="Times New Roman;sans-serif"/>
          <w:b/>
          <w:color w:val="000000"/>
          <w:sz w:val="20"/>
        </w:rPr>
        <w:t>Risks Related to Litigation</w:t>
      </w:r>
    </w:p>
    <w:p>
      <w:pPr>
        <w:pStyle w:val="TextBody"/>
        <w:bidi w:val="0"/>
        <w:spacing w:lineRule="auto" w:line="288"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We may become involved in litigation to enforce or defend our intellectual property rights, or defend ourselves from claims that we infringe the intellectual property rights of others, which litigation could consume significant resources and management time, and in which an adverse result could result in loss of our intellectual property rights, a requirement that we pay significant damages, and could prevent us from selling our products.</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life sciences industry is highly competitive, and companies in this industry routinely engage in litigation and governmental proceedings to enforce and defend the intellectual property rights that they believe they possess. We may become involved in litigation or governmental and/or administrative proceedings to enforce or defend our intellectual property rights. Additionally, we have and may continue to become involved in litigation and/or governmental or administrative proceedings to defend ourselves from claims that our products or services infringe the intellectual property rights of others, or to challenge the claimed intellectual property rights of others where we believe they may not be entitled to such rights. Such litigation and governmental proceedings are inherently unpredictable and costly, and can require significant time and attention of management. In addition to the costs and distraction of litigation, if we are unsuccessful in enforcing our intellectual property rights, or in defending our intellectual property rights from challenges of others, wit could result in our loss of our ability to exclude others from practicing aspects of our technology which could lead to greater competition for our products and services. Additionally, if we are unable to successfully defend ourselves from claims that we infringe the intellectual property rights of others and are unable to develop non-infringing alternative approaches for our products and services, we may be required to pay significant damages and ongoing royalties, or we may be prohibited from selling our products and services. Our success depends upon our ability to successfully enforce and defend our own intellectual property rights, and to defend ourselves from claims that we infringe the intellectual property rights of others.</w:t>
      </w:r>
    </w:p>
    <w:p>
      <w:pPr>
        <w:pStyle w:val="TextBody"/>
        <w:bidi w:val="0"/>
        <w:spacing w:lineRule="auto" w:line="288"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Our products could have unknown defects or errors, which may give rise to claims against us and adversely affect market adoption of our Nautilus platform.</w:t>
      </w:r>
    </w:p>
    <w:p>
      <w:pPr>
        <w:pStyle w:val="TextBody"/>
        <w:bidi w:val="0"/>
        <w:spacing w:lineRule="auto" w:line="288" w:before="0" w:after="180"/>
        <w:ind w:left="0" w:right="0" w:firstLine="360"/>
        <w:jc w:val="left"/>
        <w:rPr/>
      </w:pPr>
      <w:r>
        <w:rPr>
          <w:rFonts w:ascii="Times New Roman;sans-serif" w:hAnsi="Times New Roman;sans-serif"/>
          <w:b w:val="false"/>
          <w:color w:val="000000"/>
          <w:sz w:val="20"/>
        </w:rPr>
        <w:t xml:space="preserve">Our </w:t>
      </w:r>
      <w:r>
        <w:rPr>
          <w:rFonts w:ascii="Times New Roman;sans-serif" w:hAnsi="Times New Roman;sans-serif"/>
          <w:b w:val="false"/>
          <w:color w:val="000000"/>
          <w:sz w:val="20"/>
          <w:shd w:fill="FFFFFF" w:val="clear"/>
        </w:rPr>
        <w:t>Nautilus platform</w:t>
      </w:r>
      <w:r>
        <w:rPr>
          <w:color w:val="000000"/>
        </w:rPr>
        <w:t xml:space="preserve"> </w:t>
      </w:r>
      <w:r>
        <w:rPr>
          <w:rFonts w:ascii="Times New Roman;sans-serif" w:hAnsi="Times New Roman;sans-serif"/>
          <w:b w:val="false"/>
          <w:color w:val="000000"/>
          <w:sz w:val="20"/>
        </w:rPr>
        <w:t xml:space="preserve">utilizes novel and complex technology applied on a microscopic scale, using key components that are not amenable to full characterization or quality assessment using conventional techniques or instrumentation, and such systems may develop or contain undetected defects or errors. We cannot assure you that material performance problems, defects or errors will not arise, and as we increase the density and integration of our </w:t>
      </w:r>
      <w:r>
        <w:rPr>
          <w:rFonts w:ascii="Times New Roman;sans-serif" w:hAnsi="Times New Roman;sans-serif"/>
          <w:b w:val="false"/>
          <w:color w:val="000000"/>
          <w:sz w:val="20"/>
          <w:shd w:fill="FFFFFF" w:val="clear"/>
        </w:rPr>
        <w:t>Nautilus platform</w:t>
      </w:r>
      <w:r>
        <w:rPr>
          <w:rFonts w:ascii="Times New Roman;sans-serif" w:hAnsi="Times New Roman;sans-serif"/>
          <w:b w:val="false"/>
          <w:color w:val="000000"/>
          <w:sz w:val="20"/>
        </w:rPr>
        <w:t xml:space="preserve">, these risks may increase. We expect to provide warranties that our </w:t>
      </w:r>
      <w:r>
        <w:rPr>
          <w:rFonts w:ascii="Times New Roman;sans-serif" w:hAnsi="Times New Roman;sans-serif"/>
          <w:b w:val="false"/>
          <w:color w:val="000000"/>
          <w:sz w:val="20"/>
          <w:shd w:fill="FFFFFF" w:val="clear"/>
        </w:rPr>
        <w:t>Nautilus platform</w:t>
      </w:r>
      <w:r>
        <w:rPr>
          <w:color w:val="000000"/>
        </w:rPr>
        <w:t xml:space="preserve"> </w:t>
      </w:r>
      <w:r>
        <w:rPr>
          <w:rFonts w:ascii="Times New Roman;sans-serif" w:hAnsi="Times New Roman;sans-serif"/>
          <w:b w:val="false"/>
          <w:color w:val="000000"/>
          <w:sz w:val="20"/>
        </w:rPr>
        <w:t>will meet performance expectations or be free from defects. The costs incurred in correcting any defects or errors may be substantial and could adversely affect our operating margins.</w:t>
      </w:r>
    </w:p>
    <w:p>
      <w:pPr>
        <w:pStyle w:val="TextBody"/>
        <w:bidi w:val="0"/>
        <w:spacing w:lineRule="auto" w:line="288" w:before="0" w:after="180"/>
        <w:ind w:left="0" w:right="0" w:firstLine="360"/>
        <w:jc w:val="left"/>
        <w:rPr/>
      </w:pPr>
      <w:r>
        <w:rPr>
          <w:rFonts w:ascii="Times New Roman;sans-serif" w:hAnsi="Times New Roman;sans-serif"/>
          <w:b w:val="false"/>
          <w:color w:val="000000"/>
          <w:sz w:val="20"/>
        </w:rPr>
        <w:t xml:space="preserve">In manufacturing our </w:t>
      </w:r>
      <w:r>
        <w:rPr>
          <w:rFonts w:ascii="Times New Roman;sans-serif" w:hAnsi="Times New Roman;sans-serif"/>
          <w:b w:val="false"/>
          <w:color w:val="000000"/>
          <w:sz w:val="20"/>
          <w:shd w:fill="FFFFFF" w:val="clear"/>
        </w:rPr>
        <w:t>Nautilus platform</w:t>
      </w:r>
      <w:r>
        <w:rPr>
          <w:rFonts w:ascii="Times New Roman;sans-serif" w:hAnsi="Times New Roman;sans-serif"/>
          <w:b w:val="false"/>
          <w:color w:val="000000"/>
          <w:sz w:val="20"/>
        </w:rPr>
        <w:t>, we depend upon third parties for the supply of various components. Many of these components require a significant degree of technical expertise to produce. If our suppliers fail to produce components to specification, or if the suppliers, or we, use defective materials or workmanship in the manufacturing process, the reliability and performance of our products will be compromised.</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If our products contain defects, we may experience:</w:t>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shd w:fill="FFFFFF" w:val="clear"/>
        </w:rPr>
        <w:t>a failure to achieve market acceptance or expansion of our product sales;</w:t>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shd w:fill="FFFFFF" w:val="clear"/>
        </w:rPr>
        <w:t>loss of customer orders and delay in order fulfillment;</w:t>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shd w:fill="FFFFFF" w:val="clear"/>
        </w:rPr>
        <w:t>damage to our brand reputation;</w:t>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shd w:fill="FFFFFF" w:val="clear"/>
        </w:rPr>
        <w:t>increased cost of our warranty program due to product repair or replacement;</w:t>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shd w:fill="FFFFFF" w:val="clear"/>
        </w:rPr>
        <w:t>product recalls or replacements;</w:t>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shd w:fill="FFFFFF" w:val="clear"/>
        </w:rPr>
        <w:t>inability to attract new customers;</w:t>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shd w:fill="FFFFFF" w:val="clear"/>
        </w:rPr>
        <w:t>diversion of resources from our manufacturing and research and development departments into our service department; and</w:t>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shd w:fill="FFFFFF" w:val="clear"/>
        </w:rPr>
        <w:t xml:space="preserve">legal claims against us, including product liability claims, which could be costly and time consuming to defend and result in substantial damages. </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occurrence of any one or more of the foregoing could negatively affect our business, financial condition and results of operations.</w:t>
      </w:r>
    </w:p>
    <w:p>
      <w:pPr>
        <w:pStyle w:val="TextBody"/>
        <w:bidi w:val="0"/>
        <w:spacing w:before="0" w:after="180"/>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31445"/>
                <wp:effectExtent l="0" t="0" r="0" b="0"/>
                <wp:wrapNone/>
                <wp:docPr id="73" name="Frame5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55</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If we are sued for product liability, we could face substantial liabilities that exceed our resources.</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marketing, sale and use of our products could lead to the filing of product liability claims were someone to allege that our products identified inaccurate or incomplete information regarding the proteins analyzed or otherwise failed to perform as designed. We may also be subject to liability for errors in, a misunderstanding of or inappropriate reliance upon, the information we provide in the ordinary course of our business activities. A product liability claim could result in substantial damages and be costly and time-consuming for us to defend. We maintain product liability insurance, but this insurance may not fully protect us from the financial impact of defending against product liability claims. Any product liability claim brought against us, with or without merit, could increase our insurance rates or prevent us from securing insurance coverage in the future. Additionally, any product liability lawsuit could damage our reputation, or cause current customers to terminate existing agreements and potential partners to seek other partners, any of which could adversely impact our business, financial condition and results of operations.</w:t>
      </w:r>
    </w:p>
    <w:p>
      <w:pPr>
        <w:pStyle w:val="TextBody"/>
        <w:bidi w:val="0"/>
        <w:spacing w:lineRule="auto" w:line="288" w:before="0" w:after="180"/>
        <w:ind w:left="0" w:right="0" w:firstLine="360"/>
        <w:jc w:val="left"/>
        <w:rPr>
          <w:rFonts w:ascii="Times New Roman;sans-serif" w:hAnsi="Times New Roman;sans-serif"/>
          <w:b/>
          <w:color w:val="000000"/>
          <w:sz w:val="20"/>
        </w:rPr>
      </w:pPr>
      <w:r>
        <w:rPr>
          <w:rFonts w:ascii="Times New Roman;sans-serif" w:hAnsi="Times New Roman;sans-serif"/>
          <w:b/>
          <w:color w:val="000000"/>
          <w:sz w:val="20"/>
        </w:rPr>
        <w:t>Risks Related to Regulatory and Legal Compliance Matters</w:t>
      </w:r>
    </w:p>
    <w:p>
      <w:pPr>
        <w:pStyle w:val="TextBody"/>
        <w:bidi w:val="0"/>
        <w:spacing w:lineRule="auto" w:line="288"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Although our products currently are not labeled or intended for any use which would subject us to regulation by the FDA or other regulatory authorities, if we elect to label and promote any of our products as clinical or medical device products, we would be subject to regulation in the future and would be required to obtain prior approval or clearance by the FDA or other regulatory authorities, which could take significant time and expense and could fail to result in FDA clearance or approval for the intended uses we believe are commercially attractive.</w:t>
      </w:r>
    </w:p>
    <w:p>
      <w:pPr>
        <w:pStyle w:val="TextBody"/>
        <w:bidi w:val="0"/>
        <w:spacing w:lineRule="auto" w:line="288" w:before="0" w:after="180"/>
        <w:ind w:left="0" w:right="0" w:firstLine="360"/>
        <w:jc w:val="left"/>
        <w:rPr/>
      </w:pPr>
      <w:r>
        <w:rPr>
          <w:rFonts w:ascii="Times New Roman;sans-serif" w:hAnsi="Times New Roman;sans-serif"/>
          <w:b w:val="false"/>
          <w:color w:val="000000"/>
          <w:sz w:val="20"/>
        </w:rPr>
        <w:t>Our products are currently labeled and promoted, and are, and in the n</w:t>
      </w:r>
      <w:r>
        <w:rPr>
          <w:rFonts w:ascii="Times New Roman;sans-serif" w:hAnsi="Times New Roman;sans-serif"/>
          <w:b w:val="false"/>
          <w:color w:val="000000"/>
          <w:sz w:val="20"/>
          <w:shd w:fill="FFFFFF" w:val="clear"/>
        </w:rPr>
        <w:t>ear-future will be, sold primarily to research companies and academic and research institutions as research use only (“RUO”) products, and are not currently intended to be used, for clinical diagnostic tests or as medical devices. If we elect to label and market our products for use as, or in the performance of, clinical diagnostics in the United States, thereby subjecting them to FDA regulation as medical devices, we would be required to obtain premarket 510(k) clearance or premarket approval from the FDA, unless an exception applies.</w:t>
      </w:r>
    </w:p>
    <w:p>
      <w:pPr>
        <w:pStyle w:val="TextBody"/>
        <w:bidi w:val="0"/>
        <w:spacing w:lineRule="auto" w:line="288" w:before="0" w:after="180"/>
        <w:ind w:left="0" w:right="0" w:firstLine="36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We may in the future register with the FDA as a medical device manufacturer and list some of our products with the FDA pursuant to an FDA Class I listing for general purpose laboratory equipment. While this regulatory classification is exempt from certain FDA requirements, such as the need to submit a premarket notification commonly known as a 510(k) application, and some of the requirements of the FDA’s Quality System Regulation (the “QSR”), which include compliance with FDA regulations for labeling, inspections by the FDA, complaint evaluation, corrections and removals reporting, promotional restrictions, reporting adverse events or malfunctions for our products, and general prohibitions against misbranding and adulteration. The FDA’s new Quality Management System Regulation (“QMSR”), which incorporates by reference certain requirements under ISO 13485, will go into effect on February 2, 2026. </w:t>
      </w:r>
    </w:p>
    <w:p>
      <w:pPr>
        <w:pStyle w:val="TextBody"/>
        <w:bidi w:val="0"/>
        <w:spacing w:lineRule="auto" w:line="288" w:before="0" w:after="180"/>
        <w:ind w:left="0" w:right="0" w:firstLine="360"/>
        <w:jc w:val="left"/>
        <w:rPr/>
      </w:pPr>
      <w:r>
        <w:rPr>
          <w:rFonts w:ascii="Times New Roman;sans-serif" w:hAnsi="Times New Roman;sans-serif"/>
          <w:b w:val="false"/>
          <w:color w:val="000000"/>
          <w:sz w:val="20"/>
          <w:shd w:fill="FFFFFF" w:val="clear"/>
        </w:rPr>
        <w:t xml:space="preserve">In addition, we may in the future submit 510(k) premarket notification applications to the FDA to obtain FDA clearance of certain of our products on a selective basis. It is possible, in the event we elect to submit 510(k) applications for certain of our products, that the FDA would take the position that a more burdensome premarket application, such as a premarket approval application (“PMA”) or a de novo application is required for some of our products. If such applications were required, greater time and investment would </w:t>
      </w:r>
      <w:r>
        <w:rPr>
          <w:rFonts w:ascii="Times New Roman;sans-serif" w:hAnsi="Times New Roman;sans-serif"/>
          <w:b w:val="false"/>
          <w:color w:val="000000"/>
          <w:sz w:val="20"/>
        </w:rPr>
        <w:t>be required to obtain FDA approval. Even if the FDA agreed that a 510(k) was appropriate, FDA clearance can be expensive and time consuming. It can take a significant amount of time to prepare and submit a 510(k) application, including conducting appropriate testing on our products, and several months to years for the FDA to review a submission. Notwithstanding the effort and expense, FDA clearance or approval could be denied for some or all of our products for which we choose to market as a medical device or a clinical diagnostic device. Even if we were to seek and obtain regulatory approval or clearance, it may not be for the intended uses we request or that we believe are important or commercially attractive. There can be no assurance that future products for which we may seek premarket clearance or approval will be cleared or approved by the FDA or a comparable foreign regulatory authority on a timely basis, if at all, nor can there be assurance that labeling claims will be consistent with our anticipated claims or adequate to support continued adoption of such products. Compliance with FDA or comparable foreign regulatory authority regulations will require substantial costs, and subject us to heightened scrutiny by regulators and substantial penalties for failure to comply with such requirements or the inability to market our products. The lengthy and unpredictable premarket clearance or approval process, as well as the unpredictability of the results of any required clinical studies, may result in our failing to obtain regulatory clearance or approval to market such products, which would significantly harm our business, results of operations, reputation, and prospects.</w:t>
      </w:r>
    </w:p>
    <w:p>
      <w:pPr>
        <w:pStyle w:val="TextBody"/>
        <w:bidi w:val="0"/>
        <w:spacing w:lineRule="auto" w:line="288" w:before="0" w:after="180"/>
        <w:ind w:left="0" w:right="0" w:firstLine="360"/>
        <w:jc w:val="left"/>
        <w:rPr/>
      </w:pPr>
      <w:r>
        <w:rPr>
          <w:rFonts w:ascii="Times New Roman;sans-serif" w:hAnsi="Times New Roman;sans-serif"/>
          <w:b w:val="false"/>
          <w:color w:val="000000"/>
          <w:sz w:val="20"/>
        </w:rPr>
        <w:t>If w</w:t>
      </w:r>
      <w:r>
        <w:rPr>
          <w:rFonts w:ascii="Times New Roman;sans-serif" w:hAnsi="Times New Roman;sans-serif"/>
          <w:b w:val="false"/>
          <w:color w:val="000000"/>
          <w:sz w:val="20"/>
          <w:shd w:fill="FFFFFF" w:val="clear"/>
        </w:rPr>
        <w:t xml:space="preserve">e sought and received regulatory clearance or approval for certain of our products, we would be subject to ongoing FDA obligations and continued regulatory oversight and review, including the general controls listed above and the FDA’s QSRs for our development and manufacturing operations. In addition, we may be required to obtain a new 510(k) clearance before we could introduce subsequent modifications or improvements to such products. We could also be subject to additional FDA post-marketing obligations for such products, any or all of which would increase our costs and divert resources away from other projects. If we sought and received regulatory clearance or approval and are not able to maintain regulatory compliance with applicable laws, we could be prohibited from marketing our products for use as, or in the performance of, clinical diagnostics and/or could be subject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31445"/>
                <wp:effectExtent l="0" t="0" r="0" b="0"/>
                <wp:wrapNone/>
                <wp:docPr id="74" name="Frame5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56</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enforcement actions, including warning letters and adverse publicity, fines, injunctions, and civil penalties; recall or seizure of products; operating restrictions; and criminal prosecution.</w:t>
      </w:r>
    </w:p>
    <w:p>
      <w:pPr>
        <w:pStyle w:val="TextBody"/>
        <w:bidi w:val="0"/>
        <w:spacing w:lineRule="auto" w:line="288" w:before="0" w:after="180"/>
        <w:ind w:left="0" w:right="0" w:firstLine="360"/>
        <w:jc w:val="left"/>
        <w:rPr/>
      </w:pPr>
      <w:r>
        <w:rPr>
          <w:rFonts w:ascii="Times New Roman;sans-serif" w:hAnsi="Times New Roman;sans-serif"/>
          <w:b w:val="false"/>
          <w:color w:val="000000"/>
          <w:sz w:val="20"/>
          <w:shd w:fill="FFFFFF" w:val="clear"/>
        </w:rPr>
        <w:t>In addition, we could decide to seek regulatory clearance or approval for certain of our products in countries outside of the United States. Sales of such products outside the United States will likely be subject to foreign regulatory requirements, which can vary greatly from country to country. As a result, the time required to obtain clearances or approvals outside the United States may differ from that required to obtain FDA clearance or approval and we may not be able to obtain foreign regulatory approvals on a timely basis or at all. Following Brexit, medical device products entering the U.K. market will have to comply with the</w:t>
      </w:r>
      <w:r>
        <w:rPr>
          <w:color w:val="000000"/>
        </w:rPr>
        <w:t xml:space="preserve"> </w:t>
      </w:r>
      <w:r>
        <w:rPr>
          <w:rFonts w:ascii="Times New Roman;sans-serif" w:hAnsi="Times New Roman;sans-serif"/>
          <w:b w:val="false"/>
          <w:color w:val="000000"/>
          <w:sz w:val="20"/>
          <w:shd w:fill="FFFFFF" w:val="clear"/>
        </w:rPr>
        <w:t>regulatory requirements of the Medicines and Healthcare products Regulatory Agency (the “MHRA”), including the new UK Medical Device Regulations</w:t>
      </w:r>
      <w:r>
        <w:rPr>
          <w:rFonts w:ascii="Times New Roman;sans-serif" w:hAnsi="Times New Roman;sans-serif"/>
          <w:b w:val="false"/>
          <w:color w:val="000000"/>
          <w:sz w:val="20"/>
        </w:rPr>
        <w:t>.</w:t>
      </w:r>
      <w:r>
        <w:rPr>
          <w:color w:val="000000"/>
          <w:shd w:fill="FFFFFF" w:val="clear"/>
        </w:rPr>
        <w:t xml:space="preserve"> </w:t>
      </w:r>
      <w:r>
        <w:rPr>
          <w:rFonts w:ascii="Times New Roman;sans-serif" w:hAnsi="Times New Roman;sans-serif"/>
          <w:b w:val="false"/>
          <w:color w:val="000000"/>
          <w:sz w:val="20"/>
          <w:shd w:fill="FFFFFF" w:val="clear"/>
        </w:rPr>
        <w:t>In December 2024, the MHRA published a revised roadmap towards the future regulatory framework for medical devices and updating the intended timelines to implement future medical device regulations. These foreign regulations and any future requirements that may be implemented by regulatory authorities will increase the difficulty of obtaining and maintaining regulatory approvals and compliance in Europe in the future. In addition, the FDA regulates exports of medical devices. Failure to comply with these regulatory requireme</w:t>
      </w:r>
      <w:r>
        <w:rPr>
          <w:rFonts w:ascii="Times New Roman;sans-serif" w:hAnsi="Times New Roman;sans-serif"/>
          <w:b w:val="false"/>
          <w:color w:val="000000"/>
          <w:sz w:val="20"/>
        </w:rPr>
        <w:t>nts or obtain and maintain required approvals, clearances or certifications could impair our ability to commercialize our products for diagnostic use outside of the United States.</w:t>
      </w:r>
    </w:p>
    <w:p>
      <w:pPr>
        <w:pStyle w:val="TextBody"/>
        <w:bidi w:val="0"/>
        <w:spacing w:lineRule="auto" w:line="288"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Our products could become subject to government regulation as medical devices by the FDA and other regulatory agencies even if we do not elect to seek regulatory clearance or approval to market our products for diagnostic purposes, which would adversely impact our ability to market and sell our products and harm our business. If our products become subject to FDA regulation, the regulatory clearance or approval and the maintenance of continued and post-market regulatory compliance for such products will be expensive, time-consuming, and uncertain both in timing and in outcome.</w:t>
      </w:r>
    </w:p>
    <w:p>
      <w:pPr>
        <w:pStyle w:val="TextBody"/>
        <w:bidi w:val="0"/>
        <w:spacing w:lineRule="auto" w:line="288" w:before="0" w:after="180"/>
        <w:ind w:left="0" w:right="0" w:firstLine="360"/>
        <w:jc w:val="left"/>
        <w:rPr/>
      </w:pPr>
      <w:r>
        <w:rPr>
          <w:rFonts w:ascii="Times New Roman;sans-serif" w:hAnsi="Times New Roman;sans-serif"/>
          <w:b w:val="false"/>
          <w:color w:val="000000"/>
          <w:sz w:val="20"/>
        </w:rPr>
        <w:t>We do not currentl</w:t>
      </w:r>
      <w:r>
        <w:rPr>
          <w:rFonts w:ascii="Times New Roman;sans-serif" w:hAnsi="Times New Roman;sans-serif"/>
          <w:b w:val="false"/>
          <w:color w:val="000000"/>
          <w:sz w:val="20"/>
          <w:shd w:fill="FFFFFF" w:val="clear"/>
        </w:rPr>
        <w:t>y expect our Nautilus platform to be subject to the clearance or approval of the FDA, as it is not intended to be used for the diagnosis, treatment or prevention of disease. However, as we expand our product line and the applications and uses of our current or products into new fields, certain of our future products could become subject to regulation by the FDA, or comparable international agencies, including requirements for regulatory clearance or approval of such products before they can be marketed. Also, even if our products are labeled, promoted, and intended as RUO, the FDA or comparable agencies of other countries could disagree with our conclusion that our products are intended for research use only or deem our sales, marketing and promotional efforts as being inconsistent with RUO products. For example, our customers may independently elect to use our RUO labeled products in their own laboratory developed tests (“LDTs”) for clinical diagnostic use. While the FDA has traditionally exercised enforcement discretion with LDTs, the FDA could take the view that our sale of our RUO labeled products were made with the knowledge that the products will be used as medical devices, and could therefore subject our products to government regulation, and the regulatory clearance or approval and maintenance process for such products may be uncertain, expensive, and time-consuming. Regulatory requirements related to marketing, selling, and distribution of RUO products could change or be uncertain, even if clinical uses of our RUO products by our customers were done without our consent. If the FDA or other regulatory authorities assert that any of our RUO products are subject to regulatory clearance or approval, our business, financial condition, or results of operations could be adversely affected.</w:t>
      </w:r>
    </w:p>
    <w:p>
      <w:pPr>
        <w:pStyle w:val="TextBody"/>
        <w:bidi w:val="0"/>
        <w:spacing w:lineRule="auto" w:line="288" w:before="0" w:after="180"/>
        <w:ind w:left="0" w:right="0" w:firstLine="360"/>
        <w:jc w:val="left"/>
        <w:rPr/>
      </w:pPr>
      <w:r>
        <w:rPr>
          <w:rFonts w:ascii="Times New Roman;sans-serif" w:hAnsi="Times New Roman;sans-serif"/>
          <w:b w:val="false"/>
          <w:color w:val="000000"/>
          <w:sz w:val="20"/>
          <w:shd w:fill="FFFFFF" w:val="clear"/>
        </w:rPr>
        <w:t xml:space="preserve">The FDA has historically exercised enforcement discretion in not enforcing the medical device regulations against laboratories offering LDTs. In May 2024, FDA issued a final rule that amends FDA’s regulations to make explicit that </w:t>
      </w:r>
      <w:r>
        <w:rPr>
          <w:rFonts w:ascii="Times New Roman;sans-serif" w:hAnsi="Times New Roman;sans-serif"/>
          <w:b w:val="false"/>
          <w:i/>
          <w:color w:val="000000"/>
          <w:sz w:val="20"/>
        </w:rPr>
        <w:t>in vitro</w:t>
      </w:r>
      <w:r>
        <w:rPr>
          <w:color w:val="000000"/>
          <w:shd w:fill="FFFFFF" w:val="clear"/>
        </w:rPr>
        <w:t xml:space="preserve"> </w:t>
      </w:r>
      <w:r>
        <w:rPr>
          <w:rFonts w:ascii="Times New Roman;sans-serif" w:hAnsi="Times New Roman;sans-serif"/>
          <w:b w:val="false"/>
          <w:color w:val="000000"/>
          <w:sz w:val="20"/>
          <w:shd w:fill="FFFFFF" w:val="clear"/>
        </w:rPr>
        <w:t xml:space="preserve">diagnostics (“IVDs”) are devices under the Federal Food, Drug, and Cosmetic Act, including when the manufacturer of the IVD is a laboratory, and phases out its enforcement discretion for LDTs. Multiple lawsuits have been filed against FDA, challenging this FDA final rule, including lawsuits filed by the American Clinical Laboratory Association and the Association for Molecular Pathology. Further, in June 2024, the U.S. Supreme Court overruled the </w:t>
      </w:r>
      <w:r>
        <w:rPr>
          <w:rFonts w:ascii="Times New Roman;sans-serif" w:hAnsi="Times New Roman;sans-serif"/>
          <w:b w:val="false"/>
          <w:i/>
          <w:color w:val="000000"/>
          <w:sz w:val="20"/>
        </w:rPr>
        <w:t xml:space="preserve">Chevron </w:t>
      </w:r>
      <w:r>
        <w:rPr>
          <w:rFonts w:ascii="Times New Roman;sans-serif" w:hAnsi="Times New Roman;sans-serif"/>
          <w:b w:val="false"/>
          <w:color w:val="000000"/>
          <w:sz w:val="20"/>
          <w:shd w:fill="FFFFFF" w:val="clear"/>
        </w:rPr>
        <w:t>doctrine, which gives deference to regulatory agencies’ statutory interpretations in litigation against federal government agencies, such as the FDA, where the law is ambiguous. This landmark Supreme Court decision may invite more companies and other stakeholders to bring lawsuits against the FDA to challenge FDA’s statutory interpretations, including its decision to regulate LDTs as medical devices. These judicial challenges can lead to uncertainties in the industry. We cannot predict the full impact of the LDT final rule and ongoing litigation against the FDA on us or the industry in general. Any restrictions on LDTs by the FDA, Congress, or regulatory authorities may decrease the demand for our products. The adoption of new restrictions on RUO products, whether by the FDA or Congress, could adversely affect demand for our specialized reagents and instruments. Further, we could be required to obtain premarket clearance or approval before we can sell our products to certain customers.</w:t>
      </w:r>
    </w:p>
    <w:p>
      <w:pPr>
        <w:pStyle w:val="TextBody"/>
        <w:bidi w:val="0"/>
        <w:spacing w:lineRule="auto" w:line="288" w:before="0" w:after="180"/>
        <w:ind w:left="0" w:right="0" w:firstLine="360"/>
        <w:jc w:val="left"/>
        <w:rPr/>
      </w:pPr>
      <w:r>
        <w:rPr>
          <w:rFonts w:ascii="Times New Roman;sans-serif" w:hAnsi="Times New Roman;sans-serif"/>
          <w:b w:val="false"/>
          <w:color w:val="000000"/>
          <w:sz w:val="20"/>
        </w:rPr>
        <w:t>Further, sales of devices for diagnostic purposes may subject us to additional healthcare regulation and enforcement by the applicable government agencies. Such laws include, without limitation, state and federal anti-kickback or anti-referral laws, healthcare fraud and abuse laws, false claims laws, privacy and security laws, the Physician Payments Sunshine Act and related transparency and manufactu</w:t>
      </w:r>
      <w:r>
        <w:rPr>
          <w:rFonts w:ascii="Times New Roman;sans-serif" w:hAnsi="Times New Roman;sans-serif"/>
          <w:b w:val="false"/>
          <w:color w:val="000000"/>
          <w:sz w:val="20"/>
          <w:shd w:fill="FFFFFF" w:val="clear"/>
        </w:rPr>
        <w:t xml:space="preserve">rer reporting laws, and other laws and regulations applicable to medical device manufacturers. If our operations are found to be in violation of any applicable FDA or healthcare laws and regulations, we may be subject to penalties, monetary damages, disgorgement, imprisonment, the curtailment or restructuring of our operations, loss of eligibility to obtain clearance or approvals from the FDA, fees from regulators, fines, significant settlements or judgments, or exclusion from participation in government contracting, healthcare reimbursement or other government programs, including Medicare and Medicaid, or other restrictions on our operations,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31445"/>
                <wp:effectExtent l="0" t="0" r="0" b="0"/>
                <wp:wrapNone/>
                <wp:docPr id="75" name="Frame5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57</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any of which could adversely impact our financial results. Any action against us for an alleged or suspected violation by a private party or governmental agency could cause us to incur significant legal expenses, adversely impact our reputation, and could divert our management’s attention from the operation of our business, even if our defense is successful. In addition, achieving and sustaining compliance with applicable laws and regulations may be costly to us in terms of money, time and resources.</w:t>
      </w:r>
    </w:p>
    <w:p>
      <w:pPr>
        <w:pStyle w:val="TextBody"/>
        <w:bidi w:val="0"/>
        <w:spacing w:lineRule="auto" w:line="288" w:before="0" w:after="180"/>
        <w:ind w:left="0" w:right="0" w:firstLine="360"/>
        <w:jc w:val="left"/>
        <w:rPr/>
      </w:pPr>
      <w:r>
        <w:rPr>
          <w:rFonts w:ascii="Times New Roman;sans-serif" w:hAnsi="Times New Roman;sans-serif"/>
          <w:b w:val="false"/>
          <w:color w:val="000000"/>
          <w:sz w:val="20"/>
          <w:shd w:fill="FFFFFF" w:val="clear"/>
        </w:rPr>
        <w:t>Additionally, on November 25, 2013, the FDA issued Final Guidance “Distribution of In Vitro Diagnostic Products Labeled for Research Use Only.” This guidance emphasizes that the FDA will review the totality of the circumstances when it comes to evaluating whether equipment and testing components are properly labeled as RUO. This guidance states that merely including a labeling statement that the product is for research purposes only will not necessarily render the device exempt from the FDA’s clearance, approval, and other regulatory requirements if the circumstances surrounding the distribution, marketing and promotional practices indicate that the m</w:t>
      </w:r>
      <w:r>
        <w:rPr>
          <w:rFonts w:ascii="Times New Roman;sans-serif" w:hAnsi="Times New Roman;sans-serif"/>
          <w:b w:val="false"/>
          <w:color w:val="000000"/>
          <w:sz w:val="20"/>
        </w:rPr>
        <w:t>anufacturer knows its products are, or intends for its products to be, used for clinical diagnostic purposes. These circumstances may include written or verbal sales and marketing claims or links to articles regarding a product’s performance in clinical applications and a manufacturer’s provision of technical support for clinical applications.</w:t>
      </w:r>
    </w:p>
    <w:p>
      <w:pPr>
        <w:pStyle w:val="TextBody"/>
        <w:bidi w:val="0"/>
        <w:spacing w:lineRule="auto" w:line="288" w:before="0" w:after="180"/>
        <w:ind w:left="0" w:right="0" w:firstLine="36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Changes in the leadership of FDA and other federal agencies under the new Trump administration may lead to changes in policies and regulations that can impact our industry. Even if the FDA does not modify its policy of enforcement discretion, whether due to changes in FDA policy or legislative action, the FDA may disagree with the marketing of our current products in the United States. We may also be required to conduct clinical studies to support our currently marketed products or planned product launches. If we are required to conduct such clinical trials or to obtain regulatory authorization, delays in the commencement of our product launches or our changes to our current marketing strategy could significantly increase our costs and delay our commercialization plans, which could harm our financial prospects.</w:t>
      </w:r>
    </w:p>
    <w:p>
      <w:pPr>
        <w:pStyle w:val="TextBody"/>
        <w:bidi w:val="0"/>
        <w:spacing w:lineRule="auto" w:line="288"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We are currently subject to, and may in the future become subject to additional, U.S. federal and state laws and regulations imposing obligations on how we collect, store and process personal information. Our actual or perceived failure to comply with such obligations could harm our business. Ensuring compliance with such laws could also impair our efforts to maintain and expand our future customer base, and thereby decrease our revenue.</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 the ordinary course of our business, we currently, and, in the future, will, collect, store, transfer, use or process sensitive data, including personal information of employees, and intellectual property and proprietary business information owned or controlled by us and other parties. The secure processing, storage, maintenance, and transmission of this critical information are vital to our operations and business strategy. We are, and may increasingly become, subject to various laws and regulations, as well as contractual obligations, relating to data privacy and security in the jurisdictions in which we operate. The regulatory environment related to data privacy and security is increasingly rigorous, with new and constantly changing requirements applicable to our business, and enforcement practices are likely to remain uncertain for the foreseeable future. These laws and regulations may be interpreted and applied differently over time and from jurisdiction to jurisdiction, and it is possible that they will be interpreted and applied in ways that may have a material adverse effect on our business, financial condition, results of operations and prospects.</w:t>
      </w:r>
    </w:p>
    <w:p>
      <w:pPr>
        <w:pStyle w:val="TextBody"/>
        <w:bidi w:val="0"/>
        <w:spacing w:lineRule="auto" w:line="288" w:before="0" w:after="180"/>
        <w:ind w:left="0" w:right="0" w:firstLine="360"/>
        <w:jc w:val="left"/>
        <w:rPr/>
      </w:pPr>
      <w:r>
        <w:rPr>
          <w:rFonts w:ascii="Times New Roman;sans-serif" w:hAnsi="Times New Roman;sans-serif"/>
          <w:b w:val="false"/>
          <w:color w:val="000000"/>
          <w:sz w:val="20"/>
        </w:rPr>
        <w:t>In the United States, various federal and state regulators have adopted, or are considering adopting, laws and regulations concerning personal information and data security. Certain state laws may be more stringent or broader in scope, or offer greater individual rights, with respect to personal information than federal, international or other state laws, and such laws may differ from each other, all of which may complicate compliance efforts. For example, the California Consumer Privacy Act (the “CCPA”), which provides for certain privacy rights for California residents and imposes obligations on companies that process their personal information, came into effect on January 1, 2020. Among other things, the CCPA requires covered companies to provide certain disclosures to California consumers and provide such co</w:t>
      </w:r>
      <w:r>
        <w:rPr>
          <w:rFonts w:ascii="Times New Roman;sans-serif" w:hAnsi="Times New Roman;sans-serif"/>
          <w:b w:val="false"/>
          <w:color w:val="000000"/>
          <w:sz w:val="20"/>
          <w:shd w:fill="FFFFFF" w:val="clear"/>
        </w:rPr>
        <w:t xml:space="preserve">nsumers with certain data protection and privacy rights, including the ability to opt-out of certain sales of personal information. The CCPA provides for civil penalties for violations, as well as a private right of action for certain data breaches that result in the loss of personal information. This private right of action may increase the likelihood of, and risks associated with, data breach litigation. In November 2020, California passed the California Privacy Rights Act (the “CPRA”), which amended and expanded the CCPA as of January 1, 2023. Although the CCPA includes exemptions for certain clinical trial data, the law may increase our compliance costs and potential liability with respect to other personal information we collect about California customers. In addition to the CCPA, numerous other states’ legislatures are considering or have enacted similar data privacy laws. For example, Virginia, Colorado, Utah and Connecticut have each passed laws similar to but different from the CCPA and CPRA that took effect in 2023; Florida, Montana, Oregon and Texas have enacted similar laws that took effect in 2024; Tennessee, Delaware, Iowa, Maryland, Minnesota, New Hampshire, Nebraska and New Jersey have enacted similar laws that have taken or will take effect in 2025; and Indiana, Rhode Island and Kentucky have enacted similar laws that will take effect in 2026. Additionally, certain other state laws govern the privacy and security of health information in certain circumstances, such as Washington’s My Health, My Data Act, which contains a private right of action. These new state laws will require ongoing compliance efforts and investment. In addition, laws in all 50 U.S. states require businesses to provide notice to consumers whose personal information has been disclosed as a result of a data breach. State laws are changing rapidly and there is discussion in the U.S. Congress of comprehensive federal data privacy legislation. It is possible that these or other laws, regulations, or other actual or asserted obligations relating to privacy or security matters may be interpreted and applied in a manner that is inconsistent with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31445"/>
                <wp:effectExtent l="0" t="0" r="0" b="0"/>
                <wp:wrapNone/>
                <wp:docPr id="76" name="Frame5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58</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practices. If so, this could result in government-imposed fines or orders requiring that we change our practices, which could adversely affect our business..</w:t>
      </w:r>
    </w:p>
    <w:p>
      <w:pPr>
        <w:pStyle w:val="TextBody"/>
        <w:bidi w:val="0"/>
        <w:spacing w:lineRule="auto" w:line="288" w:before="0" w:after="180"/>
        <w:ind w:left="0" w:right="0" w:firstLine="36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Furthermore, regulations promulgated pursuant to the Health Insurance Portability and Accountability Act of 1996 (“HIPAA”) establish privacy and security standards that limit the use and disclosure of certain individually identifiable health information defined in HIPAA as “protected health information” and require the implementation of administrative, physical and technological safeguards to protect the privacy of protected health information and ensure the confidentiality, integrity and availability of electronic protected health information. Determining whether protected health information has been handled in compliance with applicable privacy standards and our contractual obligations can require complex factual and statistical analyses and may be subject to changing interpretation. Although we take measures to protect sensitive data from unauthorized access, use or disclosure, our information technology and infrastructure may be vulnerable to attacks by hackers or viruses or breached, subject to a security incident, or otherwise compromised or disrupted due to various causes, including employee error, malfeasance or other malicious or inadvertent actions. Any such breach, incident, compromise or disruption could compromise our networks and the information stored there could be accessed by unauthorized parties, manipulated, publicly disclosed, lost, stolen, corrupted, made unavailable, or misused or otherwise processed without authorization. Any such access, breach or other loss of information could result in legal claims or proceedings, and liability under federal or state laws that protect the privacy of personal information, such as the HIPAA, the Health Information Technology for Economic and Clinical Health Act, and regulatory penalties. Notice of breaches must be made to affected individuals, the Secretary of the Department of Health and Human Services, and for extensive breaches, notice may need to be made to the media or State Attorneys General. Such a notice could harm our reputation and our ability to compete.</w:t>
      </w:r>
    </w:p>
    <w:p>
      <w:pPr>
        <w:pStyle w:val="TextBody"/>
        <w:bidi w:val="0"/>
        <w:spacing w:lineRule="auto" w:line="288" w:before="0" w:after="180"/>
        <w:ind w:left="0" w:right="0" w:firstLine="360"/>
        <w:jc w:val="left"/>
        <w:rPr/>
      </w:pPr>
      <w:r>
        <w:rPr>
          <w:rFonts w:ascii="Times New Roman;sans-serif" w:hAnsi="Times New Roman;sans-serif"/>
          <w:b w:val="false"/>
          <w:color w:val="000000"/>
          <w:sz w:val="20"/>
          <w:shd w:fill="FFFFFF" w:val="clear"/>
        </w:rPr>
        <w:t>We are in the process of evaluating compliance needs but do not currently have in place formal policies and procedures related to the storage, collection and processing of information, and have not conducted internal or external data privacy audits to fully assess our compliance with all applicable data protection laws and regulations. Additionally, we do not currently have policies and procedures in place for assessing our third-party vendors’ compliance with applicable data protection laws and regulations. All of these evolving compliance and operatio</w:t>
      </w:r>
      <w:r>
        <w:rPr>
          <w:rFonts w:ascii="Times New Roman;sans-serif" w:hAnsi="Times New Roman;sans-serif"/>
          <w:b w:val="false"/>
          <w:color w:val="000000"/>
          <w:sz w:val="20"/>
        </w:rPr>
        <w:t>nal requirements impose significant costs, such as costs related to organizational changes, implementing additional protection technologies, training employees and engaging consultants, which are likely to increase over time. In addition, such requirements may require us to modify our data processing practices and policies, which may distract management or divert resources from other initiatives and projects, all of which could have a material adverse effect on our business, financial condition, results of operations and prospects. Any failure or perceived failure by us or our third-party vendors, collaborators, contractors or consultants to comply with any applicable federal, state or similar foreign laws and regulations, contractual obligations or any other actual or asserted obligations relating to data privacy and security could result in damage to our reputation, as well as claims, demands, proceedings or litigation by governmental agencies or other third parties, including class action privacy litigation in certain jurisdictions, which would subject us to significant fines, sanctions, awards, penalties, judgments and other liabilities, all of which could have a material adverse effect on our business, financial condition, results of operations and prospects.</w:t>
      </w:r>
    </w:p>
    <w:p>
      <w:pPr>
        <w:pStyle w:val="TextBody"/>
        <w:bidi w:val="0"/>
        <w:spacing w:lineRule="auto" w:line="288"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Our use of artificial intelligence and machine learning technologies may result in reputational harm or liability.</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incorporated and may continue to incorporate additional artificial intelligence and machine learning, or AIML, technologies into our platform, including within our decoding pipelines and otherwise within our business, and these solutions and features are key elements of our technological approach and to our future growth over time. We rely and expect to rely on AIML technologies in our platform, but there can be no assurance that we will realize the desired or anticipated benefits from AIML or any at all. We may also fail to properly implement or utilize AIML technologies. Our competitors, customers, or other third parties may incorporate AIML into their products and services or otherwise within their business more quickly or more successfully than us, which could impair our ability to compete with or serve them effectively, which could adversely affect our results of operations. Additionally, our use of AIML technologies may expose us to additional claims, demands and proceedings by private parties and regulatory authorities and subject us to legal liability as well as brand and reputational harm. For example, if output from AIML technologies or that they assist in producing are or are alleged to be deficient, inaccurate, or biased, or for such output, or such technologies or their development or deployment, including the collection, use, or other processing of data used to train or create such AIML technologies, to alleged to infringe upon or to have misappropriated third-party intellectual property rights, to violate other rights, or to violate applicable laws, regulations, or other actual or asserted legal obligations to which we are or may become subject, then our business, financial condition, and results of operations may be adversely affected. The legal, regulatory, and policy environments around AIML are evolving rapidly, and we may become subject to new and evolving legal and other obligations. These and other developments may require us to make significant changes to our use of AIML, including by limiting or restricting our use of AIML, and may require us to make significant changes to our policies and practices, which may necessitate expenditure of significant time, expense, and other resources, AIML also presents emerging ethical issues, and if our use of AIML becomes controversial, we may experience brand or reputational harm. </w:t>
      </w:r>
    </w:p>
    <w:p>
      <w:pPr>
        <w:pStyle w:val="TextBody"/>
        <w:bidi w:val="0"/>
        <w:spacing w:before="0" w:after="180"/>
        <w:ind w:left="0" w:right="0" w:firstLine="360"/>
        <w:jc w:val="left"/>
        <w:rPr/>
      </w:pPr>
      <w:r>
        <w:rPr/>
      </w:r>
    </w:p>
    <w:p>
      <w:pPr>
        <w:pStyle w:val="TextBody"/>
        <w:bidi w:val="0"/>
        <w:spacing w:before="0" w:after="180"/>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31445"/>
                <wp:effectExtent l="0" t="0" r="0" b="0"/>
                <wp:wrapNone/>
                <wp:docPr id="77" name="Frame5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59</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If we commercialize our Nautilus platform outside of the United States, our international business could expose us to business, tax, regulatory, political, operational, financial, and economic risks associated with doing business outside of the United States.</w:t>
      </w:r>
    </w:p>
    <w:p>
      <w:pPr>
        <w:pStyle w:val="TextBody"/>
        <w:bidi w:val="0"/>
        <w:spacing w:lineRule="auto" w:line="288" w:before="0" w:after="180"/>
        <w:ind w:left="0" w:right="0" w:firstLine="360"/>
        <w:jc w:val="left"/>
        <w:rPr/>
      </w:pPr>
      <w:r>
        <w:rPr>
          <w:rFonts w:ascii="Times New Roman;sans-serif" w:hAnsi="Times New Roman;sans-serif"/>
          <w:b w:val="false"/>
          <w:color w:val="000000"/>
          <w:sz w:val="20"/>
        </w:rPr>
        <w:t>If we commercialize our</w:t>
      </w:r>
      <w:r>
        <w:rPr>
          <w:color w:val="000000"/>
          <w:shd w:fill="FFFFFF" w:val="clear"/>
        </w:rPr>
        <w:t xml:space="preserve"> </w:t>
      </w:r>
      <w:r>
        <w:rPr>
          <w:rFonts w:ascii="Times New Roman;sans-serif" w:hAnsi="Times New Roman;sans-serif"/>
          <w:b w:val="false"/>
          <w:color w:val="000000"/>
          <w:sz w:val="20"/>
          <w:shd w:fill="FFFFFF" w:val="clear"/>
        </w:rPr>
        <w:t>Nautilus platform</w:t>
      </w:r>
      <w:r>
        <w:rPr>
          <w:color w:val="000000"/>
        </w:rPr>
        <w:t xml:space="preserve"> </w:t>
      </w:r>
      <w:r>
        <w:rPr>
          <w:rFonts w:ascii="Times New Roman;sans-serif" w:hAnsi="Times New Roman;sans-serif"/>
          <w:b w:val="false"/>
          <w:color w:val="000000"/>
          <w:sz w:val="20"/>
        </w:rPr>
        <w:t xml:space="preserve">outside of the United States, our international business may be adversely affected by changing economic, political and regulatory conditions in foreign countries, as well as changes </w:t>
      </w:r>
      <w:r>
        <w:rPr>
          <w:rFonts w:ascii="Times New Roman;sans-serif" w:hAnsi="Times New Roman;sans-serif"/>
          <w:b w:val="false"/>
          <w:color w:val="000000"/>
          <w:sz w:val="20"/>
          <w:u w:val="single"/>
        </w:rPr>
        <w:t>resulting from new political administrations</w:t>
      </w:r>
      <w:r>
        <w:rPr>
          <w:color w:val="000000"/>
        </w:rPr>
        <w:t xml:space="preserve"> </w:t>
      </w:r>
      <w:r>
        <w:rPr>
          <w:rFonts w:ascii="Times New Roman;sans-serif" w:hAnsi="Times New Roman;sans-serif"/>
          <w:b w:val="false"/>
          <w:color w:val="000000"/>
          <w:sz w:val="20"/>
        </w:rPr>
        <w:t>in the United States. Engaging in international business inherently involves a number of difficulties and risks, including:</w:t>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shd w:fill="FFFFFF" w:val="clear"/>
        </w:rPr>
        <w:t>required compliance with existing and changing foreign regulatory requirements and laws;</w:t>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shd w:fill="FFFFFF" w:val="clear"/>
        </w:rPr>
        <w:t>required compliance with U.S. laws such as the Foreign Corrupt Practices Act, and other U.S. federal laws and regulations established by the office of Foreign Asset Control;</w:t>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shd w:fill="FFFFFF" w:val="clear"/>
        </w:rPr>
        <w:t>export or import restrictions;</w:t>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shd w:fill="FFFFFF" w:val="clear"/>
        </w:rPr>
        <w:t>laws and business practices favoring local companies;</w:t>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shd w:fill="FFFFFF" w:val="clear"/>
        </w:rPr>
        <w:t>foreign currency exchange, longer payment cycles and difficulties in enforcing agreements and collecting receivables through certain foreign legal systems;</w:t>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shd w:fill="FFFFFF" w:val="clear"/>
        </w:rPr>
        <w:t>political and economic instability;</w:t>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shd w:fill="FFFFFF" w:val="clear"/>
        </w:rPr>
        <w:t>changes in social, economic, and political conditions or in laws, regulations and policies governing foreign trade, tariffs, intellectual property, manufacturing, research and development, and investment both domestically as well as in the other countries and jurisdictions in which we operate and into which we may sell our products including as a result of the separation of the United Kingdom from the European Union (Brexit);</w:t>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shd w:fill="FFFFFF" w:val="clear"/>
        </w:rPr>
        <w:t>potentially adverse tax consequences, tariffs, customs charges, bureaucratic requirements and other trade barriers;</w:t>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shd w:fill="FFFFFF" w:val="clear"/>
        </w:rPr>
        <w:t>difficulties and costs of staffing and managing foreign operations, including compliance with diverse and complex local employment laws and practices; and</w:t>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shd w:fill="FFFFFF" w:val="clear"/>
        </w:rPr>
        <w:t>difficulties protecting, maintaining, enforcing or procuring intellectual property rights.</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If one or more of these risks occurs, it could require us to dedicate significant resources to remedy such occurrence, and if we are unsuccessful in finding a solution, our financial results will suffer.</w:t>
      </w:r>
    </w:p>
    <w:p>
      <w:pPr>
        <w:pStyle w:val="TextBody"/>
        <w:bidi w:val="0"/>
        <w:spacing w:lineRule="auto" w:line="288" w:before="0" w:after="180"/>
        <w:ind w:left="0" w:right="0" w:firstLine="360"/>
        <w:jc w:val="left"/>
        <w:rPr/>
      </w:pPr>
      <w:r>
        <w:rPr>
          <w:rFonts w:ascii="Times New Roman;sans-serif" w:hAnsi="Times New Roman;sans-serif"/>
          <w:b w:val="false"/>
          <w:color w:val="000000"/>
          <w:sz w:val="20"/>
        </w:rPr>
        <w:t xml:space="preserve">For example, on January 15, 2025, the United States Department of Commerce Bureau of Industry and Security (“BIS”) issued an </w:t>
      </w:r>
      <w:r>
        <w:rPr>
          <w:rFonts w:ascii="Times New Roman;sans-serif" w:hAnsi="Times New Roman;sans-serif"/>
          <w:b w:val="false"/>
          <w:color w:val="000000"/>
          <w:sz w:val="20"/>
          <w:shd w:fill="FFFFFF" w:val="clear"/>
        </w:rPr>
        <w:t>Interim Final Rule (“IFR”) implementing targeted export controls on certain laboratory instruments</w:t>
      </w:r>
      <w:r>
        <w:rPr>
          <w:rFonts w:ascii="Times New Roman;sans-serif" w:hAnsi="Times New Roman;sans-serif"/>
          <w:b w:val="false"/>
          <w:color w:val="000000"/>
          <w:sz w:val="20"/>
        </w:rPr>
        <w:t>. This IFR imposes certain new restrictions and license requirements on export to certain countries of certain analytical instruments that are highly suitable for generating large, detailed biological datasets, which can be analyzed to discover complex patterns governing the function of biological molecules, cells, and organisms. The IFR seeks to regulate exports of these analytical instruments based upon the potential to exploit these techniques for asymmetric military advantage. The analytical instruments subject to the IFR, as written, include high-parameter and spectral flow cytometers and cell sorters</w:t>
      </w:r>
      <w:r>
        <w:rPr>
          <w:color w:val="000000"/>
        </w:rPr>
        <w:t xml:space="preserve"> </w:t>
      </w:r>
      <w:r>
        <w:rPr>
          <w:rFonts w:ascii="Times New Roman;sans-serif" w:hAnsi="Times New Roman;sans-serif"/>
          <w:b w:val="false"/>
          <w:color w:val="000000"/>
          <w:sz w:val="20"/>
        </w:rPr>
        <w:t>and certain liquid chromatography mass spectrometers</w:t>
      </w:r>
      <w:r>
        <w:rPr>
          <w:color w:val="000000"/>
        </w:rPr>
        <w:t xml:space="preserve"> </w:t>
      </w:r>
      <w:r>
        <w:rPr>
          <w:rFonts w:ascii="Times New Roman;sans-serif" w:hAnsi="Times New Roman;sans-serif"/>
          <w:b w:val="false"/>
          <w:color w:val="000000"/>
          <w:sz w:val="20"/>
        </w:rPr>
        <w:t>(LC/MS) specially designed for proteomics. While the Company’s platform would not be not included under the current IFR, given the platform’s anticipated ability to generate large proteomic datasets, future BIS or other government regulations could potentially encompass our products and/or negatively impact our ability to export those products to certain countries and markets.</w:t>
      </w:r>
    </w:p>
    <w:p>
      <w:pPr>
        <w:pStyle w:val="TextBody"/>
        <w:bidi w:val="0"/>
        <w:spacing w:lineRule="auto" w:line="288" w:before="0" w:after="180"/>
        <w:ind w:left="0" w:right="0" w:firstLine="360"/>
        <w:jc w:val="left"/>
        <w:rPr/>
      </w:pPr>
      <w:r>
        <w:rPr>
          <w:rFonts w:ascii="Times New Roman;sans-serif" w:hAnsi="Times New Roman;sans-serif"/>
          <w:b w:val="false"/>
          <w:color w:val="000000"/>
          <w:sz w:val="20"/>
        </w:rPr>
        <w:t xml:space="preserve">In addition, if we commercialize our </w:t>
      </w:r>
      <w:r>
        <w:rPr>
          <w:rFonts w:ascii="Times New Roman;sans-serif" w:hAnsi="Times New Roman;sans-serif"/>
          <w:b w:val="false"/>
          <w:color w:val="000000"/>
          <w:sz w:val="20"/>
          <w:shd w:fill="FFFFFF" w:val="clear"/>
        </w:rPr>
        <w:t>Nautilus platform</w:t>
      </w:r>
      <w:r>
        <w:rPr>
          <w:color w:val="000000"/>
        </w:rPr>
        <w:t xml:space="preserve"> </w:t>
      </w:r>
      <w:r>
        <w:rPr>
          <w:rFonts w:ascii="Times New Roman;sans-serif" w:hAnsi="Times New Roman;sans-serif"/>
          <w:b w:val="false"/>
          <w:color w:val="000000"/>
          <w:sz w:val="20"/>
        </w:rPr>
        <w:t xml:space="preserve">outside of the United States, we may rely on distributors for sales of our </w:t>
      </w:r>
      <w:r>
        <w:rPr>
          <w:rFonts w:ascii="Times New Roman;sans-serif" w:hAnsi="Times New Roman;sans-serif"/>
          <w:b w:val="false"/>
          <w:color w:val="000000"/>
          <w:sz w:val="20"/>
          <w:shd w:fill="FFFFFF" w:val="clear"/>
        </w:rPr>
        <w:t>Nautilus platform</w:t>
      </w:r>
      <w:r>
        <w:rPr>
          <w:color w:val="000000"/>
        </w:rPr>
        <w:t xml:space="preserve"> </w:t>
      </w:r>
      <w:r>
        <w:rPr>
          <w:rFonts w:ascii="Times New Roman;sans-serif" w:hAnsi="Times New Roman;sans-serif"/>
          <w:b w:val="false"/>
          <w:color w:val="000000"/>
          <w:sz w:val="20"/>
        </w:rPr>
        <w:t xml:space="preserve">and related products. To do so we must attract distributors and maintain distributors to maximize the commercial opportunity for our platform. There is no guarantee that we will be successful in attracting or retaining desirable sales and distribution partners or that we will be able to enter into such arrangements on favorable terms. Distributors may not commit the necessary resources to market and sell our </w:t>
      </w:r>
      <w:r>
        <w:rPr>
          <w:rFonts w:ascii="Times New Roman;sans-serif" w:hAnsi="Times New Roman;sans-serif"/>
          <w:b w:val="false"/>
          <w:color w:val="000000"/>
          <w:sz w:val="20"/>
          <w:shd w:fill="FFFFFF" w:val="clear"/>
        </w:rPr>
        <w:t>Nautilus platform</w:t>
      </w:r>
      <w:r>
        <w:rPr>
          <w:color w:val="000000"/>
        </w:rPr>
        <w:t xml:space="preserve"> </w:t>
      </w:r>
      <w:r>
        <w:rPr>
          <w:rFonts w:ascii="Times New Roman;sans-serif" w:hAnsi="Times New Roman;sans-serif"/>
          <w:b w:val="false"/>
          <w:color w:val="000000"/>
          <w:sz w:val="20"/>
        </w:rPr>
        <w:t>and related products to the level of our expectations or may choose to favor marketing the products of our competitors. If current or future distributors do not perform adequately, or we are unable to enter into effective arrangements with distributors in particular geographic areas, we may not realize long-term international revenue growth and our financial results will suffer.</w:t>
      </w:r>
    </w:p>
    <w:p>
      <w:pPr>
        <w:pStyle w:val="TextBody"/>
        <w:bidi w:val="0"/>
        <w:spacing w:lineRule="auto" w:line="288" w:before="0" w:after="180"/>
        <w:ind w:left="0" w:right="0" w:firstLine="360"/>
        <w:jc w:val="left"/>
        <w:rPr/>
      </w:pPr>
      <w:r>
        <w:rPr>
          <w:rFonts w:ascii="Times New Roman;sans-serif" w:hAnsi="Times New Roman;sans-serif"/>
          <w:b/>
          <w:i/>
          <w:color w:val="000000"/>
          <w:sz w:val="20"/>
        </w:rPr>
        <w:t xml:space="preserve">If we expand our development and commercialization activities outside of the United States, we will be subject to an increased risk of conducting activities in a manner that violates the U.S. Foreign Corrupt Practices Act and similar laws. If that occurs, </w:t>
      </w:r>
      <w:r>
        <w:rPr>
          <w:rFonts w:ascii="Times New Roman;sans-serif" w:hAnsi="Times New Roman;sans-serif"/>
          <w:b/>
          <w:i/>
          <w:color w:val="000000"/>
          <w:sz w:val="20"/>
          <w:shd w:fill="FFFFFF" w:val="clear"/>
        </w:rPr>
        <w:t>we may be subject to civil or criminal penalties and other adverse consequences which could have a material adverse effect on our business, financial condition, results of operations and growth prospects.</w:t>
      </w:r>
    </w:p>
    <w:p>
      <w:pPr>
        <w:pStyle w:val="TextBody"/>
        <w:bidi w:val="0"/>
        <w:spacing w:lineRule="auto" w:line="288" w:before="0" w:after="180"/>
        <w:ind w:left="0" w:right="0" w:firstLine="36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We are subject to the U.S. Foreign Corrupt Practices Act, or the FCPA, and similar anti-corruption laws which generally prohibit companies, their employees, agents, representatives, business partners, and third-party intermediaries from authorizing, offering,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31445"/>
                <wp:effectExtent l="0" t="0" r="0" b="0"/>
                <wp:wrapNone/>
                <wp:docPr id="78" name="Frame60"/>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60</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pPr>
      <w:r>
        <w:rPr>
          <w:rFonts w:ascii="Times New Roman;sans-serif" w:hAnsi="Times New Roman;sans-serif"/>
          <w:b w:val="false"/>
          <w:color w:val="000000"/>
          <w:sz w:val="20"/>
          <w:shd w:fill="FFFFFF" w:val="clear"/>
        </w:rPr>
        <w:t>providing, directly or indirectly, improper payments or benefits to recipients in the public or private sector.</w:t>
      </w:r>
      <w:r>
        <w:rPr>
          <w:color w:val="000000"/>
        </w:rPr>
        <w:t xml:space="preserve"> </w:t>
      </w:r>
      <w:r>
        <w:rPr>
          <w:rFonts w:ascii="Times New Roman;sans-serif" w:hAnsi="Times New Roman;sans-serif"/>
          <w:b w:val="false"/>
          <w:color w:val="000000"/>
          <w:sz w:val="20"/>
          <w:shd w:fill="FFFFFF" w:val="clear"/>
        </w:rPr>
        <w:t>Specifically, the FCPA which prohibits corporations and individuals from paying, offering to pay, or authorizing the payment of anything of value to any foreign government official, government staff member, political party, or political candidate in an attempt to obtain or retain business or to otherwise influence a person working in an official capacity. We are also subject to the UK Bribery Act, which prohibits both domestic and international bribery, as well as bribery across both public and private sectors.</w:t>
      </w:r>
    </w:p>
    <w:p>
      <w:pPr>
        <w:pStyle w:val="TextBody"/>
        <w:bidi w:val="0"/>
        <w:spacing w:lineRule="auto" w:line="288" w:before="0" w:after="180"/>
        <w:ind w:left="0" w:right="0" w:firstLine="36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If we choose to establish and expand our commercial operations outside of the United States we will need to comply with non-U.S. regulatory requirements, may need to establish and expand business relationships with various third parties, and we, our employees, agents, representatives, business partners and third-party intermediaries may interact more frequently with foreign officials, including regulatory authorities, and we may be held liable for the corrupt or other illegal activities of these employees, agents, representatives, business partners or third-party intermediaries, even if we do not explicitly authorize such activities. Any interactions with any such parties or individuals where improper payments are provided that are found to be in violation of such laws could result in substantial fines and penalties and could materially harm our business. We cannot assure you that all of our employees, agents, representatives, business partners and third-party intermediaries will not take actions in violation of applicable law for which we may ultimately be held responsible.</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These laws also require that we keep accurate books and records and maintain internal controls and compliance procedures designed to prevent any such actions. While we have policies and procedures to address compliance with such laws, we cannot assure you that none of our employees, agents, representatives, business partners or third-party intermediaries will take actions in violation of our policies and applicable law, for which we may be ultimately held responsible. Further, as we increase our international sales and business, our risks under these laws may increase and expanded programs to maintain compliance with such laws may be costly and may not be effective.</w:t>
      </w:r>
    </w:p>
    <w:p>
      <w:pPr>
        <w:pStyle w:val="TextBody"/>
        <w:bidi w:val="0"/>
        <w:spacing w:lineRule="auto" w:line="288" w:before="0" w:after="180"/>
        <w:ind w:left="0" w:right="0" w:firstLine="360"/>
        <w:jc w:val="left"/>
        <w:rPr/>
      </w:pPr>
      <w:r>
        <w:rPr>
          <w:rFonts w:ascii="Times New Roman;sans-serif" w:hAnsi="Times New Roman;sans-serif"/>
          <w:b w:val="false"/>
          <w:color w:val="000000"/>
          <w:sz w:val="20"/>
          <w:shd w:fill="FFFFFF" w:val="clear"/>
        </w:rPr>
        <w:t>Furthermore, any finding of a violation under one country’s laws may increase the likelihood that we will be prosecuted and be found to have violated another country’s laws. If our business practices are alleged to be or are found to be in violation of the FCPA, UK Bribery Act or other similar anti-corruption laws, we may be subject to whistleblower complaints, sanctions, settlements, prosecution, enforcement actions, fines, damages, adverse media coverage, investigations, loss of export privileges, significant civil and criminal penalties, or suspension or debarment from government contracts, all of which co</w:t>
      </w:r>
      <w:r>
        <w:rPr>
          <w:rFonts w:ascii="Times New Roman;sans-serif" w:hAnsi="Times New Roman;sans-serif"/>
          <w:b w:val="false"/>
          <w:color w:val="000000"/>
          <w:sz w:val="20"/>
        </w:rPr>
        <w:t>uld have a material adverse effect on our reputation, financial condition and results of operations. Responding to any investigation or action will likely result in materially significant diversion of management’s attention and resources and significant defense costs and other professional fees.</w:t>
      </w:r>
    </w:p>
    <w:p>
      <w:pPr>
        <w:pStyle w:val="TextBody"/>
        <w:bidi w:val="0"/>
        <w:spacing w:lineRule="auto" w:line="288"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Environmental and health safety laws may result in liabilities, expenses and restrictions on our operations. Failure to comply with environmental laws and regulations could subject us to significant liability.</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Federal, state, local and foreign laws regarding environmental protection, hazardous substances and human health and safety may adversely affect our business. Our research and development operations involve the use of hazardous substances and are subject to a variety of federal, state, local and foreign environmental laws and regulations relating to the storage, use, discharge, disposal, remediation of, and human exposure to, hazardous substances and the sale, labeling, collection, recycling, treatment and disposal of products containing hazardous substances. These operations are permitted by regulatory authorities, and the resultant waste materials are disposed of in material compliance with environmental laws and regulations. Using hazardous substances in our operations exposes us to the risk of accidental injury, contamination or other liability from the use, storage, importation, handling or disposal of hazardous materials. If we or our suppliers’ operations result in the contamination of the environment or expose individuals to hazardous substances, we could be liable for damages and fines, and any liability could significantly exceed our insurance coverage and have a material adverse effect on our business, financial condition and results of operations. Liability under environmental laws and regulations can be joint and several and without regard to fault or negligence. Compliance with environmental laws and regulations may be expensive and noncompliance could result in substantial liabilities, fines and penalties, personal injury and third-party property damage claims and substantial investigation and remediation costs. Environmental laws and regulations could become more stringent over time, imposing greater compliance costs and increasing risks and penalties associated with violations. We cannot assure you that violations of these laws and regulations will not occur in the future or have not occurred in the past as a result of human error, accidents, equipment failure or other causes. The expense associated with environmental regulation and remediation could harm our financial condition and operating results.</w:t>
      </w:r>
    </w:p>
    <w:p>
      <w:pPr>
        <w:pStyle w:val="TextBody"/>
        <w:bidi w:val="0"/>
        <w:spacing w:lineRule="auto" w:line="288"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Our employees, independent contractors, consultants, commercial partners, distributors and vendors may engage in misconduct or other improper activities, including noncompliance with regulatory standards and requirements.</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are exposed to the risk that our employees, independent contractors, consultants, commercial collaborators, distributors, suppliers and vendors may engage in misconduct or other improper activities. Misconduct by these parties could include failures to comply with applicable FDA regulations, provide accurate information to the FDA, comply with federal and state health care fraud and abuse laws and regulations, accurately report financial information or data or disclose unauthorized activities to us. In particular, sales, marketing and business arrangements in the health care industry are subject to extensive laws and regulations intended to prevent fraud, misconduct, kickbacks, self-dealing and other abusive practices. These laws and regulations may restrict or prohibit 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31445"/>
                <wp:effectExtent l="0" t="0" r="0" b="0"/>
                <wp:wrapNone/>
                <wp:docPr id="79" name="Frame61"/>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61</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wide range of pricing, discounting, marketing and promotion, sales commission, customer incentive programs and other business arrangements. Misconduct by these parties could also involve the improper use of information obtained in the course of clinical trials, which could result in regulatory sanctions and serious harm to our reputation. It is not always possible to identify and deter misconduct by these parties, and the precautions we take to detect and prevent such misconduct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 self or asserting our rights, those actions could have a significant impact on our business, including the imposition of significant penalties, including civil, criminal and administrative penalties, damages, fines, disgorgement, individual imprisonment, exclusion from participation in government funded healthcare programs, such as Medicare and Medicaid, integrity oversight and reporting obligations, contractual damages, reputational harm, diminished profits and future earnings and the curtailment or restructuring of our operations.</w:t>
      </w:r>
    </w:p>
    <w:p>
      <w:pPr>
        <w:pStyle w:val="TextBody"/>
        <w:bidi w:val="0"/>
        <w:spacing w:lineRule="auto" w:line="288"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Demand for our technology could be reduced by legal, social and ethical concerns surrounding the use of genetic information and biological materials.</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Our products may be used to provide genetic information or analyze biological materials from humans and other living organisms. The information obtained from our products could be used in a variety of applications, which may have underlying legal, social and ethical concerns, including the genetic engineering or modification of agricultural products, testing for genetic predisposition for certain medical conditions and stem cell research. Governmental authorities could, for safety, social or other purposes, call for limits on or impose regulations on the use of genetic testing or the use of certain biological materials. Such concerns or governmental restrictions could limit the use of our products, which could have a material adverse effect on our business, financial condition and results of operations.</w:t>
      </w:r>
    </w:p>
    <w:p>
      <w:pPr>
        <w:pStyle w:val="TextBody"/>
        <w:bidi w:val="0"/>
        <w:spacing w:lineRule="auto" w:line="288"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Significant developments or changes in national laws or policies to protect or promote domestic interests and/or address foreign competition could have an adverse effect on our business and financial condition.</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Significant developments or changes in national laws or policies to protect or promote domestic interests and/or address foreign competition, including laws and policies in areas such as trade, manufacturing, government purchasing, health care, intellectual property and investment/development, could adversely affect our business, financial condition and results of operations. For example, certain governments have implemented policies to induce “re-shoring” of supply chains, reduce reliance on imported supplies and promote national production. The Chinese government has issued a series of policies in the past several years to promote the development and use of local medical devices. In addition, in recent years the U.S. has increased tariffs on certain imported goods and trade tensions between the U.S. and China escalated, with each country imposing significant, additional tariffs on a wide range of goods imported from the other country. </w:t>
      </w:r>
    </w:p>
    <w:p>
      <w:pPr>
        <w:pStyle w:val="TextBody"/>
        <w:bidi w:val="0"/>
        <w:spacing w:lineRule="auto" w:line="288" w:before="0" w:after="180"/>
        <w:ind w:left="0" w:right="0" w:firstLine="360"/>
        <w:jc w:val="left"/>
        <w:rPr>
          <w:rFonts w:ascii="Times New Roman;sans-serif" w:hAnsi="Times New Roman;sans-serif"/>
          <w:b/>
          <w:color w:val="000000"/>
          <w:sz w:val="20"/>
        </w:rPr>
      </w:pPr>
      <w:r>
        <w:rPr>
          <w:rFonts w:ascii="Times New Roman;sans-serif" w:hAnsi="Times New Roman;sans-serif"/>
          <w:b/>
          <w:color w:val="000000"/>
          <w:sz w:val="20"/>
        </w:rPr>
        <w:t xml:space="preserve">Risks Related to our Operations </w:t>
      </w:r>
    </w:p>
    <w:p>
      <w:pPr>
        <w:pStyle w:val="TextBody"/>
        <w:bidi w:val="0"/>
        <w:spacing w:lineRule="auto" w:line="288"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If we experience a significant disruption in our information technology systems or breaches of data security, our business could be adversely affected.</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rely on information technology systems to keep financial records, facilitate our research and development initiatives, manage our manufacturing operations, maintain quality control, fulfill customer orders, process customer data and information, maintain corporate records, communicate with staff and external parties and operate other critical functions. Our information technology systems and those of our vendors and partners are potentially vulnerable to disruption, failure and compromise due to breakdown, malicious intrusion and computer viruses, ransomware or other malicious software, or other disruptive events, including, but not limited to, natural disasters and catastrophes. Like other life sciences technology companies, we have experienced security incidents in the past, and we may experience them again in the future. For example, in January 2024, we experienced an incident involving unauthorized access to an employee account. The Company has worked, and continues to work with external cybersecurity experts, in detecting, blocking, containing, remediating, and investigating any security incidents and risks, and in further enhancing our cybersecurity safeguards. This incident did not, and other incidents have not impacted the availability of our systems, materially disrupted our operations, or had any material impact on our financial or operating results. Cybersecurity risks are constantly evolving, and as such, we anticipate additional work and expense in the future as we continue to further enhance our security processes and initiatives to meet the changing landscape of cybersecurity risks. While cyber insurance may be available for companies, any available insurance for cyber events, may be limited in amount, subject to deductibles, and may not be adequate to cover us for all costs arising from security incidents. Given increasing cybersecurity risks, cyber insurance may not be available to us in the future, or may not be available on commercially reasonable terms.</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Cyberattacks and other malicious internet-based activity continue to increase and cloud-based platform providers of services have been and are expected to continue to be targeted. Furthermore, there may be a heightened risk of potential cyberattacks by state actors or others since the escalation of the conflicts in Eastern Europe and intensified conflicts in the Middle East. Methods of attacks on information technology systems and attempting or effecting data security breaches and incidents change frequently, are increasingly complex and sophisticated, including social engineering and phishing scams, and can originate from a wide variety of sources.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31445"/>
                <wp:effectExtent l="0" t="0" r="0" b="0"/>
                <wp:wrapNone/>
                <wp:docPr id="80" name="Frame6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62</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addition to traditional computer “hackers,” malicious code, such as viruses and worms, employee theft or misuse, denial-of-service attacks and sophisticated nation-state and nation-state supported actors now engage in attacks, including advanced persistent threat intrusions. Despite our efforts to create security barriers to such threats, it is virtually impossible for us to entirely mitigate these risks. Despite any of our current or future efforts to protect against cyberattacks and security breaches and incidents, there is no guarantee that our efforts are adequate to safeguard against all such attacks, breaches, and incidents. Moreover, it is possible that we may not be able to anticipate, detect, appropriately react and respond to, or implement effective preventative measures against, all security incidents.</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If our security measures, or those of our vendors and partners, are compromised due to cyberattacks or security breaches or incidents, including as a result of third-party action, employee or customer error, malfeasance, stolen or fraudulently obtained credentials or otherwise, or if any of these events is perceived to have occurred, our reputation could be damaged, our business and reputation may be harmed, we could become subject to claims, demands and litigation by private parties, and regulatory investigations and other proceedings, and we could incur significant liability. If we were to experience a prolonged system disruption in our information technology systems or those of certain of our vendors and partners, it could negatively impact our ability to serve our customers, which could adversely impact our business, financial condition, results of operations and prospects. If operations at our facilities were disrupted, it may cause a material disruption in our business. In addition, our information technology systems, and those of our vendors and partners, are potentially vulnerable to security breaches and incidents, whether by internal bad actors, such as employees or other third parties with legitimate access to our or our third-party providers’ systems, or external bad actors, which could lead to the exposure of personal data, sensitive data and confidential information to unauthorized persons. Any such security breaches or incidents could lead to the loss of trade secrets or other intellectual property, or could lead to the loss, unavailability, exposure, unauthorized modification, alteration or other processing of personal information, including sensitive personal information, of our employees, customers and others, any of which could have a material adverse effect on our business, reputation, financial condition and results of operations.</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any such access, disclosure or other loss or unauthorized use of information or data could result in legal claims or proceedings, regulatory investigations or actions, and other types of liability under federal, state and foreign laws and regulations relating to the privacy and security of personal information, violations of which could result in significant penalties and fines. Furthermore, defending a suit, regardless of its merit, could be costly, divert management’s attention and harm our reputation. In addition, although we seek to detect and investigate security incidents, security breaches and other incidents of unauthorized access to our information technology systems and data, these can be difficult to detect and any delay in identifying such breaches or incidents may lead to increased harm and legal exposure of the type described above. Moreover, there could be public announcements regarding any actual or perceived security breaches or incidents and any steps we take to respond to or remediate such breaches or incidents, and if securities analysts or investors perceive these announcements to be negative, it could, among other things, have a material adverse effect on the price of our Common Stock.</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cost of protecting against, investigating, mitigating and responding to potential breaches of and other incidents impacting our information technology systems and data security breaches and incidents and complying with applicable breach notification obligations to individuals, regulators, partners and others can be significant. As security incidents continue to evolve, we may be required to expend significant additional resources to continue to modify or enhance our protective measures or to investigate and remediate information security vulnerabilities. Any failure to implement, maintain and upgrade adequate safeguards, or for this to be believed or asserted to be the case, could have a material adverse effect on our business, financial condition, results of operations and prospects.</w:t>
      </w:r>
    </w:p>
    <w:p>
      <w:pPr>
        <w:pStyle w:val="TextBody"/>
        <w:bidi w:val="0"/>
        <w:spacing w:lineRule="auto" w:line="288"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We may be unable to manage our anticipated growth effectively.</w:t>
      </w:r>
    </w:p>
    <w:p>
      <w:pPr>
        <w:pStyle w:val="TextBody"/>
        <w:bidi w:val="0"/>
        <w:spacing w:lineRule="auto" w:line="288" w:before="0" w:after="180"/>
        <w:ind w:left="0" w:right="0" w:firstLine="360"/>
        <w:jc w:val="left"/>
        <w:rPr/>
      </w:pPr>
      <w:r>
        <w:rPr>
          <w:rFonts w:ascii="Times New Roman;sans-serif" w:hAnsi="Times New Roman;sans-serif"/>
          <w:b w:val="false"/>
          <w:color w:val="000000"/>
          <w:sz w:val="20"/>
        </w:rPr>
        <w:t xml:space="preserve">Our anticipated growth will place significant strains on our management, operational and manufacturing systems and processes, sales and marketing team, financial systems and internal controls and other aspects of our business. We must upgrade our internal business processes and capabilities to create the scalability that a growing business demands. As of December 31, 2024, we had 155 employees. While in the first quarter of 2025 we began implementing workforce reductions, to execute our anticipated growth successfully, we must continue to attract and retain qualified personnel and manage and train them effectively. Developing and commercializing our </w:t>
      </w:r>
      <w:r>
        <w:rPr>
          <w:rFonts w:ascii="Times New Roman;sans-serif" w:hAnsi="Times New Roman;sans-serif"/>
          <w:b w:val="false"/>
          <w:color w:val="000000"/>
          <w:sz w:val="20"/>
          <w:shd w:fill="FFFFFF" w:val="clear"/>
        </w:rPr>
        <w:t>Nautilus platform</w:t>
      </w:r>
      <w:r>
        <w:rPr>
          <w:color w:val="000000"/>
        </w:rPr>
        <w:t xml:space="preserve"> </w:t>
      </w:r>
      <w:r>
        <w:rPr>
          <w:rFonts w:ascii="Times New Roman;sans-serif" w:hAnsi="Times New Roman;sans-serif"/>
          <w:b w:val="false"/>
          <w:color w:val="000000"/>
          <w:sz w:val="20"/>
        </w:rPr>
        <w:t>will require us to hire and retain scientific, sales and marketing, software, manufacturing, customer service, distribution and quality assurance personnel. In addition, we expect that we will need to hire additional accounting, finance and other personnel as a public company and as we begin commercialization. As a public company, our management and other personnel will need to devote a substantial amount of time towards maintaining compliance with these requirements and effectively manage our expected growth activities. We may face challenges integrating, developing and motivating our employee base.</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Further, our anticipated growth will place additional strain on our suppliers and manufacturing facilities, resulting in an increased need for us to carefully monitor quality assurance. Any failure by us to manage our growth effectively could have an adverse effect on our ability to achieve our development and commercialization goals.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31445"/>
                <wp:effectExtent l="0" t="0" r="0" b="0"/>
                <wp:wrapNone/>
                <wp:docPr id="81" name="Frame6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63</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Our ability to successfully manage our expected growth is uncertain given the fact that we have been in operation only since 2016. As we continue to grow, we will be required to implement more complex organizational management structures and may find it increasingly difficult to maintain the benefits of our corporate culture, including our ability to quickly develop and launch new and innovative products. If we do not successfully manage our anticipated growth, our business, results of operations, financial condition and prospects will be harmed.</w:t>
      </w:r>
    </w:p>
    <w:p>
      <w:pPr>
        <w:pStyle w:val="TextBody"/>
        <w:bidi w:val="0"/>
        <w:spacing w:lineRule="auto" w:line="288"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If we are unable to recruit and retain key executives and scientists, we may be unable to achieve our goals.</w:t>
      </w:r>
    </w:p>
    <w:p>
      <w:pPr>
        <w:pStyle w:val="TextBody"/>
        <w:bidi w:val="0"/>
        <w:spacing w:lineRule="auto" w:line="288" w:before="0" w:after="180"/>
        <w:ind w:left="0" w:right="0" w:firstLine="360"/>
        <w:jc w:val="left"/>
        <w:rPr/>
      </w:pPr>
      <w:r>
        <w:rPr>
          <w:rFonts w:ascii="Times New Roman;sans-serif" w:hAnsi="Times New Roman;sans-serif"/>
          <w:b w:val="false"/>
          <w:color w:val="000000"/>
          <w:sz w:val="20"/>
        </w:rPr>
        <w:t>Our performance is substan</w:t>
      </w:r>
      <w:r>
        <w:rPr>
          <w:rFonts w:ascii="Times New Roman;sans-serif" w:hAnsi="Times New Roman;sans-serif"/>
          <w:b w:val="false"/>
          <w:color w:val="000000"/>
          <w:sz w:val="20"/>
          <w:shd w:fill="FFFFFF" w:val="clear"/>
        </w:rPr>
        <w:t>tially dependent on the performance of our senior management and key scientific and technical personnel, particularly Sujal Patel, one of our founders and our Chief Executive Officer, and Parag Mallick, one of our founders and our Chief Scientist.</w:t>
      </w:r>
    </w:p>
    <w:p>
      <w:pPr>
        <w:pStyle w:val="TextBody"/>
        <w:bidi w:val="0"/>
        <w:spacing w:lineRule="auto" w:line="288" w:before="0" w:after="180"/>
        <w:ind w:left="0" w:right="0" w:firstLine="36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loss of the services of any member of our senior management or our scientific or technical staff might significantly delay or prevent the development of our products or achievement of other business objectives by diverting management’s attention to transition matters and identification of suitable replacements, if any, and could have a material adverse effect on our business. We do not maintain fixed term employment contracts with any of our employees and do not maintain key man life insurance on any of our employees.</w:t>
      </w:r>
    </w:p>
    <w:p>
      <w:pPr>
        <w:pStyle w:val="TextBody"/>
        <w:bidi w:val="0"/>
        <w:spacing w:lineRule="auto" w:line="288" w:before="0" w:after="180"/>
        <w:ind w:left="0" w:right="0" w:firstLine="360"/>
        <w:jc w:val="left"/>
        <w:rPr/>
      </w:pPr>
      <w:r>
        <w:rPr>
          <w:rFonts w:ascii="Times New Roman;sans-serif" w:hAnsi="Times New Roman;sans-serif"/>
          <w:b w:val="false"/>
          <w:color w:val="000000"/>
          <w:sz w:val="20"/>
          <w:shd w:fill="FFFFFF" w:val="clear"/>
        </w:rPr>
        <w:t>In addition, our research and product development efforts could be delayed or curtailed if we are unable to attract, train and retain highly skilled employees, particularly, senior scientists and engineers. To expand our research and product development efforts, we need additional people skilled in areas such as molecular and cellular biology, biochemistry, surface chemistry, software, bioinformatics, assay development, mechanical engineering, electrical engineering, optics, fluidics and manufacturing. Competition for these people is intense. Because of the complex and technical nature of our system and the dynamic market in which we compete, any failure to attract and retain a sufficient number of qualified employees could materially harm our ability to develop and commercialize our technology.</w:t>
      </w:r>
      <w:r>
        <w:rPr>
          <w:color w:val="000000"/>
        </w:rPr>
        <w:t xml:space="preserve"> </w:t>
      </w:r>
      <w:r>
        <w:rPr>
          <w:rFonts w:ascii="Times New Roman;sans-serif" w:hAnsi="Times New Roman;sans-serif"/>
          <w:b w:val="false"/>
          <w:color w:val="000000"/>
          <w:sz w:val="20"/>
        </w:rPr>
        <w:t>Workforce reductions, such as the workforce reduction we began implementing during the first quarter of 2025, may be negatively received by potential or current employees and accordingly result in attrition or difficulty in recruiting desirable candidates. As part of our retention and incentive efforts, in addition to salary and cash incentives, we have issued stock options that vest over time. The value to employees of stock options that vest over time may be significantly affected by decreases in our stock price (whether or not related to or proportional to our operating performance) and may at any time be insufficient to counteract more lucrative offers from other companies. We may face challenges in retaining and recruiting such individuals due to sustained declines in our stock price that could reduce the retention value of equity awards.</w:t>
      </w:r>
    </w:p>
    <w:p>
      <w:pPr>
        <w:pStyle w:val="TextBody"/>
        <w:bidi w:val="0"/>
        <w:spacing w:lineRule="auto" w:line="288" w:before="0" w:after="180"/>
        <w:ind w:left="0" w:right="0" w:firstLine="360"/>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We may acquire other companies or technologies, which could divert our management’s attention, result in additional dilution to our stockholders and otherwise disrupt our operations and harm our operating results.</w:t>
      </w:r>
    </w:p>
    <w:p>
      <w:pPr>
        <w:pStyle w:val="TextBody"/>
        <w:bidi w:val="0"/>
        <w:spacing w:lineRule="auto" w:line="288" w:before="0" w:after="180"/>
        <w:ind w:left="0" w:right="0" w:firstLine="36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may in the future seek to acquire or invest in businesses, applications or technologies that we believe could complement or expand our Nautilus platform or future products, enhance our technical capabilities or otherwise offer growth opportunities. The pursuit of potential acquisitions may divert the attention of our management and cause us to incur various costs and expenses in identifying, investigating and pursuing suitable acquisitions, whether or not they are consummated. We may not be able to identify desirable acquisition targets or be successful in entering into an agreement with any particular target or obtain the expected benefits of any acquisition or investment.</w:t>
      </w:r>
    </w:p>
    <w:p>
      <w:pPr>
        <w:pStyle w:val="TextBody"/>
        <w:bidi w:val="0"/>
        <w:spacing w:lineRule="auto" w:line="288" w:before="0" w:after="180"/>
        <w:ind w:left="0" w:right="0" w:firstLine="36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have limited experience in acquiring other businesses or technologies. We may not be able to successfully integrate acquired personnel, operations and technologies, or effectively manage the combined business following an acquisition. Acquisitions could also result in dilutive issuances of equity securities, the use of our available cash, or the incurrence of debt, which could harm our operating results. In addition, if an acquired business fails to meet our expectations, our operating results, business and financial condition may suffer.</w:t>
      </w:r>
    </w:p>
    <w:p>
      <w:pPr>
        <w:pStyle w:val="TextBody"/>
        <w:bidi w:val="0"/>
        <w:spacing w:lineRule="auto" w:line="288"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Unfavorable U.S. or global economic conditions as a result of multiple global events, including the COVID-19 pandemic, the conflicts in Eastern Europe and the Middle East, changing interest rates, instability in the global financial markets, and general economic downturns, could adversely affect our ability to raise capital and our business, results of operations and financial condition.</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While the potential economic impact brought by multiple adverse global circumstances, such as the COVID-19 pandemic, conflicts in Eastern Europe and the Middle East, potential uncertainty related to Taiwan and its relationship with China, changing interest rates and general economic downturns, and the collapse of Silicon Valley Bank and other financial institutions in March 2023, and related instability in the global financial markets, are difficult to assess or predict, both as to magnitude and duration, these events have resulted in, and may continue to result in, extreme volatility and disruptions in the capital and credit markets, reducing our ability to raise additional capital through equity, equity-linked or debt financings, which could negatively impact our short-term and long-term liquidity and our ability to operate in accordance with our operating plan, or at all. Additionally, these events have resulted, and in the future may result, in disruptions in our supply chains or the supply chains of those entities providing services or products to us, restrictions in our ability to deploy our workforce in our own facilities, locally, nationally or internationally, restrictions on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31445"/>
                <wp:effectExtent l="0" t="0" r="0" b="0"/>
                <wp:wrapNone/>
                <wp:docPr id="82" name="Frame6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64</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pPr>
      <w:r>
        <w:rPr>
          <w:rFonts w:ascii="Times New Roman;sans-serif" w:hAnsi="Times New Roman;sans-serif"/>
          <w:b w:val="false"/>
          <w:color w:val="000000"/>
          <w:sz w:val="20"/>
        </w:rPr>
        <w:t xml:space="preserve">operating capacity of the laboratories or research facilities of our customers, decreases in government funding of research and development, or changes to programs that provide funding to research laboratories that may have the impact of redirecting funding to other areas of research, or prolonging or delaying funding cycles, any of which could adversely impact our ability to manufacture and sell our products. Moreover, our results of operations could be adversely affected by general conditions in the global economy and financial markets. A severe or prolonged economic downturn could result in a variety of risks to our business, including weakened demand for our </w:t>
      </w:r>
      <w:r>
        <w:rPr>
          <w:rFonts w:ascii="Times New Roman;sans-serif" w:hAnsi="Times New Roman;sans-serif"/>
          <w:b w:val="false"/>
          <w:color w:val="000000"/>
          <w:sz w:val="20"/>
          <w:shd w:fill="FFFFFF" w:val="clear"/>
        </w:rPr>
        <w:t>Nautilus platform</w:t>
      </w:r>
      <w:r>
        <w:rPr>
          <w:color w:val="000000"/>
        </w:rPr>
        <w:t xml:space="preserve"> </w:t>
      </w:r>
      <w:r>
        <w:rPr>
          <w:rFonts w:ascii="Times New Roman;sans-serif" w:hAnsi="Times New Roman;sans-serif"/>
          <w:b w:val="false"/>
          <w:color w:val="000000"/>
          <w:sz w:val="20"/>
        </w:rPr>
        <w:t>and our ability to raise additional capital when needed on favorable terms, if at all. A weak or declining economy could strain our customers’ budgets or cause delays in their payments to us. As a result of such events, we or our contractors, partners and/or suppliers could experience shortages, business disruptions or delays for materials sourced or manufactured in countries affected by such events, and their ability to supply us with services or components may be adversely affected. In addition, our contractors and suppliers have raised and may continue to raise prices for goods and services we employ in our research and development efforts and for components or materials used in our Nautilus platform. Tariffs imposed upon products and materials used in manufacturing our products, or responsive tariffs imposed upon our exported products could impact our costs of manufacturing and ability to sell products in foreign countries, which could have a negative impact on our business.</w:t>
      </w:r>
    </w:p>
    <w:p>
      <w:pPr>
        <w:pStyle w:val="TextBody"/>
        <w:bidi w:val="0"/>
        <w:spacing w:lineRule="auto" w:line="288" w:before="0" w:after="180"/>
        <w:ind w:left="0" w:right="0" w:firstLine="360"/>
        <w:jc w:val="left"/>
        <w:rPr/>
      </w:pPr>
      <w:r>
        <w:rPr>
          <w:rFonts w:ascii="Times New Roman;sans-serif" w:hAnsi="Times New Roman;sans-serif"/>
          <w:b w:val="false"/>
          <w:color w:val="000000"/>
          <w:sz w:val="20"/>
        </w:rPr>
        <w:t xml:space="preserve">Further, changes in U.S. government spending </w:t>
      </w:r>
      <w:r>
        <w:rPr>
          <w:rFonts w:ascii="Times New Roman;sans-serif" w:hAnsi="Times New Roman;sans-serif"/>
          <w:b w:val="false"/>
          <w:color w:val="000000"/>
          <w:sz w:val="20"/>
          <w:shd w:fill="FFFFFF" w:val="clear"/>
        </w:rPr>
        <w:t xml:space="preserve">resulting from new political administrations </w:t>
      </w:r>
      <w:r>
        <w:rPr>
          <w:rFonts w:ascii="Times New Roman;sans-serif" w:hAnsi="Times New Roman;sans-serif"/>
          <w:b w:val="false"/>
          <w:color w:val="000000"/>
          <w:sz w:val="20"/>
        </w:rPr>
        <w:t>could have adverse consequences on our financial position, results of operations and business Additionally, there is ongoing uncertainty regarding the federal budget and federal spending levels, including the possible impacts of a failure to increase the “debt ceiling.” Any U.S. government default on its debt could have broad macroeconomic effects that could, among other things, disrupt access to capital markets and deepen recessionary conditions. Further, as of December 31, 2024, we had cash, cash equivalents and investments of $206.3 million, consisting of U.S. treasury securities, mutual funds, commercial paper, and agency securities. Any default by the U.S. government or credit downgrade of the securities we hold could impact the liquidity or valuation of our investments.</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Any of the foregoing could harm our business, financial condition and results of operations, and we cannot anticipate all of the ways in which the current economic climate and financial market conditions could adversely impact our ability to raise capital, business, results of operations and financial condition.</w:t>
      </w:r>
    </w:p>
    <w:p>
      <w:pPr>
        <w:pStyle w:val="TextBody"/>
        <w:bidi w:val="0"/>
        <w:spacing w:lineRule="auto" w:line="288" w:before="0" w:after="180"/>
        <w:ind w:left="0" w:right="0" w:firstLine="360"/>
        <w:jc w:val="left"/>
        <w:rPr/>
      </w:pPr>
      <w:r>
        <w:rPr>
          <w:rFonts w:ascii="Times New Roman;sans-serif" w:hAnsi="Times New Roman;sans-serif"/>
          <w:b/>
          <w:i/>
          <w:color w:val="000000"/>
          <w:sz w:val="20"/>
        </w:rPr>
        <w:t>Global supply chain interruptions could adversely affect our ability to develop and commercialize our products</w:t>
      </w:r>
      <w:r>
        <w:rPr>
          <w:rFonts w:ascii="Times New Roman;sans-serif" w:hAnsi="Times New Roman;sans-serif"/>
          <w:b/>
          <w:color w:val="000000"/>
          <w:sz w:val="20"/>
        </w:rPr>
        <w:t>.</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may be subject to supply chain interruptions. Current or future supply chain interruptions that could be exacerbated by global political tensions, such as the situation in Eastern Europe, increased conflict in the Middle East, uncertainty related to Taiwan and its relationship with China, and resurgent or new global pandemics could negatively impact our ability to further develop our products or to manufacture and deliver our products or services, which could negatively impact our timelines and business results. For example, we have experienced some supply disruptions due to the COVID-19 pandemic, including closures at certain chip manufacturers, which led to extended lead times for certain chips; diversion of certain lab materials needed to support COVID-19 relief efforts; and lower availability of certain reagents, and delays similar to those we experienced during the COVID-19 pandemic could impact us if they recur or are exacerbated due to the situations in Eastern Europe and/or the Middle East. </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Further, there is currently significant uncertainty about the future relationship between the United States and various other countries, most significantly China, with respect to trade policies, treaties, tariffs, taxes, and other limitations on cross-border operations. The U.S. government has made and continues to make significant additional changes in U.S. trade policy and may continue to take future actions that could negatively impact U.S. trade. For example, legislation has been introduced in Congress to limit certain U.S. biotechnology companies from using equipment or services produced or provided by select Chinese biotechnology companies, and others in Congress have advocated for the use of existing executive branch authorities to limit those Chinese service providers’ ability to engage in business in the U.S. We cannot predict what actions may ultimately be taken with respect to trade relations between the United States and China or other countries, what products and services may be subject to such actions or what actions may be taken by the other countries in retaliation. If we are unable to obtain or use services from existing service providers or become unable to export or sell our products to any of our customers or service providers, our business, liquidity, financial condition, and/or results of operations would be materially and adversely affected.</w:t>
      </w:r>
    </w:p>
    <w:p>
      <w:pPr>
        <w:pStyle w:val="TextBody"/>
        <w:bidi w:val="0"/>
        <w:spacing w:lineRule="auto" w:line="288"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If our facilities become unavailable or inoperable, our research and development program and commercialization launch plan could be adversely impacted and manufacturing of our instruments and consumables could be interrupted.</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Our Seattle, Washington, facility primarily houses our corporate executive team and our software development operations, while our facilities in San Carlos and San Diego, California primarily house our research and development teams.</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facilities in Seattle, San Carlos and San Diego are vulnerable to natural disasters, public health crises, including the impact of the COVID-19 pandemic, and other catastrophic events. For example, our San Carlos and San Diego facilities are located near earthquake fault zones and are vulnerable to damage from earthquakes as well as other types of disasters, including fires, floods, power loss, communications failures and similar events. If any disaster, public health crisis or catastrophic event were to occur, our ability to operate our business would be seriously, or potentially completely, impaired. If our facilities become unavailable for any reason, we cannot provide assurances that we will be able to secure alternative facilities with the necessary capabilities and equipment on acceptable terms, if at all. We may encounter particular difficulties in replacing our San Carlos facilities given the specialized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31445"/>
                <wp:effectExtent l="0" t="0" r="0" b="0"/>
                <wp:wrapNone/>
                <wp:docPr id="83" name="Frame6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65</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equipment housed within it. The inability to manufacture our instruments or consumables, combined with our limited inventory of manufactured instruments and consumables, may result in the loss of future customers or harm our reputation, and we may be unable to re-establish relationships with those customers in the future.</w:t>
      </w:r>
    </w:p>
    <w:p>
      <w:pPr>
        <w:pStyle w:val="TextBody"/>
        <w:bidi w:val="0"/>
        <w:spacing w:lineRule="auto" w:line="288" w:before="0" w:after="180"/>
        <w:ind w:left="0" w:right="0" w:firstLine="360"/>
        <w:jc w:val="left"/>
        <w:rPr/>
      </w:pPr>
      <w:r>
        <w:rPr>
          <w:rFonts w:ascii="Times New Roman;sans-serif" w:hAnsi="Times New Roman;sans-serif"/>
          <w:b w:val="false"/>
          <w:color w:val="000000"/>
          <w:sz w:val="20"/>
        </w:rPr>
        <w:t xml:space="preserve">If our research and development program or planned commercialization program were disrupted by a disaster or catastrophe, the launch of new products, including our </w:t>
      </w:r>
      <w:r>
        <w:rPr>
          <w:rFonts w:ascii="Times New Roman;sans-serif" w:hAnsi="Times New Roman;sans-serif"/>
          <w:b w:val="false"/>
          <w:color w:val="000000"/>
          <w:sz w:val="20"/>
          <w:shd w:fill="FFFFFF" w:val="clear"/>
        </w:rPr>
        <w:t>Nautilus platform</w:t>
      </w:r>
      <w:r>
        <w:rPr>
          <w:rFonts w:ascii="Times New Roman;sans-serif" w:hAnsi="Times New Roman;sans-serif"/>
          <w:b w:val="false"/>
          <w:color w:val="000000"/>
          <w:sz w:val="20"/>
        </w:rPr>
        <w:t>, and the timing of improvements to our products could be significantly delayed and could adversely impact our ability to compete with other available products and solutions. If our capabilities are impaired, we may not be able to manufacture and ship our products in a timely manner, which would adversely impact our business. Although we possess insurance for damage to our property and the disruption of our business, this insurance may not be sufficient to cover all of our potential losses and may not continue to be available to us on acceptable terms, or at all.</w:t>
      </w:r>
    </w:p>
    <w:p>
      <w:pPr>
        <w:pStyle w:val="TextBody"/>
        <w:bidi w:val="0"/>
        <w:spacing w:lineRule="auto" w:line="288"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We use hazardous chemicals and biological materials in our business. Any claims relating to improper handling, storage or disposal of these materials could be time consuming and costly.</w:t>
      </w:r>
    </w:p>
    <w:p>
      <w:pPr>
        <w:pStyle w:val="TextBody"/>
        <w:bidi w:val="0"/>
        <w:spacing w:lineRule="auto" w:line="288" w:before="0" w:after="180"/>
        <w:ind w:left="0" w:right="0" w:firstLine="360"/>
        <w:jc w:val="left"/>
        <w:rPr/>
      </w:pPr>
      <w:r>
        <w:rPr>
          <w:rFonts w:ascii="Times New Roman;sans-serif" w:hAnsi="Times New Roman;sans-serif"/>
          <w:b w:val="false"/>
          <w:color w:val="000000"/>
          <w:sz w:val="20"/>
        </w:rPr>
        <w:t xml:space="preserve">Our research and development processes involve the controlled use of hazardous materials, including select chemicals that may be flammables, toxic or corrosives, as well as potential biohazard materials. We cannot eliminate the risk of accidental contamination or discharge and any resultant injury from these materials. In addition, our </w:t>
      </w:r>
      <w:r>
        <w:rPr>
          <w:rFonts w:ascii="Times New Roman;sans-serif" w:hAnsi="Times New Roman;sans-serif"/>
          <w:b w:val="false"/>
          <w:color w:val="000000"/>
          <w:sz w:val="20"/>
          <w:shd w:fill="FFFFFF" w:val="clear"/>
        </w:rPr>
        <w:t>Nautilus platform</w:t>
      </w:r>
      <w:r>
        <w:rPr>
          <w:color w:val="000000"/>
        </w:rPr>
        <w:t xml:space="preserve"> </w:t>
      </w:r>
      <w:r>
        <w:rPr>
          <w:rFonts w:ascii="Times New Roman;sans-serif" w:hAnsi="Times New Roman;sans-serif"/>
          <w:b w:val="false"/>
          <w:color w:val="000000"/>
          <w:sz w:val="20"/>
        </w:rPr>
        <w:t>involves the use of a high-powered laser system, which could result in injury. We may be sued for any injury or contamination that results from our use or the use by third parties of these materials. We do not currently maintain separate environmental liability coverage and any such contamination or discharge could result in significant cost to us in penalties, damages and suspension of our operations.</w:t>
      </w:r>
    </w:p>
    <w:p>
      <w:pPr>
        <w:pStyle w:val="TextBody"/>
        <w:bidi w:val="0"/>
        <w:spacing w:lineRule="auto" w:line="288" w:before="0" w:after="180"/>
        <w:ind w:left="0" w:right="0" w:firstLine="360"/>
        <w:jc w:val="left"/>
        <w:rPr>
          <w:rFonts w:ascii="Times New Roman;sans-serif" w:hAnsi="Times New Roman;sans-serif"/>
          <w:b/>
          <w:color w:val="000000"/>
          <w:sz w:val="20"/>
        </w:rPr>
      </w:pPr>
      <w:r>
        <w:rPr>
          <w:rFonts w:ascii="Times New Roman;sans-serif" w:hAnsi="Times New Roman;sans-serif"/>
          <w:b/>
          <w:color w:val="000000"/>
          <w:sz w:val="20"/>
        </w:rPr>
        <w:t>Risks Related to Our Common Stock</w:t>
      </w:r>
    </w:p>
    <w:p>
      <w:pPr>
        <w:pStyle w:val="TextBody"/>
        <w:bidi w:val="0"/>
        <w:spacing w:lineRule="auto" w:line="288"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An active trading market for our Common Stock may never develop or be sustained.</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Prior to the Business Combination, there was no public trading market for Legacy Nautilus’ Common Stock. Although our Common Stock is listed on the Nasdaq Global Select Market, the market for our shares has demonstrated varying levels of trading activity. If an active trading market does not develop, or develops but is not maintained, you may have difficulty selling any of our Common Stock due to the limited public float. We cannot predict the prices at which our Common Stock will trade. It is possible that in one or more future periods our results of operations and progression of our product pipeline may not meet the expectations of public market analysts and investors, and, as a result of these and other factors, the price of our Common Stock may fall. Accordingly, we cannot assure you of your ability to sell your shares of our Common Stock when desired or at prices at or above the price you paid for your shares or at all.</w:t>
      </w:r>
    </w:p>
    <w:p>
      <w:pPr>
        <w:pStyle w:val="TextBody"/>
        <w:bidi w:val="0"/>
        <w:spacing w:lineRule="auto" w:line="288"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The market price of our Common Stock has been and may continue to be volatile, which could result in substantial losses for investors.</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market price of our Common Stock has been and may continue to be highly volatile and could be subject to wide fluctuations in response to various factors, some of which are beyond our control. </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market price of our Common Stock may fluctuate due to a variety of factors, including:</w:t>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shd w:fill="FFFFFF" w:val="clear"/>
        </w:rPr>
        <w:t>the timing of the launch and commercialization of our products and degree to which such launch and commercialization meets the expectations of securities analysts and investors;</w:t>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shd w:fill="FFFFFF" w:val="clear"/>
        </w:rPr>
        <w:t>actual or anticipated fluctuations in our operating results, including fluctuations in our quarterly and annual results;</w:t>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shd w:fill="FFFFFF" w:val="clear"/>
        </w:rPr>
        <w:t>operating expenses being more than anticipated;</w:t>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shd w:fill="FFFFFF" w:val="clear"/>
        </w:rPr>
        <w:t>the failure or discontinuation of any of our product development and research programs;</w:t>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shd w:fill="FFFFFF" w:val="clear"/>
        </w:rPr>
        <w:t>changes in the structure or funding of research at academic and research laboratories and institutions, including changes that would affect their ability to purchase our instruments or consumables;</w:t>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shd w:fill="FFFFFF" w:val="clear"/>
        </w:rPr>
        <w:t>the success of existing or new competitive businesses or technologies;</w:t>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shd w:fill="FFFFFF" w:val="clear"/>
        </w:rPr>
        <w:t>announcements about new research programs or products of our competitors;</w:t>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shd w:fill="FFFFFF" w:val="clear"/>
        </w:rPr>
        <w:t>developments or disputes concerning patent applications, issued patents or other proprietary rights;</w:t>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shd w:fill="FFFFFF" w:val="clear"/>
        </w:rPr>
        <w:t>the recruitment or departure of key personnel;</w:t>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shd w:fill="FFFFFF" w:val="clear"/>
        </w:rPr>
        <w:t>litigation and governmental investigations involving us, our industry or both;</w:t>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shd w:fill="FFFFFF" w:val="clear"/>
        </w:rPr>
        <w:t>regulatory or legal developments in the United States and other countries;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31445"/>
                <wp:effectExtent l="0" t="0" r="0" b="0"/>
                <wp:wrapNone/>
                <wp:docPr id="84" name="Frame6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66</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shd w:fill="FFFFFF" w:val="clear"/>
        </w:rPr>
        <w:t>volatility and variations in market conditions in the life sciences technology sector generally, or the proteomics or genomics sectors specifically;</w:t>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shd w:fill="FFFFFF" w:val="clear"/>
        </w:rPr>
        <w:t>investor perceptions of us or our industry;</w:t>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shd w:fill="FFFFFF" w:val="clear"/>
        </w:rPr>
        <w:t>the level of expenses related to any of our research and development programs or products;</w:t>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shd w:fill="FFFFFF" w:val="clear"/>
        </w:rPr>
        <w:t>actual or anticipated changes in our estimates as to our financial results or development timelines, variations in our financial results or those of companies that are perceived to be similar to us or changes in estimates or recommendations by securities analysts, if any, that cover our Common Stock or companies that are perceived to be similar to us;</w:t>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shd w:fill="FFFFFF" w:val="clear"/>
        </w:rPr>
        <w:t>whether our financial results meet the expectations of securities analysts or investors;</w:t>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shd w:fill="FFFFFF" w:val="clear"/>
        </w:rPr>
        <w:t>the announcement or expectation of additional financing efforts;</w:t>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shd w:fill="FFFFFF" w:val="clear"/>
        </w:rPr>
        <w:t>sales of our Common Stock by us or by our insiders or other stockholders;</w:t>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shd w:fill="FFFFFF" w:val="clear"/>
        </w:rPr>
        <w:t>general economic, industry and market conditions; and</w:t>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shd w:fill="FFFFFF" w:val="clear"/>
        </w:rPr>
        <w:t>the COVID-19 pandemic, natural disasters or major catastrophic events.</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Recently, stock markets in general, and the market for life sciences technology companies in particular, have experienced significant price and volume fluctuations that have often been unrelated or disproportionate to changes in the operating performance of the companies whose stock is experiencing those price and volume fluctuations, particularly in light of the COVID-19 pandemic. Broad market and industry factors may seriously affect the market price of our Common Stock, regardless of our actual operating performance. These fluctuations may be even more pronounced in the trading market for our Common Stock. Following periods of such volatility in the market price of a company’s securities, securities class action litigation has often been brought against that company. Because of the potential volatility of our Common Stock price, we may become the target of securities litigation in the future. Securities litigation could result in substantial costs and divert management’s attention and resources from our business.</w:t>
      </w:r>
    </w:p>
    <w:p>
      <w:pPr>
        <w:pStyle w:val="TextBody"/>
        <w:bidi w:val="0"/>
        <w:spacing w:lineRule="auto" w:line="288"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There can be no assurance that we will be able to comply with the continued listing standards of Nasdaq.</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If Nasdaq delists our shares of Common Stock from trading on its exchange for failure to meet Nasdaq’s listing standards, we and our stockholders could face significant material adverse consequences including: </w:t>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shd w:fill="FFFFFF" w:val="clear"/>
        </w:rPr>
        <w:t xml:space="preserve">a limited availability of market quotations for our securities; </w:t>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shd w:fill="FFFFFF" w:val="clear"/>
        </w:rPr>
        <w:t xml:space="preserve">reduced liquidity for our securities; </w:t>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shd w:fill="FFFFFF" w:val="clear"/>
        </w:rPr>
        <w:t xml:space="preserve">a determination that our Common Stock is a “penny stock” which will require brokers trading in our Common Stock to adhere to more stringent rules and possibly result in a reduced level of trading activity in the secondary trading market for our securities; </w:t>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shd w:fill="FFFFFF" w:val="clear"/>
        </w:rPr>
        <w:t xml:space="preserve">a limited amount of new and analyst coverage; and </w:t>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shd w:fill="FFFFFF" w:val="clear"/>
        </w:rPr>
        <w:t xml:space="preserve">a decreased ability to issue additional securities or obtain additional financing in the future. </w:t>
      </w:r>
    </w:p>
    <w:p>
      <w:pPr>
        <w:pStyle w:val="TextBody"/>
        <w:bidi w:val="0"/>
        <w:spacing w:lineRule="auto" w:line="288"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Our principal stockholders and management own a significant percentage of our Common Stock and will be able to exercise significant influence over matters subject to stockholder approval.</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2024, our directors, executive officers, holders of more than 5% of our outstanding shares of Common Stock and their respective affiliates beneficially owned, collectively, approximately 68.7% of the outstanding shares of Common Stock. As a result, these stockholders, if they act together, may significantly influence all matters requiring stockholder approval, including the election of directors and approval of significant corporate transactions. This concentration of ownership may have the effect of delaying or preventing a change in control of our company that our other stockholders may believe is in their best interests. This in turn could have a material adverse effect on our stock price and may prevent attempts by our stockholders to replace or remove the board of directors or management.</w:t>
      </w:r>
    </w:p>
    <w:p>
      <w:pPr>
        <w:pStyle w:val="TextBody"/>
        <w:bidi w:val="0"/>
        <w:spacing w:lineRule="auto" w:line="288"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The sale or the perception of future sales of a substantial number of shares of our Common Stock could cause the market price of our Common Stock to drop significantly, even if our business is doing well.</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Sales of a substantial number of shares of our Common Stock in the public market could occur at any time. These sales, or the perception in the market that the holders of a large number of shares intend to sell shares, could reduce the market price of our Common Stock.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31445"/>
                <wp:effectExtent l="0" t="0" r="0" b="0"/>
                <wp:wrapNone/>
                <wp:docPr id="85" name="Frame6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67</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Amended and Restated Registration Rights and Lock-Up Agreement (the “Registration Rights and Lock-Up Agreement”) and the Subscription Agreements entered into in connection with the PIPE Financing, we have filed resale registration statements to provide for the resale of the shares issued in the PIPE Financing and the shares of our Common Stock held by the parties to the Registration Rights and Lock-Up Agreement. The market price of our Common Stock could decline if the holders whose shares are registered under such registration statements sell their shares or are perceived by the market as intending to sell their shares.</w:t>
      </w:r>
    </w:p>
    <w:p>
      <w:pPr>
        <w:pStyle w:val="TextBody"/>
        <w:bidi w:val="0"/>
        <w:spacing w:lineRule="auto" w:line="288"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We will have broad discretion over the use of the proceeds to us from our “at the market” equity offering program and may apply the proceeds to uses that do not improve our operating results or the value of your securities.</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will have broad discretion to use the net proceeds to us from our “at the market” equity offering program, and investors will be relying solely on the judgment of our board of directors and management regarding the application of these proceeds. Although we expect to use the net proceeds from our “at the market” equity offering program for general corporate purposes and working capital, including for continued product development of our Nautilus platform other research and development activities, and commercialization of our Nautilus platform, we have not allocated these net proceeds for specific purposes. Investors will not have the opportunity, as part of their investment decision, to assess whether the proceeds are being used appropriately. Our use of the proceeds may not improve our operating results or increase the value of the securities offered pursuant to the “at the market” equity offering program.</w:t>
      </w:r>
    </w:p>
    <w:p>
      <w:pPr>
        <w:pStyle w:val="TextBody"/>
        <w:bidi w:val="0"/>
        <w:spacing w:lineRule="auto" w:line="288"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We do not expect to pay any dividends for the foreseeable future. Investors may never obtain a return on their investment.</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You should not rely on an investment in our Common Stock to provide dividend income. We do not anticipate that we will pay any dividends to holders of our Common Stock in the foreseeable future. Instead, we plan to retain any earnings to maintain and expand our existing operations, fund our research and development programs and continue to invest in our commercial infrastructure. In addition, any future credit facility or financing we obtain may contain terms prohibiting or limiting the amount of dividends that may be declared or paid on our Common Stock. Accordingly, investors must rely on sales of our Common Stock after price appreciation, which may never occur, as the only way to realize any return on their investment. As a result, investors seeking cash dividends should not purchase our Common Stock.</w:t>
      </w:r>
    </w:p>
    <w:p>
      <w:pPr>
        <w:pStyle w:val="TextBody"/>
        <w:bidi w:val="0"/>
        <w:spacing w:lineRule="auto" w:line="288"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Our bylaws designate a state or federal court located within the State of Delaware as the exclusive forum for substantially all disputes between us and our stockholders, and also provide that the federal district courts will be the exclusive forum for resolving any complaint asserting a cause of action arising under the Securities Act of 1933, as amended, each of which could limit our stockholders’ ability to choose the judicial forum for disputes with us or our directors, officers, stockholders, or employees.</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Our bylaws provide that, unless we consent in writing to the selection of an alternative forum (an “Alternative Forum Consent”), the Court of Chancery of the State of Delaware (or, if the Court of Chancery does not have jurisdiction, another state court in Delaware or the federal district court for the District of Delaware) will, to the fullest extent permitted by law, be the sole and exclusive forum for (i) any derivative action or proceeding brought on our behalf, (ii) any action asserting a claim of breach of a fiduciary duty owed by any of our directors, officers, stockholders or other employees to us or our stockholders, (iii) any action arising pursuant to any provision of the Delaware General Corporation Law or our certificate of incorporation or bylaws (each, as may be amended from time to time), or (iv) any action asserting a claim governed by the internal affairs doctrine of the State of Delaware, except for any claim as to which the court does not have jurisdiction over an indispensable party to that claim. The foregoing shall not apply to any claims under the Exchange Act or the Securities Act of 1933, as amended (the “Securities Act”). In addition, unless we give an Alternative Forum Consent, the federal district courts of the United States shall be the sole and exclusive forum for resolving any action asserting a claim arising under the Securities Act against any person in connection with any offering of the Company’s securities, including any auditor, underwriter, expert, control person or other defendant.</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Section 22 of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bylaws also provide that, unless we consent in writing to the selection of an alternative forum, the federal district courts of the United States of America will be the exclusive forum for resolving any complaint asserting a cause of action arising under the Securities Act.</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Any person or entity purchasing or otherwise acquiring or holding or owning (or continuing to hold or own) any interest in any of our securities shall be deemed to have notice of and consented to the foregoing bylaw provisions. Although we believe these exclusive forum provisions benefit us by providing increased consistency in the application of Delaware law and federal securities laws in the types of lawsuits to which each applies, the exclusive forum provisions may limit a stockholder’s ability to bring a claim in a judicial forum of its choosing for disputes with us or any of our directors, officers, stockholders, or other employees, which may discourage lawsuits with respect to such claims against us and our current and former directors, officers, stockholders, or other employees. In addition, a stockholder that is unable to bring a claim in the judicial forum of its choosing may be required to incur additional costs in the pursuit of actions which are subject to the exclusive forum provisions described above. Our stockholders will not be deemed to have waived our compliance with the federal securities laws and the rules and regulations thereunder as a result of our exclusive forum provisions. Further, in the event a court finds either exclusive forum provision contained in our bylaws to be unenforceable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31445"/>
                <wp:effectExtent l="0" t="0" r="0" b="0"/>
                <wp:wrapNone/>
                <wp:docPr id="86" name="Frame6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68</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inapplicable in an action, we may incur additional costs associated with resolving such action in other jurisdictions, which could harm our results of operations.</w:t>
      </w:r>
    </w:p>
    <w:p>
      <w:pPr>
        <w:pStyle w:val="TextBody"/>
        <w:bidi w:val="0"/>
        <w:spacing w:lineRule="auto" w:line="288"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Delaware law and provisions in our certificate of incorporation and bylaws might discourage, delay or prevent a change in control of our company or changes in our management and, therefore, depress the trading price of our Common Stock.</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Our status as a Delaware corporation and the anti-takeover provisions of the Delaware General Corporation Law may discourage, delay or prevent a change in control by prohibiting us from engaging in a business combination with an interested stockholder for a period of three years after the person becomes an interested stockholder without the approval of holders of 66 2/3% of the voting power of our stockholders other than the interested stockholder, even if a change of control would be beneficial to our existing stockholders. In addition, our certificate of incorporation and bylaws contain provisions that may make the acquisition of our company more difficult, including the following:</w:t>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shd w:fill="FFFFFF" w:val="clear"/>
        </w:rPr>
        <w:t>our board of directors is classified into three classes of directors with staggered three-year terms and directors are only able to be removed from office for cause by the affirmative vote of holders of at least two-thirds of the voting power of our then outstanding capital stock;</w:t>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shd w:fill="FFFFFF" w:val="clear"/>
        </w:rPr>
        <w:t>certain amendments to our certificate of incorporation require the approval of stockholders holding two-thirds of the voting power of our then outstanding capital stock;</w:t>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shd w:fill="FFFFFF" w:val="clear"/>
        </w:rPr>
        <w:t>any stockholder-proposed amendment to certain provisions of our bylaws require the approval of stockholders holding two-thirds of the voting power of our then outstanding capital stock;</w:t>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shd w:fill="FFFFFF" w:val="clear"/>
        </w:rPr>
        <w:t>our stockholders are only able to take action at a meeting of stockholders and are not able to take action by written consent for any matter;</w:t>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shd w:fill="FFFFFF" w:val="clear"/>
        </w:rPr>
        <w:t>vacancies on our board of directors are able to be filled only by our board of directors and not by stockholders;</w:t>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shd w:fill="FFFFFF" w:val="clear"/>
        </w:rPr>
        <w:t>only the chair of our board of directors, our chief executive officer, our president or a majority of our board of directors are authorized to call a special meeting of stockholders;</w:t>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shd w:fill="FFFFFF" w:val="clear"/>
        </w:rPr>
        <w:t>certain litigation against us can only be brought in Delaware;</w:t>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shd w:fill="FFFFFF" w:val="clear"/>
        </w:rPr>
        <w:t>our certificate of incorporation authorizes undesignated preferred stock, the terms of which may be established by our Board and shares of which may be issued, without the approval of the holders of our capital stock; and</w:t>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shd w:fill="FFFFFF" w:val="clear"/>
        </w:rPr>
        <w:t>advance notice procedures apply for stockholders to nominate candidates for election as directors or to bring matters before an annual meeting of stockholders.</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These anti-takeover defenses could discourage, delay, or prevent a transaction involving our change in control. These provisions could also discourage proxy contests and make it more difficult for stockholders to elect directors of their choosing and to cause us to take other corporate actions they desire, any of which, under certain circumstances, could limit the opportunity for our stockholders to receive a premium for their shares of our capital stock.</w:t>
      </w:r>
    </w:p>
    <w:p>
      <w:pPr>
        <w:pStyle w:val="TextBody"/>
        <w:bidi w:val="0"/>
        <w:spacing w:lineRule="auto" w:line="288" w:before="0" w:after="180"/>
        <w:ind w:left="0" w:right="0" w:firstLine="360"/>
        <w:jc w:val="left"/>
        <w:rPr>
          <w:rFonts w:ascii="Times New Roman;sans-serif" w:hAnsi="Times New Roman;sans-serif"/>
          <w:b/>
          <w:color w:val="000000"/>
          <w:sz w:val="20"/>
        </w:rPr>
      </w:pPr>
      <w:r>
        <w:rPr>
          <w:rFonts w:ascii="Times New Roman;sans-serif" w:hAnsi="Times New Roman;sans-serif"/>
          <w:b/>
          <w:color w:val="000000"/>
          <w:sz w:val="20"/>
        </w:rPr>
        <w:t>General Risk Factors</w:t>
      </w:r>
    </w:p>
    <w:p>
      <w:pPr>
        <w:pStyle w:val="TextBody"/>
        <w:bidi w:val="0"/>
        <w:spacing w:lineRule="auto" w:line="288"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We will continue to incur significant increased costs and management resources as a result of operating as a public company.</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As a public company, we will continue to incur significant legal, accounting, compliance and other expenses that we did not incur as a private company and these expenses may increase even more after we are no longer an “emerging growth company.” Our management and other personnel will need to devote a substantial amount of time and incur significant expense in connection with compliance initiatives. As a public company, we will continue to bear all of the internal and external costs of preparing and distributing periodic public reports in compliance with our obligations under the securities laws.</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regulations and standards relating to corporate governance and public disclosure, including the SOX, and the related rules and regulations implemented by the SEC and The Nasdaq Stock Market LLC, have increased legal and financial compliance costs and will make some compliance activities more time-consuming. We intend to invest resources to comply with evolving laws, regulations and standards, and this investment will result in increased general and administrative expenses and may divert management’s time and attention from our other business activities. If our efforts to comply with new laws, regulations and standards differ from the activities intended by regulatory or governing bodies due to ambiguities related to practice, regulatory authorities may initiate legal proceedings against us, and our business may be harmed. In the future, it may be more expensive or more difficult for us to obtain director and officer liability insurance, and we may be required to accept reduced coverage or incur substantially higher costs to obtain coverage. These factors could also make it more difficult for us to attract and retain qualified members for our board of directors, particularly to serve on our audit committee and compensation committee, and qualified executive officers.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31445"/>
                <wp:effectExtent l="0" t="0" r="0" b="0"/>
                <wp:wrapNone/>
                <wp:docPr id="87" name="Frame6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69</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before="0" w:after="180"/>
        <w:ind w:left="0" w:right="0" w:firstLine="360"/>
        <w:jc w:val="left"/>
        <w:rPr/>
      </w:pPr>
      <w:r>
        <w:rPr/>
      </w:r>
    </w:p>
    <w:p>
      <w:pPr>
        <w:pStyle w:val="TextBody"/>
        <w:bidi w:val="0"/>
        <w:spacing w:lineRule="auto" w:line="288"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We have broad discretion in the use of the net proceeds from the Business Combination and the PIPE Financing and may not use them effectively.</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cannot specify with certainty the particular uses of the net proceeds we received from the Business Combination and the PIPE Financing. Our management will have broad discretion in the application of the net proceeds. Our management may spend a portion or all of the net proceeds in ways that our stockholders may not desire or that may not yield a favorable return. The failure by our management to apply these funds effectively could harm our business, financial condition, results of operations and prospects. Pending their use, we may invest the net proceeds from the Business Combination and the PIPE Financing in a manner that does not produce income or that loses value.</w:t>
      </w:r>
    </w:p>
    <w:p>
      <w:pPr>
        <w:pStyle w:val="TextBody"/>
        <w:bidi w:val="0"/>
        <w:spacing w:lineRule="auto" w:line="288"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Our ability to use net operating losses and certain other tax attributes to offset future taxable income may be subject to certain limitations.</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U.S. federal and state net operating loss carryforwards, or NOLs, may be unavailable to offset future taxable income because of restrictions under U.S. federal and/or state law. U.S. federal NOLs that arose in tax years ending on or prior to December 31, 2017, are only permitted to be carried forward for 20 years. U.S. federal NOLs that arose in tax years beginning after December 31, 2017, may be carried forward indefinitely, but for taxable years beginning after December 31, 2020, the deductibility of such U.S. federal NOLs will be limited to 80% of our current year taxable income. State NOLs may be subject to similar or different limitations. As of December 31, 2024, we had U.S. federal NOLs of $105.6 million, of which $105.1 million do not expire, and state NOLs of $150.4 million that will begin to expire in 2037. </w:t>
      </w:r>
    </w:p>
    <w:p>
      <w:pPr>
        <w:pStyle w:val="TextBody"/>
        <w:bidi w:val="0"/>
        <w:spacing w:lineRule="auto" w:line="288" w:before="0" w:after="180"/>
        <w:ind w:left="0" w:right="0" w:firstLine="360"/>
        <w:jc w:val="left"/>
        <w:rPr/>
      </w:pPr>
      <w:r>
        <w:rPr>
          <w:rFonts w:ascii="Times New Roman;sans-serif" w:hAnsi="Times New Roman;sans-serif"/>
          <w:b w:val="false"/>
          <w:color w:val="000000"/>
          <w:sz w:val="20"/>
          <w:shd w:fill="FFFFFF" w:val="clear"/>
        </w:rPr>
        <w:t>In addition, Section 382 of the Internal Revenue Code of 1986, as amended, or the Code, may limit the NOLs we may use in any year for U.S. federal income tax purposes in the event of certain changes in our ownership. A Code Section 382 “ownership change” generally occurs if one or more stockholders or groups of stockholders who own at least 5% of a company’s stock increase their ownership by more than 50 percentage points over their lowest ownership percentage within a rolling three-year period. Similar rules may apply under state tax laws. We have not conducted a Code Section 382 study to determine whether the use of our NOLs is impaired. We may have previously undergone an “ownership change.” In addition, future issuances or sales of our stock, including certain transactions involving our stock that are outside of our control, could result in future “ownership changes.” “Ownership changes” that have occurred in the past or that may occur in the future could result in the imposition of an annual limit on the amount of pre-ownership change NOLs and other tax attributes we can use to reduce our taxable income, potentially increasing and accelerating our liability for income taxes, and also potentially causing those tax attributes to expire unused. States may impose other limitations on the use of our NOLs and other tax attributes. Any limitation on using NOLs could, depending on the extent of such limitations and the NOLs previously used, result in our retaining less cash after payment of U.S. federal and state income taxes during any year in which we have taxable income, rather than losses, than we would be entitled to retain if such NOLs were available as an offset against such taxable income for U.S. federal and state income tax reporting purposes, which coul</w:t>
      </w:r>
      <w:r>
        <w:rPr>
          <w:rFonts w:ascii="Times New Roman;sans-serif" w:hAnsi="Times New Roman;sans-serif"/>
          <w:b w:val="false"/>
          <w:color w:val="000000"/>
          <w:sz w:val="20"/>
        </w:rPr>
        <w:t>d adversely impact our operating results.</w:t>
      </w:r>
    </w:p>
    <w:p>
      <w:pPr>
        <w:pStyle w:val="TextBody"/>
        <w:bidi w:val="0"/>
        <w:spacing w:lineRule="auto" w:line="288"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Changes in tax laws could have a material adverse effect on our future business, cash flows, results of operations or financial condition.</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may in the future be subject to the tax laws, regulations, and policies of several taxing jurisdictions. Changes in tax laws, as well as other factors, could cause us to experience fluctuations in our tax obligations and effective tax rates and otherwise adversely affect our tax positions and/or our tax liabilities. For example, many countries and local jurisdictions and organizations such as the Organisation for Economic Co-operation and Development have proposed or implemented new tax laws or changes to existing tax laws, including additional taxes on payroll or employees and a proposed 15% global minimum tax (Pillar 2) that is being adopted by several countries with implementation beginning in 2024. Any new or changes to tax laws could adversely affect our future effective tax rate, operating results, tax credits or incentives or tax payments, which could have a material adverse effect on our future business, cash flows, results of operations or financial condition if we expand internationally. For example, the United States recently enacted the Inflation Reduction Act of 2022, which implements, among other changes, a 1% non-deductible excise tax on certain stock buybacks effective January 1, 2023. Further, on January 1, 2022, a provision of the Tax Cuts and Jobs Act of 2017 went into effect that eliminates the option to deduct research and development costs in the year incurred and instead requires taxpayers to amortize such costs over five years for domestic and 15 years for foreign costs. Such changes, among others, may adversely affect our future effective tax rate, business, cash flows, results of operations and financial condition.</w:t>
      </w:r>
    </w:p>
    <w:p>
      <w:pPr>
        <w:pStyle w:val="TextBody"/>
        <w:bidi w:val="0"/>
        <w:spacing w:lineRule="auto" w:line="288"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If we fail to maintain an effective system of internal control over financial reporting, we may not be able to accurately report our financial results in a timely manner or prevent fraud, which would harm our business.</w:t>
      </w:r>
    </w:p>
    <w:p>
      <w:pPr>
        <w:pStyle w:val="TextBody"/>
        <w:bidi w:val="0"/>
        <w:spacing w:lineRule="auto" w:line="288" w:before="0" w:after="180"/>
        <w:ind w:left="0" w:right="0" w:firstLine="360"/>
        <w:jc w:val="left"/>
        <w:rPr/>
      </w:pPr>
      <w:r>
        <w:rPr>
          <w:rFonts w:ascii="Times New Roman;sans-serif" w:hAnsi="Times New Roman;sans-serif"/>
          <w:b w:val="false"/>
          <w:color w:val="000000"/>
          <w:sz w:val="20"/>
        </w:rPr>
        <w:t>Effective internal controls over financial reporting are necessary for us to provide reliable financial reports and, together with adequate disclosure controls and procedures, are designed to prevent fraud. Any failure to implement required new or improved controls, or difficulties encountered in their implementation, could cause us to fail to meet our reporting ob</w:t>
      </w:r>
      <w:r>
        <w:rPr>
          <w:rFonts w:ascii="Times New Roman;sans-serif" w:hAnsi="Times New Roman;sans-serif"/>
          <w:b w:val="false"/>
          <w:color w:val="000000"/>
          <w:sz w:val="20"/>
          <w:shd w:fill="FFFFFF" w:val="clear"/>
        </w:rPr>
        <w:t xml:space="preserve">ligations in a timely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31445"/>
                <wp:effectExtent l="0" t="0" r="0" b="0"/>
                <wp:wrapNone/>
                <wp:docPr id="88" name="Frame70"/>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70</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pPr>
      <w:r>
        <w:rPr>
          <w:rFonts w:ascii="Times New Roman;sans-serif" w:hAnsi="Times New Roman;sans-serif"/>
          <w:b w:val="false"/>
          <w:color w:val="000000"/>
          <w:sz w:val="20"/>
          <w:shd w:fill="FFFFFF" w:val="clear"/>
        </w:rPr>
        <w:t>manner, or at all. In addition, any testing by us conducted in connection with Section 404(a) of the Sarbanes-Oxley Act of 2002 (“SOX”) or any subsequent testing by our independent registered public accounting firm in connection with Sectio</w:t>
      </w:r>
      <w:r>
        <w:rPr>
          <w:rFonts w:ascii="Times New Roman;sans-serif" w:hAnsi="Times New Roman;sans-serif"/>
          <w:b w:val="false"/>
          <w:color w:val="000000"/>
          <w:sz w:val="20"/>
        </w:rPr>
        <w:t>n 404(b) of SOX, may reveal deficiencies in our internal controls over financial reporting that are deemed to be significant deficiencies or material weaknesses or that may require prospective or retroactive changes to our financial statements or identify other areas for further attention or improvement. Ineffective internal controls could also cause investors to lose confidence in our reported financial information, which could have a negative effect on the trading price of our Common Stock.</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will be required to disclose material changes made in our internal controls over financing reporting and procedures on a quarterly basis and our management will be required to assess the effectiveness of these controls annually. We will be required to make a formal assessment of the effectiveness of our internal control over financial reporting, and once we cease to be an “emerging growth company” under the Jumpstart Our Business Startups Act of 2012 (the “JOBS Act”) or a “smaller reporting company,” as such term is defined in Rule 12b-2 under the Securities Exchange Act of 1934, as amended (the “Exchange Act”), we will be required to include an attestation report on internal control over financial reporting issued by our independent registered public accounting firm. However, for as long as we are an “emerging growth company” or a “smaller reporting company,” our independent registered public accounting firm will not be required to attest to the effectiveness of our internal controls over financial reporting pursuant to Section 404(b) of SOX.</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To achieve compliance with Section 404(a) of SOX within the prescribed period, we have engaged in a process to document and evaluate our internal control over financial reporting, which is both costly and challenging. In this regard, we will need to continue to dedicate internal resources, potentially engage outside consultants and adopt a plan to assess and document the adequacy of our internal control over financial reporting, continue steps to improve control processes as appropriate, validate through testing that controls are designed and operating effectively and implement a continuous reporting and improvement process for internal control over financial reporting.</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An independent assessment of the effectiveness of our internal controls could detect problems that our management’s assessment might not identify. Undetected material weaknesses in our internal controls could lead to financial statement restatements and require us to incur the expense of remediation.</w:t>
      </w:r>
    </w:p>
    <w:p>
      <w:pPr>
        <w:pStyle w:val="TextBody"/>
        <w:bidi w:val="0"/>
        <w:spacing w:lineRule="auto" w:line="288"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If our estimates or judgments relating to our critical accounting policies are based on assumptions that change or prove to be incorrect, our results of operation could fall below our publicly announced guidance or the expectations of securities analysts and investors, resulting in a decline in the market price of our Common Stock.</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preparation of financial statements in conformity with U.S. GAAP requires management to make estimates and assumptions that affect the amounts reported in our financial statements and accompanying notes. We base our estimates on historical experience and estimates and on various other assumptions that we believe to be reasonable under the circumstances, the results of which form the basis for making judgments about the carrying values of assets, liabilities, equity, and expenses that are not readily apparent from other sources. For example, in connection with the implementation of the new revenue accounting standard if and when we have product sales, management makes judgments and assumptions based on our interpretation of the new standard. The new revenue standard is principle-based, and interpretation of those principles may vary from company to company based on their unique circumstances. It is possible that interpretation, industry practice and guidance may evolve as we apply the new standard. If our assumptions underlying our estimates and judgements relating to our critical accounting policies change or if actual circumstances differ from our assumptions, estimates or judgements, our operating results may be adversely affected and could fall below our publicly announced guidance or the expectations of securities analysts and investors, resulting in a decline in the market price of our Common Stock.</w:t>
      </w:r>
    </w:p>
    <w:p>
      <w:pPr>
        <w:pStyle w:val="TextBody"/>
        <w:bidi w:val="0"/>
        <w:spacing w:lineRule="auto" w:line="288"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We are an “emerging growth company” and a “smaller reporting company” and the reduced disclosure requirements applicable to emerging growth companies and smaller reporting companies may make our Common Stock less attractive to investors.</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are an “emerging growth company,” as defined in the JOBS Act. For so long as we remain an emerging growth company, we are permitted by SEC rules and plan to rely on exemptions from certain disclosure requirements that are applicable to other SEC registered public companies that are not emerging growth companies. These exemptions include not being required to comply with the auditor attestation requirements of Section 404 of SOX, not being required to comply with any requirement that may be adopted by the Public Company Accounting Oversight Board regarding mandatory audit firm rotation or a supplement to the auditor’s report providing additional information about the audit and the financial statements, reduced disclosure obligations regarding executive compensation and exemptions from the requirements of holding a nonbinding advisory vote on executive compensation and stockholder approval of any golden parachute payments not previously approved. As a result, the information we provide stockholders will be different than the information that is available with respect to other public companies that are not emerging growth companies. To the extent that we continue to qualify as a “smaller reporting company,” as such term is defined in Rule 12b-2 under the Exchange Act, after we cease to qualify as an emerging growth company, we will continue to be permitted to make certain reduced disclosures in our periodic reports and other documents that we file with the SEC and will not be required to comply with the auditor attestation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31445"/>
                <wp:effectExtent l="0" t="0" r="0" b="0"/>
                <wp:wrapNone/>
                <wp:docPr id="89" name="Frame71"/>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71</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requirements of Section 404 of SOX. We cannot predict whether investors will find our Common Stock less attractive if we rely on these exemptions. If some investors find our Common Stock less attractive as a result, there may be a less active trading market for our Common Stock and our stock price may be more volatile.</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the JOBS Act provides that an emerging growth company can take advantage of an extended transition period for complying with new or revised accounting standards. This allows an emerging growth company to delay the adoption of certain accounting standards until those standards would otherwise apply to private companies. We have elected to avail ourselves of this exemption from new or revised accounting standards and, therefore, we will not be subject to the same new or revised accounting standards as other public companies that are not emerging growth companies. As a result, our financial statements may not be comparable to companies that comply with new or revised accounting pronouncements as of public company effective dates.</w:t>
      </w:r>
    </w:p>
    <w:p>
      <w:pPr>
        <w:pStyle w:val="TextBody"/>
        <w:bidi w:val="0"/>
        <w:spacing w:lineRule="auto" w:line="288"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Reports published by analysts, including projections in those reports that differ from our actual results, could adversely affect the price and trading volume of our common shares.</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Securities research analysts may establish and publish their own periodic projections for us. These projections may vary widely and may not accurately predict the results we actually achieve. The share price of our Common Stock may decline if our actual results do not match the projections of these securities research analysts. Similarly, if one or more of the analysts who write reports on us downgrades our stock or publishes inaccurate or unfavorable research about our business, the share price of our Common Stock could decline. If one or more of these analysts ceases coverage of us or fails to publish reports on us regularly, the share price or trading volume of our Common Stock could decline. </w:t>
      </w:r>
    </w:p>
    <w:p>
      <w:pPr>
        <w:pStyle w:val="TextBody"/>
        <w:bidi w:val="0"/>
        <w:spacing w:lineRule="auto" w:line="288"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Increased scrutiny of our environmental, social or governance responsibilities may result in additional costs and risks, and may adversely impact our reputation, employee retention, and willingness of customers and suppliers to do business with us.</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Investor advocacy groups, proxy advisory services, investment funds, institutional investors, stockholders, and customers are increasingly focused on environmental, social, and governance (“ESG”) practices of companies. Additionally, public interest and legislative pressure related to public companies’ ESG practices continues to grow. For example, the SEC recently adopted final rules regarding climate-related disclosures in public companies’ periodic reporting. If our ESG practices fail to meet regulatory requirements or investor or other industry stakeholders' evolving expectations and standards for responsible corporate citizenship in areas including environmental stewardship, support for local communities, board and employee diversity, human capital management, employee health and safety practices, product quality, supply chain management, corporate governance and transparency, and employing ESG strategies in our operations, our brand, reputation and employee retention may be negatively impacted and customers and suppliers may be unwilling to do business with us. In addition, ESG reporting and disclosure may result in additional costs and require additional resources as well as additional attention from our board of directors and management. If we fail to adopt ESG standards or practices as quickly as stakeholders desire, report on our ESG efforts or practices accurately, or satisfy the expectations of stakeholders, or comply with applicable regulatory requirements, our reputation, business, financial performance, and growth may be adversely impacted.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Item 1B. Unresolved Staff Comments</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Item 1C. Cybersecurity</w:t>
      </w:r>
    </w:p>
    <w:p>
      <w:pPr>
        <w:pStyle w:val="TextBody"/>
        <w:bidi w:val="0"/>
        <w:spacing w:lineRule="auto" w:line="268" w:before="0" w:after="0"/>
        <w:jc w:val="left"/>
        <w:rPr>
          <w:rFonts w:ascii="Times New Roman;sans-serif" w:hAnsi="Times New Roman;sans-serif"/>
          <w:b/>
          <w:color w:val="000000"/>
          <w:sz w:val="20"/>
        </w:rPr>
      </w:pPr>
      <w:r>
        <w:rPr>
          <w:rFonts w:ascii="Times New Roman;sans-serif" w:hAnsi="Times New Roman;sans-serif"/>
          <w:b/>
          <w:color w:val="000000"/>
          <w:sz w:val="20"/>
        </w:rPr>
        <w:t>Risk Management and Strategy</w:t>
      </w:r>
    </w:p>
    <w:p>
      <w:pPr>
        <w:pStyle w:val="TextBody"/>
        <w:bidi w:val="0"/>
        <w:spacing w:before="0" w:after="180"/>
        <w:ind w:left="0" w:right="0" w:firstLine="360"/>
        <w:jc w:val="left"/>
        <w:rPr/>
      </w:pPr>
      <w:r>
        <w:rPr/>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established policies and processes for assessing, identifying, and managing risks from cybersecurity threats, and have integrated these processes into our overall risk management systems and processes. We routinely assess risks from cybersecurity threats, including any potential unauthorized occurrence on or conducted through our information systems that may result in adverse effects on the confidentiality, integrity, or availability of our information systems or any information residing therein. </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conduct periodic risk assessments to identify cybersecurity threats, as well as assessments in the event of a material change in our business practices that may affect information systems that are vulnerable to such cybersecurity threats. These risk assessments include identification of reasonably foreseeable internal and external risks, the likelihood and potential damage that could result from such risks, and the sufficiency of existing policies, procedures, systems, and safeguards in place to manage such risks. </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Following these risk assessments, we evaluate whether and how to re-design, implement, and maintain reasonable safeguards to minimize identified risks; reasonably address any identified gaps in existing safeguards; and regularly monitor the effectiveness of our safeguards. We devote significant resources and designate high-level personnel, including our Head of IT, who reports to our Chief Financial Officer, to manage the risk assessment and mitigation process.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31445"/>
                <wp:effectExtent l="0" t="0" r="0" b="0"/>
                <wp:wrapNone/>
                <wp:docPr id="90" name="Frame7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72</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As part of our overall risk management system, we monitor our safeguards and train our employees on these safeguards, in collaboration with human resources, IT, and management. Personnel at all levels and departments are made aware of our cybersecurity policies through trainings integrated into new employee onboarding processes and annual employee re-training.</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engage consultants, experts, or other third parties in connection with our risk assessment processes. These third parties assist us in designing and implementing our cybersecurity policies and procedures, as well as in monitoring and testing our safeguards. </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require each third-party service provider who may have access to our systems and/or our sensitive data to attest that it has the ability to implement and maintain appropriate security measures, consistent with all applicable laws, to implement and maintain reasonable security measures in connection with their work with us, and to promptly report any suspected breach of its security measures that may affect our company. </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have not experienced any cybersecurity incidents that have been determined to be material in the past, however, like other life sciences technology companies, we have experienced cybersecurity incidents and may continue to experience them in the future. For additional information regarding whether any risks from cybersecurity threats, including as a result of any previous cybersecurity incidents, materially affected or are reasonably likely to materially affect our company, including our business strategy, results of operations, or financial condition, please refer to Item 1A, “Risk Factors,” in this annual report on Form 10-K, including, for example, the risk factor entitled “If we experience a significant disruption in our information technology systems or breaches of data security, our business could be adversely affected.”</w:t>
      </w:r>
    </w:p>
    <w:p>
      <w:pPr>
        <w:pStyle w:val="TextBody"/>
        <w:bidi w:val="0"/>
        <w:spacing w:lineRule="auto" w:line="288" w:before="0" w:after="180"/>
        <w:ind w:left="0" w:right="0" w:firstLine="360"/>
        <w:jc w:val="left"/>
        <w:rPr>
          <w:rFonts w:ascii="Times New Roman;sans-serif" w:hAnsi="Times New Roman;sans-serif"/>
          <w:b/>
          <w:color w:val="000000"/>
          <w:sz w:val="20"/>
        </w:rPr>
      </w:pPr>
      <w:r>
        <w:rPr>
          <w:rFonts w:ascii="Times New Roman;sans-serif" w:hAnsi="Times New Roman;sans-serif"/>
          <w:b/>
          <w:color w:val="000000"/>
          <w:sz w:val="20"/>
        </w:rPr>
        <w:t>Governance</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One of the key functions of our board of directors is informed oversight of our risk management process, including risks from cybersecurity threats. Our board of directors is responsible for monitoring and assessing strategic risk exposure, and our executive officers are responsible for the day-to-day management of the material risks we face. Our board of directors administers its cybersecurity risk oversight function directly as a whole, as well as through the audit committee. </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Head of IT and our management committee on cybersecurity, which includes representatives of the Company’s legal department, finance department and IT department, who collectively possess significant experience in evaluating, managing and mitigating security and other risks, including cybersecurity risks, are primarily responsible to assess and manage our material risks from cybersecurity threats. </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Head of IT and our management committee on cybersecurity oversee our cybersecurity policies and processes, including those described in “Risk Management and Strategy” above. The processes by which our Head of IT and representatives from our management committee on cybersecurity are informed about and monitor the prevention, detection, mitigation, and remediation of cybersecurity incidents includes the following: </w:t>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rPr>
        <w:t>monitoring of Company computer and information systems for potential malware, ransomware and other malicious activity, and remediation of identified issues, including mitigation of identified risks and containment and elimination of any malicious software;</w:t>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rPr>
        <w:t>mandatory cybersecurity training as part of new employee onboarding along with required annual employee cybersecurity re-training;</w:t>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rPr>
        <w:t>automated monitoring of systems and network infrastructure through event log analysis by security information and event management application;</w:t>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rPr>
        <w:t>prompt incident reporting directly to the Company’s CFO and General Counsel; and</w:t>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rPr>
        <w:t>escalation to the Company’s audit committee and board of directors as warranted based upon the nature of the identified issue.</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Head of IT and/or representatives from our management committee on cybersecurity provide periodic briefings to the audit committee regarding our company’s cybersecurity risks and activities, including any recent cybersecurity incidents and related responses, cybersecurity systems testing, activities of third parties, and the like. Our audit committee provides regular updates to the board of directors on such reports.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Item 2. Properties </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corporate headquarters are located at 2701 Eastlake Avenue East, Seattle, Washington and our research and development facilities, and manufacturing centers are located at 835 Industrial Rd, San Carlos, California. The Seattle facility is approximately 14,800 square feet. The 835 Industrial Rd, San Carlos, California lease is for approximately 45,338 square feet of office and research space. We lease approximately 19,957 square feet of additional research and development and manufacturing space at 1561 Industrial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31445"/>
                <wp:effectExtent l="0" t="0" r="0" b="0"/>
                <wp:wrapNone/>
                <wp:docPr id="91" name="Frame7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73</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Rd, San Carlos, California. In addition, we lease office and research space located at 4475 Executive Drive, San Diego, California. The San Diego facility is approximately 7,064 square feet. We do not own real property and believe that our current facilities are sufficient to meet our ongoing needs and that, if we require additional space, we will be able to obtain additional facilities on commercially reasonable terms.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Item 3. Legal Proceedings</w:t>
      </w:r>
    </w:p>
    <w:p>
      <w:pPr>
        <w:pStyle w:val="TextBody"/>
        <w:bidi w:val="0"/>
        <w:spacing w:lineRule="auto" w:line="288" w:before="0" w:after="180"/>
        <w:ind w:left="0" w:right="0" w:firstLine="360"/>
        <w:jc w:val="left"/>
        <w:rPr>
          <w:rFonts w:ascii="Times New Roman;sans-serif" w:hAnsi="Times New Roman;sans-serif"/>
          <w:b w:val="false"/>
          <w:i/>
          <w:color w:val="000000"/>
          <w:sz w:val="20"/>
        </w:rPr>
      </w:pPr>
      <w:r>
        <w:rPr>
          <w:rFonts w:ascii="Times New Roman;sans-serif" w:hAnsi="Times New Roman;sans-serif"/>
          <w:b w:val="false"/>
          <w:i/>
          <w:color w:val="000000"/>
          <w:sz w:val="20"/>
        </w:rPr>
        <w:t>U.S. District Court Proceedings</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On December 14, 2023, we filed suit in the United States District Court for the Northern District of California (the “Court”) against Somalogic, Inc. (Somalogic) which recently merged with and is now part of “Standard Biotools, Inc.,” and the California Institute of Technology. This suit sought declaratory judgment that Nautilus does not infringe any claims of US Patent No. 7,842,793 related to DNA origami structures (the ‘793 Patent), which Somalogic had allegedly licensed from the California Institute of Technology through its purchase of Palamedrix, Inc. On November 19, 2024, the Company, Standard Biotools, Inc., and the California Institute of Technology agreed to dismiss the suit and settle any and all disputes and/or claims related to the suit.</w:t>
      </w:r>
    </w:p>
    <w:p>
      <w:pPr>
        <w:pStyle w:val="TextBody"/>
        <w:bidi w:val="0"/>
        <w:spacing w:lineRule="auto" w:line="288" w:before="0" w:after="180"/>
        <w:ind w:left="0" w:right="0" w:firstLine="360"/>
        <w:jc w:val="left"/>
        <w:rPr>
          <w:rFonts w:ascii="Times New Roman;sans-serif" w:hAnsi="Times New Roman;sans-serif"/>
          <w:b w:val="false"/>
          <w:i/>
          <w:color w:val="000000"/>
          <w:sz w:val="20"/>
        </w:rPr>
      </w:pPr>
      <w:r>
        <w:rPr>
          <w:rFonts w:ascii="Times New Roman;sans-serif" w:hAnsi="Times New Roman;sans-serif"/>
          <w:b w:val="false"/>
          <w:i/>
          <w:color w:val="000000"/>
          <w:sz w:val="20"/>
        </w:rPr>
        <w:t>Other Proceedings</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From time to time, we may become involved in various claims and legal proceedings. Regardless of outcome, litigation and other legal and administrative proceedings can have an adverse impact on us because of defense and settlement costs, diversion of management resources and other factors.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Item 4. Mine Safety Disclosures </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31445"/>
                <wp:effectExtent l="0" t="0" r="0" b="0"/>
                <wp:wrapNone/>
                <wp:docPr id="92" name="Frame7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74</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484" w:before="0" w:after="0"/>
        <w:jc w:val="center"/>
        <w:rPr>
          <w:rFonts w:ascii="Times New Roman;sans-serif" w:hAnsi="Times New Roman;sans-serif"/>
          <w:b/>
          <w:color w:val="000000"/>
          <w:sz w:val="24"/>
        </w:rPr>
      </w:pPr>
      <w:r>
        <w:rPr>
          <w:rFonts w:ascii="Times New Roman;sans-serif" w:hAnsi="Times New Roman;sans-serif"/>
          <w:b/>
          <w:color w:val="000000"/>
          <w:sz w:val="24"/>
        </w:rPr>
        <w:t>Part 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Item 5. Market for Registrant's Common Equity, Related Stockholder Matters and Issuer Purchases of Equity Securities</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Market information for common stock</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common stock has traded on the Nasdaq Global Select Market under the symbol “NAUT” since June 10, 2021. Prior to June 10, 2021 and before completion of the Business Combination, the Class A ordinary shares of ARYA Sciences Acquisition Corp III traded on The Nasdaq Capital Market under the symbol “ARYA” and there was no public trading market for Legacy Nautilus’ equity. </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Holders</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As of February 21, 2025, there were 34 registered stockholders of record of our common stock. Because most of our shares are held by brokers and other institutions on behalf of stockholders, we are unable to estimate the total number of beneficial stockholders represented by these holders of record.</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Dividend Policy</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have never declared or paid cash dividends on our capital stock. We intend to retain any future earnings and do not expect to pay any dividends in the foreseeable future. In addition, future debt instruments we issue may materially restrict our ability to pay dividends on our common stock. Payment of future cash dividends, if any, will be at the discretion of our board of directors after taking into account various factors, including our financial condition, operating results, current and anticipated cash needs, the requirements of then-existing debt instruments and other factors our board of directors deems relevant.</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Equity Compensation Plan</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Our equity plan information required by this Item is incorporated by reference to the information in Part III, Item 12 of this Annual Report on Form 10-K.</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Recent Sales of Unregistered Securities</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Issuer Purchases of Equity Securities</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Item 6. [ Reserved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31445"/>
                <wp:effectExtent l="0" t="0" r="0" b="0"/>
                <wp:wrapNone/>
                <wp:docPr id="93" name="Frame7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75</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Item 7. Management's Discussion and Analysis of Financial Condition and Results of Operations</w:t>
      </w:r>
    </w:p>
    <w:p>
      <w:pPr>
        <w:pStyle w:val="TextBody"/>
        <w:bidi w:val="0"/>
        <w:spacing w:lineRule="auto" w:line="288" w:before="0" w:after="180"/>
        <w:ind w:left="0" w:right="0" w:firstLine="360"/>
        <w:jc w:val="left"/>
        <w:rPr>
          <w:rFonts w:ascii="Times New Roman;sans-serif" w:hAnsi="Times New Roman;sans-serif"/>
          <w:b w:val="false"/>
          <w:i/>
          <w:color w:val="000000"/>
          <w:sz w:val="20"/>
        </w:rPr>
      </w:pPr>
      <w:r>
        <w:rPr>
          <w:rFonts w:ascii="Times New Roman;sans-serif" w:hAnsi="Times New Roman;sans-serif"/>
          <w:b w:val="false"/>
          <w:i/>
          <w:color w:val="000000"/>
          <w:sz w:val="20"/>
        </w:rPr>
        <w:t>You should read the following discussion and analysis of our financial condition and results of operations together with the financial statements and related notes appearing elsewhere in this Annual Report on Form 10-K. Some of the information in this discussion and analysis contains forward-looking statements reflecting our current expectations and involves risk and uncertainties. For example, statements regarding our expectations as to our plans and strategy for our business, future financial performance, expense levels and liquidity sources are forward-looking statements. Our actual results and the timing of events could differ materially from those discussed in our forward-looking statements as a result of many factors, including those set forth under the “Risk Factors” section and elsewhere in this Annual Report on Form 10-K. Please also see the section entitled “Special Note Regarding Forward-Looking Statements.”</w:t>
      </w:r>
    </w:p>
    <w:p>
      <w:pPr>
        <w:pStyle w:val="TextBody"/>
        <w:bidi w:val="0"/>
        <w:spacing w:lineRule="auto" w:line="288" w:before="0" w:after="180"/>
        <w:ind w:left="0" w:right="0" w:firstLine="360"/>
        <w:jc w:val="left"/>
        <w:rPr>
          <w:rFonts w:ascii="Times New Roman;sans-serif" w:hAnsi="Times New Roman;sans-serif"/>
          <w:b w:val="false"/>
          <w:i/>
          <w:color w:val="000000"/>
          <w:sz w:val="20"/>
        </w:rPr>
      </w:pPr>
      <w:r>
        <w:rPr>
          <w:rFonts w:ascii="Times New Roman;sans-serif" w:hAnsi="Times New Roman;sans-serif"/>
          <w:b w:val="false"/>
          <w:i/>
          <w:color w:val="000000"/>
          <w:sz w:val="20"/>
        </w:rPr>
        <w:t>Unless otherwise indicated or the context otherwise requires, references in this “Management’s Discussion and Analysis of Financial Condition and Results of Operations” section to “Nautilus,” “we,” “us,” “our” and other similar terms refer to the business and operations of Legacy Nautilus prior to the Business Combination and to New Nautilus and its consolidated subsidiary following the Business Combination.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are a development stage life sciences company creating a platform technology for quantifying and unlocking the complexity of the proteome. Our mission is to transform the field of proteomics by democratizing access to the proteome and enabling fundamental advancements across human health and medicine. We were founded on the belief that incremental advancements of existing technologies are inadequate, and that a bold scientific leap would be required to radically reinvent proteomics and revolutionize precision medicine. Our vision is to integrate our breakthrough innovations in computer science, engineering, and biochemistry to develop and commercialize a proteomic analysis technology of extreme sensitivity and scale. To accomplish this, we have built a prototype of a proteome analysis system, an instrument to perform massively parallel single protein molecule measurements which will be further developed to deliver the speed, simplicity, accuracy, and versatility that we believe is necessary to establish a new gold standard in the field.</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Since our incorporation in 2016, we have devoted substantially all of our resources to research and development activities, including with respect to our proteomics platform, or Nautilus platform, business planning, establishing and maintaining our intellectual property portfolio, hiring personnel, raising capital and providing general and administrative support for these operations. We do not have any products available for commercial sale, and we have not generated any revenue from our Nautilus platform or other sources since inception. Our ability to generate revenue sufficient to achieve profitability, if ever, will depend on the successful development and eventual commercialization of our Nautilus platform, which we expect, if it ever occurs, will take a number of years. Our Nautilus platform, which includes our end-to-end solution comprised of instruments, consumables, and software analysis, is currently under development and will require significant additional research and development efforts, including extensive testing prior to commercialization. These efforts require significant amounts of additional capital and adequate personnel infrastructure. There can be no assurance that our research and development activities will be successfully completed, or that our Nautilus platform will be commercially viable.</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 order to commercialize our Nautilus platform in volume, we will need to establish internal manufacturing capacity or to contract with one or more manufacturing partners, or both. Our technology is complex, and the manufacturing process for our products will be similarly complex, involving a large number of unique precision parts in addition to the production of various reagents and antibodies. We may encounter unexpected difficulties in manufacturing our Nautilus platform, instruments, and related consumables. Among other factors, we will need to develop reliable supply chains for the various components in our Nautilus platform, instruments, and consumables to support large-scale commercial production. In connection with our Nautilus platform, we intend to utilize over 300 complex reagents and various antibodies in order to generate deep proteomic information at the speed and scale which we expect our Nautilus platform to perform. Such reagents and antibodies are expected to be more difficult to manufacture and more expensive to procure. There is no assurance that we will be able to build manufacturing or consumable production capacity internally or find one or more suitable manufacturing or production partners, or both, to meet the volume and quality requirements necessary to be successful in the proteomics market.</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Given our stage of development, we have not yet established a commercial organization or distribution capabilities. We do intend to build a commercial infrastructure to support sales of our products. We expect to manage sales, marketing and distribution through both internal resources and third-party relationships. We plan to commercialize our proteomics platform using a three-phase plan that has been shown to be effective and optimal for introducing disruptive products in numerous life sciences technology markets. The first phase is expected to involve research collaborations with biopharmaceutical companies and key academic opinion leaders exploring utility of pre-commercial versions of the platform, during which we do not expect to recognize significant revenue, if any. The second phase will include an early access limited release in which we expect to engage with customers using a service model to generate pilot data on the platform in our facilities, or through on-site installation and testing to evaluate the platform at the customers’ facilities. Finally, the third phase is anticipated to include a broader commercial launch. We are currently in the collaboration phase during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31445"/>
                <wp:effectExtent l="0" t="0" r="0" b="0"/>
                <wp:wrapNone/>
                <wp:docPr id="94" name="Frame7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76</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which we have entered into collaborations with a small number of research customers, including with biopharmaceutical companies and key academic opinion leaders in proteomics whose assessment and validation of our products can significantly influence other researchers in their respective markets and/or fields. During the early access limited release phase, we plan to leverage our publications to drive awareness and customer demand to pre-sell instruments and reagents to select customers performing large-scale proteomics research. During the second phase, we expect to work closely with early access collaborators to demonstrate a unique value proposition for our Nautilus platform. During this phase, we plan to provide early access to our collaborators with broad-scale and targeted analyses and profiling of samples analyzed in our facility and shared via a cloud platform. We believe there is significant interest in our platform for targeted proteoform analysis. As such, we expect to be working with our initial early access collaborators in this area, and to leverage our learnings from those collaborations for the benefit of both our broad-scale and targeted products and services. We do not anticipate that these activities will result in any material revenue. We expect this second phase to lead into the third phase of launch of our proteome analysis platform in late 2026 and subsequent broad commercialization thereafter. Voice of customer studies have suggested that there is market demand for a proteomics platform with specifications that are initially lower than what we have previously disclosed, for example, around characteristics such as sample input and proteome coverage. Consequently, as we balance our time to market goals with our evolving view of customer requirements, we are refining our initial launch specifications. We believe that subsequent consumable releases will enable our platform to meet or exceed our previously announced product specifications.</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intend to commercialize our Nautilus platform through a direct sales channel in the United States, and through both direct and distributor sales channels in regions outside the United States. Given our stage of development, we currently have limited marketing, sales, commercial product distribution or service and support capabilities. We intend to build the necessary infrastructure for these activities in the United States, European Union, the United Kingdom, and potentially other countries and regions, including Asia-Pacific, as we execute on our three phase commercial launch strategy for our Nautilus platform.</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On June 9, 2021, Nautilus Biotechnology, Inc., a Delaware corporation (f/k/a ARYA Sciences Acquisition Corp. III, a Cayman Islands exempted company and the Company’s predecessor company (“ARYA”)), consummated the business combination (the “Business Combination”) pursuant to the terms of that certain Business Combination Agreement, dated as of February 7, 2021 (the “BCA”), by and among ARYA, Mako Merger Sub, Inc., a Delaware corporation and wholly-owned subsidiary of ARYA (“Mako Merger Sub”), and Nautilus Subsidiary, Inc., a Delaware corporation (f/k/a Nautilus Biotechnology, Inc.) (“Legacy Nautilus”). As a result of the Business Combination, ARYA changed its name to “Nautilus Biotechnology, Inc.” and Mako Merger Sub merged with and into Legacy Nautilus with Legacy Nautilus surviving as the surviving company and becoming a wholly-owned subsidiary of ARYA (the “Merger” and, collectively with the other transactions described in the BCA, the “Reverse Recapitalization”).</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in conjunction with the completion of the Business Combination, certain investors (“PIPE Investors”) subscribed for the purchase of an aggregate of 20,000,000 shares of common stock of the Company (“New Nautilus Common Stock”) at a price of $10.00 per share for aggregate gross proceeds of $200.0 million (“PIPE Financing”).</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Prior to the Business Combination, we financed our operations primarily through private placements of convertible preferred stock and had raised aggregate net proceeds of $108.4 million from these private placements. In connection with the consummation of the Business Combination and PIPE Financing, we received additional gross proceeds of approximately $345.5 million from PIPE Investors and the Business Combination, offset by approximately $18.2 million of transaction costs and underwriters’ fees relating to the closing of the Business Combination. As of December 31, 2024, we had cash, cash equivalents and short-term investments of $129.9 million. As of the the filing of this Annual Report on Form 10-K, we believe that our existing cash, cash equivalents, and short-term investments will enable us to fund our planned operating expenses and capital expenditures through at least the next 12 months.</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have incurred significant losses since the commencement of our operations. Our net loss was $70.8 million during the year ended December 31, 2024, and we expect to continue to incur significant losses for the foreseeable future as we continue our research and development activities and planned commercialization of our Nautilus platform. As of December 31, 2024, we had an accumulated deficit of $273.0 million. These losses have resulted primarily from costs incurred in connection with research and development activities and to a lesser extent from general and administrative costs associated with our operations. We expect to incur significant and increasing expenses and operating losses for the foreseeable future. Our net losses may fluctuate significantly from period to period, depending on the timing of and expenditures on our planned commercialization and research and development activities.</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expect our expenses and capital requirements will increase substantially in connection with our ongoing activities as we:</w:t>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rPr>
        <w:t>continue our research and development activities, including with respect to our Nautilus platform;</w:t>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rPr>
        <w:t>undertake activities to establish sales, marketing and distribution capabilities for our Nautilus platform;</w:t>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rPr>
        <w:t>incur setup costs related to production tooling and required testing;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31445"/>
                <wp:effectExtent l="0" t="0" r="0" b="0"/>
                <wp:wrapNone/>
                <wp:docPr id="95" name="Frame7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77</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maintain, protect and expand our intellectual property portfolio, including patents, trade secrets and know how;</w:t>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rPr>
        <w:t>implement operational, financial and management information systems;</w:t>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rPr>
        <w:t>attract, hire and retain additional management, scientific and administrative personnel; and</w:t>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rPr>
        <w:t>continue to operate as a public company.</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As a result, we will require substantial additional funding to develop our products and support our continuing operations. Until such time that we can generate significant revenue from product sales, if ever, we expect to finance our operations through the sale of equity, debt financings or other capital sources, which could include income from collaborations, strategic partnerships or marketing, distribution or licensing arrangements with third parties or from grants. We may be unable to raise additional funds or to enter into such agreements or arrangements on favorable terms, or at all. Our ability to raise additional funds may be adversely impacted by potential worsening global economic conditions and the recent disruptions to, and volatility in, the credit and financial markets in the United States and worldwide resulting from the COVID</w:t>
        <w:noBreakHyphen/>
        <w:t>19 pandemic, recent and any potential future financial institution failures, the conflicts in Eastern Europe, the Middle East and in other countries, and otherwise. Our failure to obtain sufficient funds on acceptable terms when needed could have a material adverse effect on our business, results of operations or financial condition, and could force us to delay, reduce or eliminate our product development or future commercialization efforts. We may also be required to grant rights to develop and market products that we would otherwise prefer to develop and market ourselves. The amount and timing of our future funding requirements will depend on many factors, including the pace and results of our development efforts. We cannot assure you that we will ever be profitable or generate positive cash flow from operating activities.</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Impact of Negative Global or National Events</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Businesses have been and will continue to be impacted by a number of challenging global and national events and circumstances that continue to evolve, including extreme weather conditions, economic uncertainty, inflation, changing interest rates, recent and any potential future financial institution failures, and conflicts in Eastern Europe, the Middle East and in other countries. The extent of the impact of these events and circumstances on our business, operations and development timelines and plans remains uncertain, and will depend on certain developments, including the duration and scope of the events and their impact on our development activities, third-party manufacturers, and other third parties with whom we do business, as well as its impact on regulatory authorities and our key scientific and management personnel. We have been and continue to actively monitor the potential impacts that these various events and circumstances may have on our business and we take steps, where warranted, to minimize any potential negative impacts on our business resulting from these events and circumstances. </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been and continue to actively monitor our supply chain in light of these challenging global and national events and circumstances, including our third-party materials suppliers. We have, in the past, experienced some supply disruptions due to the COVID-19 pandemic, including closures at certain chip manufacturers, which led to extended lead times for certain chips; diversion of certain lab materials needed to support COVID-19 relief efforts; and lower availability of certain reagents. While certain of these disruptions have been resolved since the start of the COVID-19 pandemic, we are continuing to monitor our supply chain and contingency planning is ongoing with our partners to reduce the possibility of an interruption to our development activities or the availability of necessary materials. </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ultimate impact of these global and national events and circumstances, either individually or in aggregate, is highly uncertain and subject to change. We will continue to actively monitor any developments related to these global and national events, and may take actions to mitigate potential negative impacts to our business, and that may alter our operations, including those that may be required by federal, state or local authorities, or that we determine are in the best interests of our employees and other third parties with whom we do business. At this point, the extent to which these global or national events and circumstances may affect our future business, operations and development timelines and plans, including the resulting impact on our expenditures and capital needs, remains uncertain.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 xml:space="preserve">Components of Our Results of Operations </w:t>
      </w:r>
    </w:p>
    <w:p>
      <w:pPr>
        <w:pStyle w:val="TextBody"/>
        <w:bidi w:val="0"/>
        <w:spacing w:lineRule="auto" w:line="288"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Revenue</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To date, we have not generated any revenue and we may not generate any revenue from the sale of products or from other sources in the near future.</w:t>
      </w:r>
    </w:p>
    <w:p>
      <w:pPr>
        <w:pStyle w:val="TextBody"/>
        <w:bidi w:val="0"/>
        <w:spacing w:lineRule="auto" w:line="288"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Operating Expenses</w:t>
      </w:r>
    </w:p>
    <w:p>
      <w:pPr>
        <w:pStyle w:val="TextBody"/>
        <w:bidi w:val="0"/>
        <w:spacing w:lineRule="auto" w:line="288" w:before="0" w:after="180"/>
        <w:ind w:left="0" w:right="0" w:firstLine="360"/>
        <w:jc w:val="left"/>
        <w:rPr>
          <w:rFonts w:ascii="Times New Roman;sans-serif" w:hAnsi="Times New Roman;sans-serif"/>
          <w:b w:val="false"/>
          <w:i/>
          <w:color w:val="000000"/>
          <w:sz w:val="20"/>
        </w:rPr>
      </w:pPr>
      <w:r>
        <w:rPr>
          <w:rFonts w:ascii="Times New Roman;sans-serif" w:hAnsi="Times New Roman;sans-serif"/>
          <w:b w:val="false"/>
          <w:i/>
          <w:color w:val="000000"/>
          <w:sz w:val="20"/>
        </w:rPr>
        <w:t>Research and Development Expense</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Research and development expenses account for a significant portion of our operating expenses and consist primarily of salaries, related benefits and stock-based compensation expense of product development personnel, laboratory supplies and equipment,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31445"/>
                <wp:effectExtent l="0" t="0" r="0" b="0"/>
                <wp:wrapNone/>
                <wp:docPr id="96" name="Frame7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78</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 external costs of vendors engaged to conduct research and development activities, acquired in-process research and development, and allocated expenses for technology and facilities. We expense research and development expenses in the periods in which they are incurred.</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plan to continue to invest in our research and development efforts and to increase our investment in research and development efforts related to our product development. While we anticipate certain cost-savings associated with our recently announced workforce reductions, in the future, we continue to expect research and development expenses to increase in absolute dollars as we continue to advance our product development, hire additional personnel and retain existing personnel, purchase supplies and materials and allocate expense to our research and development facilities.</w:t>
      </w:r>
    </w:p>
    <w:p>
      <w:pPr>
        <w:pStyle w:val="TextBody"/>
        <w:bidi w:val="0"/>
        <w:spacing w:lineRule="auto" w:line="288" w:before="0" w:after="180"/>
        <w:ind w:left="0" w:right="0" w:firstLine="360"/>
        <w:jc w:val="left"/>
        <w:rPr>
          <w:rFonts w:ascii="Times New Roman;sans-serif" w:hAnsi="Times New Roman;sans-serif"/>
          <w:b w:val="false"/>
          <w:i/>
          <w:color w:val="000000"/>
          <w:sz w:val="20"/>
        </w:rPr>
      </w:pPr>
      <w:r>
        <w:rPr>
          <w:rFonts w:ascii="Times New Roman;sans-serif" w:hAnsi="Times New Roman;sans-serif"/>
          <w:b w:val="false"/>
          <w:i/>
          <w:color w:val="000000"/>
          <w:sz w:val="20"/>
        </w:rPr>
        <w:t>General and Administrative Expenses</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expenses consist of salaries, related benefits, and stock-based compensation expense for personnel in executive, operations, legal, human resources, finance, marketing, commercial, IT personnel and administrative functions, professional fees for legal, patent, consulting, accounting and audit services, directors and officers insurance, allocated expenses for technology and facilities, legal settlement expenses, and marketing expenses. We expense general and administrative expenses in the periods in which they are incurred.</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While we anticipate certain cost-savings associated with our recently announced workforce reductions, in the future, we expect that our general and administrative expenses will increase substantially over the next several years as we hire additional personnel to support the growth in research and development activities for our products and commercial activities supporting the growth of our business, including sales, marketing, service, support, and distribution infrastructure. We also anticipate that we will incur higher expenses related to accounting, audit, legal, regulatory, insurance, compliance with the rules and regulations of the SEC, Sarbanes-Oxley Act and those of any national securities exchange on which our securities are traded, investor and public relations, and other administrative and professional services.</w:t>
      </w:r>
    </w:p>
    <w:p>
      <w:pPr>
        <w:pStyle w:val="TextBody"/>
        <w:bidi w:val="0"/>
        <w:spacing w:lineRule="auto" w:line="288"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Other Income (Expense)</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 consists primarily of interest income on our cash, cash equivalents and investments (including accretion and amortization of discounts and premiums on marketable debt securities. Other miscellaneous non-recurring expenses such as gains or losses on disposal of property and equipment are also included.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Results of Operations</w:t>
      </w:r>
    </w:p>
    <w:p>
      <w:pPr>
        <w:pStyle w:val="TextBody"/>
        <w:bidi w:val="0"/>
        <w:spacing w:lineRule="auto" w:line="288"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Comparison of Fiscal Years Ended December 31, 2024 to December 31, 2023</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shows our consolidated statements of operations for the periods indicated:</w:t>
      </w:r>
    </w:p>
    <w:tbl>
      <w:tblPr>
        <w:tblW w:w="8089" w:type="dxa"/>
        <w:jc w:val="left"/>
        <w:tblInd w:w="0" w:type="dxa"/>
        <w:tblLayout w:type="fixed"/>
        <w:tblCellMar>
          <w:top w:w="28" w:type="dxa"/>
          <w:left w:w="28" w:type="dxa"/>
          <w:bottom w:w="28" w:type="dxa"/>
          <w:right w:w="28" w:type="dxa"/>
        </w:tblCellMar>
      </w:tblPr>
      <w:tblGrid>
        <w:gridCol w:w="901"/>
        <w:gridCol w:w="792"/>
        <w:gridCol w:w="796"/>
        <w:gridCol w:w="211"/>
        <w:gridCol w:w="721"/>
        <w:gridCol w:w="109"/>
        <w:gridCol w:w="109"/>
        <w:gridCol w:w="109"/>
        <w:gridCol w:w="109"/>
        <w:gridCol w:w="211"/>
        <w:gridCol w:w="721"/>
        <w:gridCol w:w="109"/>
        <w:gridCol w:w="109"/>
        <w:gridCol w:w="109"/>
        <w:gridCol w:w="109"/>
        <w:gridCol w:w="109"/>
        <w:gridCol w:w="109"/>
        <w:gridCol w:w="211"/>
        <w:gridCol w:w="691"/>
        <w:gridCol w:w="109"/>
        <w:gridCol w:w="109"/>
        <w:gridCol w:w="109"/>
        <w:gridCol w:w="109"/>
        <w:gridCol w:w="218"/>
        <w:gridCol w:w="218"/>
        <w:gridCol w:w="391"/>
        <w:gridCol w:w="109"/>
        <w:gridCol w:w="109"/>
        <w:gridCol w:w="109"/>
        <w:gridCol w:w="154"/>
      </w:tblGrid>
      <w:tr>
        <w:trPr/>
        <w:tc>
          <w:tcPr>
            <w:tcW w:w="901"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7"/>
            <w:tcBorders/>
            <w:tcMar>
              <w:top w:w="0" w:type="dxa"/>
              <w:left w:w="0" w:type="dxa"/>
              <w:bottom w:w="0" w:type="dxa"/>
              <w:right w:w="0" w:type="dxa"/>
            </w:tcMar>
            <w:vAlign w:val="center"/>
          </w:tcPr>
          <w:p>
            <w:pPr>
              <w:pStyle w:val="TableContents"/>
              <w:bidi w:val="0"/>
              <w:spacing w:before="0" w:after="0"/>
              <w:jc w:val="center"/>
              <w:rPr/>
            </w:pPr>
            <w:r>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2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b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Change </w:t>
              <w:b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481" w:type="dxa"/>
            <w:gridSpan w:val="4"/>
            <w:tcBorders/>
          </w:tcPr>
          <w:p>
            <w:pPr>
              <w:pStyle w:val="TableContents"/>
              <w:bidi w:val="0"/>
              <w:spacing w:before="0" w:after="283"/>
              <w:jc w:val="left"/>
              <w:rPr>
                <w:sz w:val="4"/>
                <w:szCs w:val="4"/>
              </w:rPr>
            </w:pPr>
            <w:r>
              <w:rPr>
                <w:sz w:val="4"/>
                <w:szCs w:val="4"/>
              </w:rPr>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50,477 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3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3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81,476 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76,152 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5,324 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3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w:t>
            </w:r>
          </w:p>
        </w:tc>
        <w:tc>
          <w:tcPr>
            <w:tcW w:w="3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3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income (expense)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10,696 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12,477 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w:t>
            </w:r>
          </w:p>
        </w:tc>
        <w:tc>
          <w:tcPr>
            <w:tcW w:w="3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360"/>
              <w:jc w:val="left"/>
              <w:rPr>
                <w:sz w:val="4"/>
                <w:szCs w:val="4"/>
              </w:rPr>
            </w:pPr>
            <w:r>
              <w:rPr>
                <w:sz w:val="4"/>
                <w:szCs w:val="4"/>
              </w:rPr>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70,780 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63,675 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7,105 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3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Research and Development Expenses</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expenses were $50.5 million for the year ended December 31, 2024, compared to $47.3 million for the year ended December 31, 2023, an increase of $3.2 million, or 7%. The increase was primarily due to a $2.0 million increase in salaries, related benefits, and stock-based compensation driven by increased headcount throughout the year, a $0.8 million increase in in-process research and development expense resulting from an asset acquisition during the year, a $0.5 million increase in laboratory supplies and equipment expense, and a $0.3 million increase in costs for external development services. These increases were partially offset by a $0.7 million decrease in professional services attributable to consulting fees.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31445"/>
                <wp:effectExtent l="0" t="0" r="0" b="0"/>
                <wp:wrapNone/>
                <wp:docPr id="97" name="Frame7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79</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General and Administrative Expenses</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expenses were $31.0 million for the year ended December 31, 2024, compared to $28.9 million for the year ended December 31, 2023, an increase of $2.1 million, or 7%. The increase was primarily due to a $0.8 increase in professional services attributable to legal and consulting fees, $0.5 million increase in professional services from fees related to the shelf registration statement filed during the period, a $0.5 million increase in salaries, related benefits, and stock-based compensation driven by annual merit increases and stock-option awards, and a $0.4 million increase in facilities costs driven by new leases that commenced during the year ended December 31, 2023. These increases were partially offset by a $0.4 million decrease in insurance costs.</w:t>
      </w:r>
    </w:p>
    <w:p>
      <w:pPr>
        <w:pStyle w:val="TextBody"/>
        <w:bidi w:val="0"/>
        <w:spacing w:lineRule="auto" w:line="288"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Other Income (Expense)</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 for the year ended December 31, 2024 as compared to the year ended December 31, 2023. The decrease is attributable to the decrease in interest income as our cash, cash equivalents, and investments balance decreased during the period.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bidi w:val="0"/>
        <w:spacing w:lineRule="auto" w:line="288"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Sources of Liquidity</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Since our inception, we have not generated any revenue from product sales and have incurred significant operating losses and negative cash flows from our operations. Our net loss was $70.8 million for the year ended December 31, 2024. As of December 31, 2024, we had an accumulated deficit of $273.0 million. Prior to the Business Combination, we funded our operations primarily with proceeds from the sale of convertible preferred stock. Prior to the Business Combination, we had raised net proceeds of $108.4 million from these private placements of our convertible preferred stock. In June 2021, in conjunction with the consummation of the Business Combination with ARYA, we received additional gross proceeds of approximately $345.5 million from PIPE Investors and the Business Combination, offset by approximately $18.2 million of transaction costs and underwriters’ fees relating to the closing of the Business Combination. As of December 31, 2024, we had cash, cash equivalents, and investments of $206.3 million. </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Our primary uses of cash to date have been to fund our research and development activities, business planning, establishing and maintaining our intellectual property portfolio, hiring personnel, raising capital, and providing general and administrative support for these operations.</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 February 2024, we entered into a sales agreement (the “Sales Agreement”) with Cowen and Company, LLC (“TD Cowen”) under which we may offer and sell up to $125.0 million of shares of our common stock from time to time through an “at the market” offering program under which TD Cowen will act as sales agent. Under the Sales Agreement, we will set the parameters for the sale of shares, including the number or dollar amount of shares to be issued, the time period during which sales are requested to be made, limitations on the number or dollar amount of shares that may be sold in any one trading day and any minimum price below which sales may not be made. The Sales Agreement provides that TD Cowen will be entitled to compensation for its services in an amount equal to up to 3.0% of the gross proceeds of all shares of common stock sold through TD Cowen under the Sales Agreement. We have no obligation to sell any shares under the Sales Agreement and may at any time suspend solicitation and offers under the Sales Agreement. During the year ended December 31, 2024, we did not sell any shares of common stock pursuant to the Sales Agreement.</w:t>
      </w:r>
    </w:p>
    <w:p>
      <w:pPr>
        <w:pStyle w:val="TextBody"/>
        <w:bidi w:val="0"/>
        <w:spacing w:lineRule="auto" w:line="288"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Funding Requirements</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 date, we have not generated any revenue and we may not generate any revenue from the sale of products or from other sources in the near future. </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approved and began implementing workforce reductions in the first quarter of 2025. The cost-savings initiatives are expected to reduce certain operating expenses, primarily personnel-related expense, in the near-term.</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However, we expect our expenses and capital requirements will continue to increase substantially in connection with our ongoing activities as we:</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continue our research and development activities, including with respect to our Nautilus platform;</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undertake activities to establish sales, marketing and distribution capabilities for our Nautilus platform;</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incur setup costs related to production tooling and required testing;</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maintain, protect and expand our intellectual property portfolio, including patents, trade secrets and know how;</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implement operational, financial and management information systems;</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attract, hire and retain additional management, scientific and administrative personnel; and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31445"/>
                <wp:effectExtent l="0" t="0" r="0" b="0"/>
                <wp:wrapNone/>
                <wp:docPr id="98" name="Frame80"/>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80</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ind w:left="0" w:right="0" w:hanging="360"/>
        <w:jc w:val="left"/>
        <w:rPr>
          <w:shd w:fill="FFFFFF" w:val="clear"/>
        </w:rPr>
      </w:pPr>
      <w:r>
        <w:rPr>
          <w:color w:val="000000"/>
          <w:shd w:fill="FFFFFF" w:val="clear"/>
        </w:rPr>
        <w:t>•</w:t>
      </w:r>
      <w:r>
        <w:rPr>
          <w:rFonts w:ascii="Times New Roman;sans-serif" w:hAnsi="Times New Roman;sans-serif"/>
          <w:b w:val="false"/>
          <w:color w:val="000000"/>
          <w:sz w:val="20"/>
          <w:shd w:fill="FFFFFF" w:val="clear"/>
        </w:rPr>
        <w:t>continue to operate as a public company.</w:t>
      </w:r>
    </w:p>
    <w:p>
      <w:pPr>
        <w:pStyle w:val="TextBody"/>
        <w:bidi w:val="0"/>
        <w:spacing w:lineRule="auto" w:line="288" w:before="0" w:after="180"/>
        <w:ind w:left="0" w:right="0" w:firstLine="36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As of the filing of this Annual Report on Form 10-K, we expect our current cash, cash equivalents, and short-term investments will be sufficient to fund our operating expenses and capital expenditures for at least the next 12 months. We continue to face challenges and uncertainties and, as a result, our available capital resources may be consumed more rapidly than currently expected due to: delays in execution of our development plans; the scope and timing of our investment in our sales, marketing, and distribution capabilities; changes we may make to the business that affect ongoing operating expenses; the costs of filing, prosecuting, defending and enforcing any patent claims and other intellectual property rights; changes we may make in our business or commercialization strategy; changes we may make in our research and development spending plans; our need to implement additional infrastructure and internal systems; the impact of global and national conflicts or other disruptions; and other items affecting our forecasted level of expenditures and use of cash resources including potential acquisitions.</w:t>
      </w:r>
    </w:p>
    <w:p>
      <w:pPr>
        <w:pStyle w:val="TextBody"/>
        <w:bidi w:val="0"/>
        <w:spacing w:lineRule="auto" w:line="288" w:before="0" w:after="180"/>
        <w:ind w:left="0" w:right="0" w:firstLine="36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Until such time as we can generate significant revenue from commercialization of our products, if ever, we will continue to require substantial additional capital to develop our Nautilus platform and fund operations for the foreseeable future. We intend to obtain such capital through public or private equity offerings or debt financings (including potential sales under the Sales Agreement), credit or loan facilities or a combination of one or more of these funding sources. We may also seek additional financing opportunistically. We may be unable to raise additional funds on favorable terms or at all. Our ability to raise additional funds may be adversely impacted by potential worsening global economic conditions and the recent disruptions to, and volatility in, the credit and financial markets in the United States and worldwide resulting from the COVID</w:t>
        <w:noBreakHyphen/>
        <w:t>19 pandemic, recent and any potential future financial institution failures, the conflicts in Eastern Europe, the Middle East and in other countries, and otherwise. Our failure to raise additional capital, if needed, would have a negative impact on our financial condition and our ability to execute our business plan.</w:t>
      </w:r>
    </w:p>
    <w:p>
      <w:pPr>
        <w:pStyle w:val="TextBody"/>
        <w:bidi w:val="0"/>
        <w:spacing w:lineRule="auto" w:line="288" w:before="0" w:after="180"/>
        <w:ind w:left="0" w:right="0" w:firstLine="36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Our expected future capital requirements depend on many factors including expansion of our product portfolio and the timing and extent of spending on sales and marketing and the development of our technology. If we raise additional funds by issuing equity securities, including any issuances pursuant to our “at the market” equity offering program under our Sales Agreement with TD Cowen, our stockholders will experience dilution. Any future debt financing into which we enter may impose upon us additional covenants that restrict our operations, including limitations on our ability to incur liens or additional debt, pay dividends, repurchase our common stock, make certain investments and engage in certain merger, consolidation or asset sale transactions. Any debt financing or additional equity that we raise may contain terms that are not favorable to us or our stockholders.</w:t>
      </w:r>
    </w:p>
    <w:p>
      <w:pPr>
        <w:pStyle w:val="TextBody"/>
        <w:bidi w:val="0"/>
        <w:spacing w:lineRule="auto" w:line="288" w:before="0" w:after="180"/>
        <w:ind w:left="0" w:right="0" w:firstLine="360"/>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Historical Cash Flows</w:t>
      </w:r>
    </w:p>
    <w:p>
      <w:pPr>
        <w:pStyle w:val="TextBody"/>
        <w:bidi w:val="0"/>
        <w:spacing w:lineRule="auto" w:line="288" w:before="0" w:after="180"/>
        <w:ind w:left="0" w:right="0" w:firstLine="360"/>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For the Fiscal Years Ended December 31, 2024 and 2023</w:t>
      </w:r>
    </w:p>
    <w:p>
      <w:pPr>
        <w:pStyle w:val="TextBody"/>
        <w:bidi w:val="0"/>
        <w:spacing w:lineRule="auto" w:line="288" w:before="0" w:after="180"/>
        <w:ind w:left="0" w:right="0" w:firstLine="36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following table summarizes our cash flows for the periods indicated:</w:t>
      </w:r>
    </w:p>
    <w:tbl>
      <w:tblPr>
        <w:tblW w:w="8387" w:type="dxa"/>
        <w:jc w:val="left"/>
        <w:tblInd w:w="0" w:type="dxa"/>
        <w:tblLayout w:type="fixed"/>
        <w:tblCellMar>
          <w:top w:w="28" w:type="dxa"/>
          <w:left w:w="28" w:type="dxa"/>
          <w:bottom w:w="28" w:type="dxa"/>
          <w:right w:w="28" w:type="dxa"/>
        </w:tblCellMar>
      </w:tblPr>
      <w:tblGrid>
        <w:gridCol w:w="2013"/>
        <w:gridCol w:w="1772"/>
        <w:gridCol w:w="1780"/>
        <w:gridCol w:w="211"/>
        <w:gridCol w:w="796"/>
        <w:gridCol w:w="109"/>
        <w:gridCol w:w="109"/>
        <w:gridCol w:w="109"/>
        <w:gridCol w:w="109"/>
        <w:gridCol w:w="211"/>
        <w:gridCol w:w="796"/>
        <w:gridCol w:w="109"/>
        <w:gridCol w:w="109"/>
        <w:gridCol w:w="154"/>
      </w:tblGrid>
      <w:tr>
        <w:trPr/>
        <w:tc>
          <w:tcPr>
            <w:tcW w:w="2013" w:type="dxa"/>
            <w:tcBorders/>
            <w:vAlign w:val="center"/>
          </w:tcPr>
          <w:p>
            <w:pPr>
              <w:pStyle w:val="TableContents"/>
              <w:bidi w:val="0"/>
              <w:spacing w:before="0" w:after="283"/>
              <w:jc w:val="left"/>
              <w:rPr>
                <w:sz w:val="4"/>
                <w:szCs w:val="4"/>
              </w:rPr>
            </w:pPr>
            <w:r>
              <w:rPr>
                <w:sz w:val="4"/>
                <w:szCs w:val="4"/>
              </w:rPr>
            </w:r>
          </w:p>
        </w:tc>
        <w:tc>
          <w:tcPr>
            <w:tcW w:w="1772" w:type="dxa"/>
            <w:tcBorders/>
            <w:vAlign w:val="center"/>
          </w:tcPr>
          <w:p>
            <w:pPr>
              <w:pStyle w:val="TableContents"/>
              <w:bidi w:val="0"/>
              <w:spacing w:before="0" w:after="283"/>
              <w:jc w:val="left"/>
              <w:rPr>
                <w:sz w:val="4"/>
                <w:szCs w:val="4"/>
              </w:rPr>
            </w:pPr>
            <w:r>
              <w:rPr>
                <w:sz w:val="4"/>
                <w:szCs w:val="4"/>
              </w:rPr>
            </w:r>
          </w:p>
        </w:tc>
        <w:tc>
          <w:tcPr>
            <w:tcW w:w="178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c>
          <w:tcPr>
            <w:tcW w:w="263" w:type="dxa"/>
            <w:gridSpan w:val="2"/>
            <w:tcBorders/>
          </w:tcPr>
          <w:p>
            <w:pPr>
              <w:pStyle w:val="TableContents"/>
              <w:bidi w:val="0"/>
              <w:spacing w:before="0" w:after="283"/>
              <w:jc w:val="left"/>
              <w:rPr>
                <w:sz w:val="4"/>
                <w:szCs w:val="4"/>
              </w:rPr>
            </w:pPr>
            <w:r>
              <w:rPr>
                <w:sz w:val="4"/>
                <w:szCs w:val="4"/>
              </w:rPr>
            </w:r>
          </w:p>
        </w:tc>
      </w:tr>
      <w:tr>
        <w:trPr/>
        <w:tc>
          <w:tcPr>
            <w:tcW w:w="55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263" w:type="dxa"/>
            <w:gridSpan w:val="2"/>
            <w:tcBorders/>
          </w:tcPr>
          <w:p>
            <w:pPr>
              <w:pStyle w:val="TableContents"/>
              <w:bidi w:val="0"/>
              <w:spacing w:before="0" w:after="283"/>
              <w:jc w:val="left"/>
              <w:rPr>
                <w:sz w:val="4"/>
                <w:szCs w:val="4"/>
              </w:rPr>
            </w:pPr>
            <w:r>
              <w:rPr>
                <w:sz w:val="4"/>
                <w:szCs w:val="4"/>
              </w:rPr>
            </w:r>
          </w:p>
        </w:tc>
      </w:tr>
      <w:tr>
        <w:trPr/>
        <w:tc>
          <w:tcPr>
            <w:tcW w:w="5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operating activities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(59,145)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(51,711)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(used) by investing activities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66,250 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(43,735)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financing activities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increase (decrease) in cash, cash equivalents and restricted cash</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8,249 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(95,078)</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Operating Activities</w:t>
      </w:r>
    </w:p>
    <w:p>
      <w:pPr>
        <w:pStyle w:val="TextBody"/>
        <w:bidi w:val="0"/>
        <w:spacing w:lineRule="auto" w:line="288" w:before="0" w:after="180"/>
        <w:ind w:left="0" w:right="0" w:firstLine="36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During the year ended December 31, 2024, net cash used in operating activities was $59.1 million, primarily resulting from our net loss of $70.8 million and a decrease in the net changes in assets and liabilities aggregating $5.5 million. The net loss and decrease in net changes in assets and liabilities was partially offset by $17.1 million of non-cash expenses. The non-cash expenses included $12.7 million of stock-based compensation, $4.4 million amortization of operating lease right-of-use assets, $2.0 million in depreciation, and $0.8 million in non-cash adjustments related to in-process research and development, partially offset by $2.8 million in accretion of discounts of investments. </w:t>
      </w:r>
    </w:p>
    <w:p>
      <w:pPr>
        <w:pStyle w:val="TextBody"/>
        <w:bidi w:val="0"/>
        <w:spacing w:lineRule="auto" w:line="288" w:before="0" w:after="180"/>
        <w:ind w:left="0" w:right="0" w:firstLine="36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During the year ended December 31, 2023, net cash used in operating activities was $51.7 million, primarily resulting from our net loss of $63.7 million and a decrease in the changes in assets and liabilities aggregating $3.2 million. The net loss and decrease in net changes in assets and liabilities was partially offset by $15.2 million of non-cash expenses. The non-cash expenses included $12.1 million of stock-based compensation, $3.9 million of amortization of operating lease right-of-use assets, $1.8 million of depreciation, partially offset by $2.7 million of accretion of discounts of investments.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31445"/>
                <wp:effectExtent l="0" t="0" r="0" b="0"/>
                <wp:wrapNone/>
                <wp:docPr id="99" name="Frame81"/>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81</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ind w:left="0" w:right="0" w:firstLine="360"/>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Investing Activities</w:t>
      </w:r>
    </w:p>
    <w:p>
      <w:pPr>
        <w:pStyle w:val="TextBody"/>
        <w:bidi w:val="0"/>
        <w:spacing w:lineRule="auto" w:line="288" w:before="0" w:after="180"/>
        <w:ind w:left="0" w:right="0" w:firstLine="36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During the year ended December 31, 2024, net cash provided by investing activities was $66.3 million, resulting from $155.4 million in proceeds from the maturities of securities, partially offset by $86.3 million in purchases of securities, $2.1 million in purchases of property and equipment, and 0.8 million in cash paid in connection with an asset acquisition.</w:t>
      </w:r>
    </w:p>
    <w:p>
      <w:pPr>
        <w:pStyle w:val="TextBody"/>
        <w:bidi w:val="0"/>
        <w:spacing w:lineRule="auto" w:line="288" w:before="0" w:after="180"/>
        <w:ind w:left="0" w:right="0" w:firstLine="36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During the year ended December 31, 2023, net cash used in investing activities was $43.7 million, resulting from $112.9 million in purchases of securities and $2.4 million in purchases of property and equipment, partially offset by $71.6 million in proceeds from the maturities of securities.</w:t>
      </w:r>
    </w:p>
    <w:p>
      <w:pPr>
        <w:pStyle w:val="TextBody"/>
        <w:bidi w:val="0"/>
        <w:spacing w:lineRule="auto" w:line="288" w:before="0" w:after="180"/>
        <w:ind w:left="0" w:right="0" w:firstLine="360"/>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Financing Activities</w:t>
      </w:r>
    </w:p>
    <w:p>
      <w:pPr>
        <w:pStyle w:val="TextBody"/>
        <w:bidi w:val="0"/>
        <w:spacing w:lineRule="auto" w:line="288" w:before="0" w:after="180"/>
        <w:ind w:left="0" w:right="0" w:firstLine="36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During the year ended December 31, 2024, net cash provided by financing activities was $1.1 million, primarily from proceeds from the exercise of stock options and issuance of common stock under the employee stock purchase plan.</w:t>
      </w:r>
    </w:p>
    <w:p>
      <w:pPr>
        <w:pStyle w:val="TextBody"/>
        <w:bidi w:val="0"/>
        <w:spacing w:lineRule="auto" w:line="288" w:before="0" w:after="180"/>
        <w:ind w:left="0" w:right="0" w:firstLine="36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During the year ended December 31, 2023, net cash provided by financing activities was $0.4 million, primarily from proceeds from the exercise of stock options and issuance of common stock under the employee stock purchase plan.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Contractual Obligations and Commitments</w:t>
      </w:r>
    </w:p>
    <w:p>
      <w:pPr>
        <w:pStyle w:val="TextBody"/>
        <w:bidi w:val="0"/>
        <w:spacing w:lineRule="auto" w:line="288" w:before="0" w:after="180"/>
        <w:ind w:left="0" w:right="0" w:firstLine="36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For a discussion of our contractual obligations and commitments, refer to Part II, Item 8, Note 8, “Commitments and Contingencies” in our notes to the consolidated financial statements in this Annual Report on Form 10-K.</w:t>
      </w:r>
    </w:p>
    <w:p>
      <w:pPr>
        <w:pStyle w:val="TextBody"/>
        <w:bidi w:val="0"/>
        <w:spacing w:before="0" w:after="0"/>
        <w:jc w:val="center"/>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Critical Accounting Policies and Estimates</w:t>
      </w:r>
    </w:p>
    <w:p>
      <w:pPr>
        <w:pStyle w:val="TextBody"/>
        <w:bidi w:val="0"/>
        <w:spacing w:lineRule="auto" w:line="288" w:before="0" w:after="180"/>
        <w:ind w:left="0" w:right="0" w:firstLine="36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Our discussion and analysis of our financial condition and results of operations are based upon our financial statements included in Part II, Item 8 of this Annual Report on Form 10-K. The preparation of our financial statements in accordance with GAAP requires us to make estimates and assumptions that affect the reported amounts of assets, liabilities, and expenses. </w:t>
      </w:r>
    </w:p>
    <w:p>
      <w:pPr>
        <w:pStyle w:val="TextBody"/>
        <w:bidi w:val="0"/>
        <w:spacing w:lineRule="auto" w:line="288" w:before="0" w:after="180"/>
        <w:ind w:left="0" w:right="0" w:firstLine="36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base our estimates on past experience and other assumptions that we believe are reasonable under the circumstances, and we evaluate these estimates on an ongoing basis. Actual results may differ from those estimates.</w:t>
      </w:r>
    </w:p>
    <w:p>
      <w:pPr>
        <w:pStyle w:val="TextBody"/>
        <w:bidi w:val="0"/>
        <w:spacing w:lineRule="auto" w:line="288" w:before="0" w:after="180"/>
        <w:ind w:left="0" w:right="0" w:firstLine="36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Our critical accounting policies are those that materially affect our financial statements and involve difficult, subjective or complex judgments by management. A thorough understanding of these critical accounting policies is essential when reviewing our financial statements. We believe that the critical accounting policies listed below are the most difficult management decisions as they involve the use of significant estimates and assumptions as described above.</w:t>
      </w:r>
    </w:p>
    <w:p>
      <w:pPr>
        <w:pStyle w:val="TextBody"/>
        <w:bidi w:val="0"/>
        <w:spacing w:lineRule="auto" w:line="288" w:before="0" w:after="180"/>
        <w:ind w:left="0" w:right="0" w:firstLine="360"/>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Research and Development</w:t>
      </w:r>
    </w:p>
    <w:p>
      <w:pPr>
        <w:pStyle w:val="TextBody"/>
        <w:bidi w:val="0"/>
        <w:spacing w:lineRule="auto" w:line="288" w:before="0" w:after="180"/>
        <w:ind w:left="0" w:right="0" w:firstLine="36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Costs for research and development activities are expensed in the period in which they are incurred. Research and development expenses consist of costs incurred in performing research and development activities, including salaries, bonuses, stock-based compensation, employee benefits for product development personnel, laboratory supplies and equipment, depreciation and amortization, external costs of vendors engaged to conduct research and development activities, acquired in-process research and development, and allocated expenses for technology and facilities.</w:t>
      </w:r>
    </w:p>
    <w:p>
      <w:pPr>
        <w:pStyle w:val="TextBody"/>
        <w:bidi w:val="0"/>
        <w:spacing w:lineRule="auto" w:line="288" w:before="0" w:after="180"/>
        <w:ind w:left="0" w:right="0" w:firstLine="36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As part of the process of preparing our financial statements, we estimate our accrued expenses. This process involves reviewing quotations and contracts, identifying services that have been performed on our behalf and estimating the level of services performed and the associated cost incurred for services for which we have not yet been invoiced or otherwise notified of the actual cost. The majority of our service providers invoice monthly in arrears for services performed or when contractual milestones are met. We make estimates of our accrued expenses at the end of each reporting period based on the facts and circumstances known to us at that time. The significant estimates in our accrued research and development expenses relate to expenses incurred with respect to academic research centers and other vendors in connection with research and development activities for which we have not yet been invoiced.</w:t>
      </w:r>
    </w:p>
    <w:p>
      <w:pPr>
        <w:pStyle w:val="TextBody"/>
        <w:bidi w:val="0"/>
        <w:spacing w:lineRule="auto" w:line="288" w:before="0" w:after="180"/>
        <w:ind w:left="0" w:right="0" w:firstLine="360"/>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 xml:space="preserve">Stock Based Compensation </w:t>
      </w:r>
    </w:p>
    <w:p>
      <w:pPr>
        <w:pStyle w:val="TextBody"/>
        <w:bidi w:val="0"/>
        <w:spacing w:lineRule="auto" w:line="288" w:before="0" w:after="180"/>
        <w:ind w:left="0" w:right="0" w:firstLine="36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maintain a stock-based compensation plan as a long-term incentive for employees, non-employee directors and consultants. The plan allows for the issuance of incentive stock options, non-qualified stock options, restricted stock units, and other forms of equity awards. Our stock-based compensation programs include shares issued under our 2021 Equity Incentive Plan and 2021 Employee Stock Purchase Plan.</w:t>
      </w:r>
    </w:p>
    <w:p>
      <w:pPr>
        <w:pStyle w:val="TextBody"/>
        <w:bidi w:val="0"/>
        <w:spacing w:lineRule="auto" w:line="288" w:before="0" w:after="180"/>
        <w:ind w:left="0" w:right="0" w:firstLine="36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We recognize stock-based compensation expense for stock options on a straight-line basis over the requisite service period and account for forfeitures as they occur. Our stock-based compensation costs are based upon the grant date fair value of options estimated using the Black-Scholes option pricing model. To the extent any stock option grants are made subject to the achievement of 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31445"/>
                <wp:effectExtent l="0" t="0" r="0" b="0"/>
                <wp:wrapNone/>
                <wp:docPr id="100" name="Frame8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82</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performance-based milestone, management evaluates when the achievement of any such performance-based milestone is probable based on the relative satisfaction of the performance conditions as of the reporting date.</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Black-Scholes option pricing model utilizes inputs which are highly subjective assumptions and generally require significant judgment. These assumptions include:</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i/>
          <w:color w:val="000000"/>
          <w:sz w:val="20"/>
        </w:rPr>
        <w:t>Risk-Free Interest Rate.</w:t>
      </w:r>
      <w:r>
        <w:rPr>
          <w:color w:val="000000"/>
        </w:rPr>
        <w:t xml:space="preserve"> </w:t>
      </w:r>
      <w:r>
        <w:rPr>
          <w:rFonts w:ascii="Times New Roman;sans-serif" w:hAnsi="Times New Roman;sans-serif"/>
          <w:b w:val="false"/>
          <w:color w:val="000000"/>
          <w:sz w:val="20"/>
        </w:rPr>
        <w:t>The risk-free interest rate is based on the U.S. Treasury yield curve in effect at the time of grant for zero-coupon U.S. Treasury notes with maturities corresponding to the expected term of the awards.</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i/>
          <w:color w:val="000000"/>
          <w:sz w:val="20"/>
        </w:rPr>
        <w:t>Expected Volatility.</w:t>
      </w:r>
      <w:r>
        <w:rPr>
          <w:color w:val="000000"/>
        </w:rPr>
        <w:t xml:space="preserve"> </w:t>
      </w:r>
      <w:r>
        <w:rPr>
          <w:rFonts w:ascii="Times New Roman;sans-serif" w:hAnsi="Times New Roman;sans-serif"/>
          <w:b w:val="false"/>
          <w:color w:val="000000"/>
          <w:sz w:val="20"/>
        </w:rPr>
        <w:t>Historically, we have been a private company and lacked company-specific historical and implied volatility information for our common stock. Therefore, the expected volatility of our common stock was determined by using an average of historical volatilities of selected industry peers deemed to be comparable to our business corresponding to the expected term of the awards and we expect to continue to do so until such time we have adequate historical data regarding the volatility of our traded common stock price.</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i/>
          <w:color w:val="000000"/>
          <w:sz w:val="20"/>
        </w:rPr>
        <w:t>Expected Term.</w:t>
      </w:r>
      <w:r>
        <w:rPr>
          <w:color w:val="000000"/>
        </w:rPr>
        <w:t xml:space="preserve"> </w:t>
      </w:r>
      <w:r>
        <w:rPr>
          <w:rFonts w:ascii="Times New Roman;sans-serif" w:hAnsi="Times New Roman;sans-serif"/>
          <w:b w:val="false"/>
          <w:color w:val="000000"/>
          <w:sz w:val="20"/>
        </w:rPr>
        <w:t>The expected term of stock options represents the weighted-average period that the stock options are expected to remain outstanding. We do not have sufficient historical exercise and post-vesting termination activity to provide accurate data for estimating the expected term of options and have opted to use the “simplified method,” whereby the expected term equals the arithmetic average of the vesting term and the original contractual term of the option.</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i/>
          <w:color w:val="000000"/>
          <w:sz w:val="20"/>
        </w:rPr>
        <w:t>Expected Dividend Yield</w:t>
      </w:r>
      <w:r>
        <w:rPr>
          <w:rFonts w:ascii="Times New Roman;sans-serif" w:hAnsi="Times New Roman;sans-serif"/>
          <w:b w:val="false"/>
          <w:color w:val="000000"/>
          <w:sz w:val="20"/>
        </w:rPr>
        <w:t>. The expected dividend rate is zero as we have no history or expectation of declaring dividends on our common stock.</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Certain assumptions we used in applying the Black-Scholes option pricing model to determine the estimated fair value of our stock options involve inherent uncertainties and the application of significant judgment. As a result, if factors or expected outcomes change and we use significantly different assumptions or estimates, our stock-based compensation could be materially different.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 xml:space="preserve">Recent Accounting Pronouncements </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For a description of recent accounting pronouncements, including the expected dates of adoption and estimated effects, if any, on our consolidated financial statements, see Part II, Item 8, Note 2, “Significant Accounting Policies” in our notes to the consolidated financial statements in this Annual Report on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Emerging Growth Company Accounting Election</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Jumpstart Our Business Startups Act of 2012, or the JOBS Act, permits an “emerging growth company” such as us to take advantage of an extended transition period to comply with new or revised accounting standards applicable to public companies until those standards would otherwise apply to private companies. We have elected to use this extended transition period under the JOBS Act until the earlier of the date we (i) are no longer an emerging growth company or (ii) affirmatively and irrevocably opt out of the extended transition period provided in the JOBS Act. As a result, our financial statements may not be comparable to the financial statements of issuers who are required to comply with the effective dates for new or revised accounting standards that are applicable to public companies, which may make comparison of our financials to those of other public companies more difficult.</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will cease to be an emerging growth company on the date that is the earliest of (i) the last day of the fiscal year in which we have total annual gross revenue of $1.235 billion or more, (ii) the last day of our fiscal year following the fifth anniversary of the date of the closing of ARYA’s initial public offering, (iii) the date on which we have issued more than $1.0 billion in nonconvertible debt during the previous three years or (iv) the date on which we are deemed to be a large accelerated filer under the rules of the Securities and Exchange Commission.</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Further, even after we no longer qualify as an emerging growth company, we may still qualify as a “smaller reporting company,” which would allow us to take advantage of many of the same exemptions from disclosure requirements, including reduced disclosure obligations regarding executive compensation in our periodic reports and proxy statements. We cannot predict if investors will find our common shares less attractive because we may rely on these exemptions. If some investors find our common shares less attractive as a result, there may be a less active trading market for our common shares and our share price may be more volatile.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Item 7A. Quantitative and Qualitative Disclosures About Market Risk</w:t>
      </w:r>
    </w:p>
    <w:p>
      <w:pPr>
        <w:pStyle w:val="TextBody"/>
        <w:bidi w:val="0"/>
        <w:spacing w:lineRule="auto" w:line="288"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Interest Rate Risk</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had cash, cash equivalents and investments of $206.3 million as of December 31, 2024. The primary goals of our investment policy are liquidity and capital preservation. We do not enter into investments for trading or speculative purposes. The carrying amount of our cash equivalents reasonably approximates fair value, due to the short maturities of these instruments. Our investments are exposed to market risk due to a fluctuation in interest rates, which may affect the fair market value of our investments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31445"/>
                <wp:effectExtent l="0" t="0" r="0" b="0"/>
                <wp:wrapNone/>
                <wp:docPr id="101" name="Frame8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83</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marketable securities. As of December 31, 2024, the effect of a hypothetical 1.00% (100 basis point) change in interest rates would have changed the fair value of our marketable securities by $1.6 million. Such change would only be realized if we sold the marketable securities prior to maturity. </w:t>
      </w:r>
    </w:p>
    <w:p>
      <w:pPr>
        <w:pStyle w:val="TextBody"/>
        <w:bidi w:val="0"/>
        <w:spacing w:lineRule="auto" w:line="288"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Inflation Risk</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Inflation generally affects us by increasing our cost of labor and goods and services. We believe that inflation has had some effect on our financial results during the periods presented. If we experience continued or future inflationary pressure, it may impact the costs of our operations as well as the costs to manufacture, sell and distribute our products and provide our services in the future. We may not be able to fully offset those increased costs through reduced spending or price increases to our products and services.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31445"/>
                <wp:effectExtent l="0" t="0" r="0" b="0"/>
                <wp:wrapNone/>
                <wp:docPr id="102" name="Frame8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84</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Item 8. Financial Statements and Supplementary Data</w:t>
      </w:r>
    </w:p>
    <w:p>
      <w:pPr>
        <w:pStyle w:val="TextBody"/>
        <w:bidi w:val="0"/>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INDEX TO CONSOLIDATED FINANCIAL STATEMENTS</w:t>
      </w:r>
    </w:p>
    <w:tbl>
      <w:tblPr>
        <w:tblW w:w="6656" w:type="dxa"/>
        <w:jc w:val="left"/>
        <w:tblInd w:w="0" w:type="dxa"/>
        <w:tblLayout w:type="fixed"/>
        <w:tblCellMar>
          <w:top w:w="28" w:type="dxa"/>
          <w:left w:w="28" w:type="dxa"/>
          <w:bottom w:w="28" w:type="dxa"/>
          <w:right w:w="28" w:type="dxa"/>
        </w:tblCellMar>
      </w:tblPr>
      <w:tblGrid>
        <w:gridCol w:w="2275"/>
        <w:gridCol w:w="1999"/>
        <w:gridCol w:w="2010"/>
        <w:gridCol w:w="109"/>
        <w:gridCol w:w="109"/>
        <w:gridCol w:w="154"/>
      </w:tblGrid>
      <w:tr>
        <w:trPr/>
        <w:tc>
          <w:tcPr>
            <w:tcW w:w="2275" w:type="dxa"/>
            <w:tcBorders/>
            <w:vAlign w:val="center"/>
          </w:tcPr>
          <w:p>
            <w:pPr>
              <w:pStyle w:val="TableContents"/>
              <w:bidi w:val="0"/>
              <w:spacing w:before="0" w:after="283"/>
              <w:jc w:val="left"/>
              <w:rPr>
                <w:sz w:val="4"/>
                <w:szCs w:val="4"/>
              </w:rPr>
            </w:pPr>
            <w:r>
              <w:rPr>
                <w:sz w:val="4"/>
                <w:szCs w:val="4"/>
              </w:rPr>
            </w:r>
          </w:p>
        </w:tc>
        <w:tc>
          <w:tcPr>
            <w:tcW w:w="1999" w:type="dxa"/>
            <w:tcBorders/>
            <w:vAlign w:val="center"/>
          </w:tcPr>
          <w:p>
            <w:pPr>
              <w:pStyle w:val="TableContents"/>
              <w:bidi w:val="0"/>
              <w:spacing w:before="0" w:after="283"/>
              <w:jc w:val="left"/>
              <w:rPr>
                <w:sz w:val="4"/>
                <w:szCs w:val="4"/>
              </w:rPr>
            </w:pPr>
            <w:r>
              <w:rPr>
                <w:sz w:val="4"/>
                <w:szCs w:val="4"/>
              </w:rPr>
            </w:r>
          </w:p>
        </w:tc>
        <w:tc>
          <w:tcPr>
            <w:tcW w:w="20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56" w:type="dxa"/>
            <w:gridSpan w:val="6"/>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Page</w:t>
            </w:r>
          </w:p>
        </w:tc>
      </w:tr>
      <w:tr>
        <w:trPr/>
        <w:tc>
          <w:tcPr>
            <w:tcW w:w="62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4a7eeb1027e45c6b432da5f97d4d4b2_79">
              <w:r>
                <w:rPr>
                  <w:rStyle w:val="InternetLink"/>
                  <w:rFonts w:ascii="Times New Roman;sans-serif" w:hAnsi="Times New Roman;sans-serif"/>
                  <w:b w:val="false"/>
                  <w:color w:val="0000FF"/>
                  <w:sz w:val="20"/>
                  <w:u w:val="single"/>
                </w:rPr>
                <w:t>Report of Independent Registered Public Accounting Firm (PCAOB ID</w:t>
              </w:r>
            </w:hyperlink>
            <w:hyperlink w:anchor="ib4a7eeb1027e45c6b432da5f97d4d4b2_79">
              <w:r>
                <w:rPr>
                  <w:rStyle w:val="InternetLink"/>
                  <w:color w:val="3051F2"/>
                  <w:u w:val="single"/>
                </w:rPr>
                <w:t xml:space="preserve"> </w:t>
              </w:r>
            </w:hyperlink>
            <w:r>
              <w:rPr>
                <w:rFonts w:ascii="Times New Roman;sans-serif" w:hAnsi="Times New Roman;sans-serif"/>
                <w:b w:val="false"/>
                <w:color w:val="0E32E1"/>
                <w:sz w:val="20"/>
                <w:u w:val="single"/>
              </w:rPr>
              <w:t>238</w:t>
            </w:r>
            <w:r>
              <w:rPr>
                <w:rFonts w:ascii="Times New Roman;sans-serif" w:hAnsi="Times New Roman;sans-serif"/>
                <w:b w:val="false"/>
                <w:color w:val="3051F2"/>
                <w:sz w:val="20"/>
                <w:u w:val="single"/>
              </w:rPr>
              <w:t>)</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4a7eeb1027e45c6b432da5f97d4d4b2_79">
              <w:r>
                <w:rPr>
                  <w:rStyle w:val="InternetLink"/>
                  <w:rFonts w:ascii="Times New Roman;sans-serif" w:hAnsi="Times New Roman;sans-serif"/>
                  <w:b w:val="false"/>
                  <w:color w:val="0000FF"/>
                  <w:sz w:val="20"/>
                  <w:u w:val="single"/>
                </w:rPr>
                <w:t>86</w:t>
              </w:r>
            </w:hyperlink>
          </w:p>
        </w:tc>
      </w:tr>
      <w:tr>
        <w:trPr/>
        <w:tc>
          <w:tcPr>
            <w:tcW w:w="62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4a7eeb1027e45c6b432da5f97d4d4b2_82">
              <w:r>
                <w:rPr>
                  <w:rStyle w:val="InternetLink"/>
                  <w:rFonts w:ascii="Times New Roman;sans-serif" w:hAnsi="Times New Roman;sans-serif"/>
                  <w:b w:val="false"/>
                  <w:color w:val="0000FF"/>
                  <w:sz w:val="20"/>
                  <w:u w:val="single"/>
                </w:rPr>
                <w:t>Consolidated Balance Sheets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4a7eeb1027e45c6b432da5f97d4d4b2_82">
              <w:r>
                <w:rPr>
                  <w:rStyle w:val="InternetLink"/>
                  <w:rFonts w:ascii="Times New Roman;sans-serif" w:hAnsi="Times New Roman;sans-serif"/>
                  <w:b w:val="false"/>
                  <w:color w:val="0000FF"/>
                  <w:sz w:val="20"/>
                  <w:u w:val="single"/>
                </w:rPr>
                <w:t>87</w:t>
              </w:r>
            </w:hyperlink>
          </w:p>
        </w:tc>
      </w:tr>
      <w:tr>
        <w:trPr/>
        <w:tc>
          <w:tcPr>
            <w:tcW w:w="62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4a7eeb1027e45c6b432da5f97d4d4b2_88">
              <w:r>
                <w:rPr>
                  <w:rStyle w:val="InternetLink"/>
                  <w:rFonts w:ascii="Times New Roman;sans-serif" w:hAnsi="Times New Roman;sans-serif"/>
                  <w:b w:val="false"/>
                  <w:color w:val="0000FF"/>
                  <w:sz w:val="20"/>
                  <w:u w:val="single"/>
                </w:rPr>
                <w:t>Consolidated Statements of Operations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4a7eeb1027e45c6b432da5f97d4d4b2_88">
              <w:r>
                <w:rPr>
                  <w:rStyle w:val="InternetLink"/>
                  <w:rFonts w:ascii="Times New Roman;sans-serif" w:hAnsi="Times New Roman;sans-serif"/>
                  <w:b w:val="false"/>
                  <w:color w:val="0000FF"/>
                  <w:sz w:val="20"/>
                  <w:u w:val="single"/>
                </w:rPr>
                <w:t>88</w:t>
              </w:r>
            </w:hyperlink>
          </w:p>
        </w:tc>
      </w:tr>
      <w:tr>
        <w:trPr/>
        <w:tc>
          <w:tcPr>
            <w:tcW w:w="62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4a7eeb1027e45c6b432da5f97d4d4b2_91">
              <w:r>
                <w:rPr>
                  <w:rStyle w:val="InternetLink"/>
                  <w:rFonts w:ascii="Times New Roman;sans-serif" w:hAnsi="Times New Roman;sans-serif"/>
                  <w:b w:val="false"/>
                  <w:color w:val="0000FF"/>
                  <w:sz w:val="20"/>
                  <w:u w:val="single"/>
                </w:rPr>
                <w:t>Consolidated Statements of Comprehensive Loss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4a7eeb1027e45c6b432da5f97d4d4b2_91">
              <w:r>
                <w:rPr>
                  <w:rStyle w:val="InternetLink"/>
                  <w:rFonts w:ascii="Times New Roman;sans-serif" w:hAnsi="Times New Roman;sans-serif"/>
                  <w:b w:val="false"/>
                  <w:color w:val="0000FF"/>
                  <w:sz w:val="20"/>
                  <w:u w:val="single"/>
                </w:rPr>
                <w:t>89</w:t>
              </w:r>
            </w:hyperlink>
          </w:p>
        </w:tc>
      </w:tr>
      <w:tr>
        <w:trPr/>
        <w:tc>
          <w:tcPr>
            <w:tcW w:w="62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4a7eeb1027e45c6b432da5f97d4d4b2_94">
              <w:r>
                <w:rPr>
                  <w:rStyle w:val="InternetLink"/>
                  <w:rFonts w:ascii="Times New Roman;sans-serif" w:hAnsi="Times New Roman;sans-serif"/>
                  <w:b w:val="false"/>
                  <w:color w:val="0000FF"/>
                  <w:sz w:val="20"/>
                  <w:u w:val="single"/>
                </w:rPr>
                <w:t>Consolidated Statements of Stockholders’ Equity</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4a7eeb1027e45c6b432da5f97d4d4b2_94">
              <w:r>
                <w:rPr>
                  <w:rStyle w:val="InternetLink"/>
                  <w:rFonts w:ascii="Times New Roman;sans-serif" w:hAnsi="Times New Roman;sans-serif"/>
                  <w:b w:val="false"/>
                  <w:color w:val="0000FF"/>
                  <w:sz w:val="20"/>
                  <w:u w:val="single"/>
                </w:rPr>
                <w:t>90</w:t>
              </w:r>
            </w:hyperlink>
          </w:p>
        </w:tc>
      </w:tr>
      <w:tr>
        <w:trPr/>
        <w:tc>
          <w:tcPr>
            <w:tcW w:w="62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4a7eeb1027e45c6b432da5f97d4d4b2_97">
              <w:r>
                <w:rPr>
                  <w:rStyle w:val="InternetLink"/>
                  <w:rFonts w:ascii="Times New Roman;sans-serif" w:hAnsi="Times New Roman;sans-serif"/>
                  <w:b w:val="false"/>
                  <w:color w:val="0000FF"/>
                  <w:sz w:val="20"/>
                  <w:u w:val="single"/>
                </w:rPr>
                <w:t>Consolidated Statements of Cash Flows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4a7eeb1027e45c6b432da5f97d4d4b2_97">
              <w:r>
                <w:rPr>
                  <w:rStyle w:val="InternetLink"/>
                  <w:rFonts w:ascii="Times New Roman;sans-serif" w:hAnsi="Times New Roman;sans-serif"/>
                  <w:b w:val="false"/>
                  <w:color w:val="0000FF"/>
                  <w:sz w:val="20"/>
                  <w:u w:val="single"/>
                </w:rPr>
                <w:t>91</w:t>
              </w:r>
            </w:hyperlink>
          </w:p>
        </w:tc>
      </w:tr>
      <w:tr>
        <w:trPr/>
        <w:tc>
          <w:tcPr>
            <w:tcW w:w="62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4a7eeb1027e45c6b432da5f97d4d4b2_100">
              <w:r>
                <w:rPr>
                  <w:rStyle w:val="InternetLink"/>
                  <w:rFonts w:ascii="Times New Roman;sans-serif" w:hAnsi="Times New Roman;sans-serif"/>
                  <w:b w:val="false"/>
                  <w:color w:val="0000FF"/>
                  <w:sz w:val="20"/>
                  <w:u w:val="single"/>
                </w:rPr>
                <w:t>Notes to Consolidated Financial Statements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4a7eeb1027e45c6b432da5f97d4d4b2_100">
              <w:r>
                <w:rPr>
                  <w:rStyle w:val="InternetLink"/>
                  <w:rFonts w:ascii="Times New Roman;sans-serif" w:hAnsi="Times New Roman;sans-serif"/>
                  <w:b w:val="false"/>
                  <w:color w:val="0000FF"/>
                  <w:sz w:val="20"/>
                  <w:u w:val="single"/>
                </w:rPr>
                <w:t>92</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31445"/>
                <wp:effectExtent l="0" t="0" r="0" b="0"/>
                <wp:wrapNone/>
                <wp:docPr id="103" name="Frame8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85</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Report of Independent Registered Public Accounting Firm</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To the Board of Directors and Stockholders of Nautilus Biotechnology, Inc.</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Opinion on the Financial Statements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We have audited the accompanying consolidated balance sheets of Nautilus Biotechnology, Inc. and its subsidiary (the “Company”) as of December 31, 2024 and 2023, and the related consolidated statements of operations, of comprehensive loss, of stockholders’ equity and of cash flows for the years then ended, including the related notes (collectively referred to as the “consolidated financial statements”). In our opinion, the consolidated financial statements present fairly, in all material respects, the financial position of the Company as of December 31, 2024 and 2023, and the results of its operations and its cash flows for the years then ended in conformity with accounting principles generally accepted in the United States of America.</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Basis for Opinion</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We conducted our audits of these consolidated financial statements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pStyle w:val="TextBody"/>
        <w:bidi w:val="0"/>
        <w:spacing w:before="0" w:after="180"/>
        <w:jc w:val="left"/>
        <w:rPr/>
      </w:pPr>
      <w:r>
        <w:rPr/>
      </w:r>
    </w:p>
    <w:p>
      <w:pPr>
        <w:pStyle w:val="TextBody"/>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 PricewaterhouseCoopers LLP </w:t>
      </w:r>
    </w:p>
    <w:p>
      <w:pPr>
        <w:pStyle w:val="TextBody"/>
        <w:bidi w:val="0"/>
        <w:spacing w:before="0" w:after="180"/>
        <w:ind w:left="0" w:right="0" w:firstLine="360"/>
        <w:jc w:val="left"/>
        <w:rPr/>
      </w:pPr>
      <w:r>
        <w:rPr/>
      </w:r>
    </w:p>
    <w:p>
      <w:pPr>
        <w:pStyle w:val="TextBody"/>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San Jose, California</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February 27, 2025</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We have served as the Company’s auditor since 2020.</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31445"/>
                <wp:effectExtent l="0" t="0" r="0" b="0"/>
                <wp:wrapNone/>
                <wp:docPr id="104" name="Frame8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86</w:t>
                      </w:r>
                    </w:p>
                  </w:txbxContent>
                </v:textbox>
                <w10:wrap type="none"/>
              </v:rect>
            </w:pict>
          </mc:Fallback>
        </mc:AlternateContent>
      </w:r>
    </w:p>
    <w:tbl>
      <w:tblPr>
        <w:tblW w:w="3404" w:type="dxa"/>
        <w:jc w:val="left"/>
        <w:tblInd w:w="0" w:type="dxa"/>
        <w:tblLayout w:type="fixed"/>
        <w:tblCellMar>
          <w:top w:w="28" w:type="dxa"/>
          <w:left w:w="28" w:type="dxa"/>
          <w:bottom w:w="28" w:type="dxa"/>
          <w:right w:w="28" w:type="dxa"/>
        </w:tblCellMar>
      </w:tblPr>
      <w:tblGrid>
        <w:gridCol w:w="1089"/>
        <w:gridCol w:w="958"/>
        <w:gridCol w:w="1357"/>
      </w:tblGrid>
      <w:tr>
        <w:trPr/>
        <w:tc>
          <w:tcPr>
            <w:tcW w:w="1089"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1357" w:type="dxa"/>
            <w:tcBorders/>
            <w:vAlign w:val="center"/>
          </w:tcPr>
          <w:p>
            <w:pPr>
              <w:pStyle w:val="TableContents"/>
              <w:bidi w:val="0"/>
              <w:spacing w:before="0" w:after="283"/>
              <w:jc w:val="left"/>
              <w:rPr>
                <w:sz w:val="4"/>
                <w:szCs w:val="4"/>
              </w:rPr>
            </w:pPr>
            <w:r>
              <w:rPr>
                <w:sz w:val="4"/>
                <w:szCs w:val="4"/>
              </w:rPr>
            </w:r>
          </w:p>
        </w:tc>
      </w:tr>
      <w:tr>
        <w:trPr/>
        <w:tc>
          <w:tcPr>
            <w:tcW w:w="340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left"/>
              <w:rPr>
                <w:rFonts w:ascii="Times New Roman;sans-serif" w:hAnsi="Times New Roman;sans-serif"/>
                <w:b/>
                <w:color w:val="000000"/>
                <w:sz w:val="24"/>
              </w:rPr>
            </w:pPr>
            <w:r>
              <w:rPr>
                <w:rFonts w:ascii="Times New Roman;sans-serif" w:hAnsi="Times New Roman;sans-serif"/>
                <w:b/>
                <w:color w:val="000000"/>
                <w:sz w:val="24"/>
              </w:rPr>
              <w:t>Nautilus Biotechnology, Inc.</w:t>
            </w:r>
          </w:p>
          <w:p>
            <w:pPr>
              <w:pStyle w:val="TableContents"/>
              <w:bidi w:val="0"/>
              <w:spacing w:lineRule="auto" w:line="288" w:before="0" w:after="0"/>
              <w:jc w:val="left"/>
              <w:rPr>
                <w:rFonts w:ascii="Times New Roman;sans-serif" w:hAnsi="Times New Roman;sans-serif"/>
                <w:b/>
                <w:color w:val="000000"/>
                <w:sz w:val="24"/>
              </w:rPr>
            </w:pPr>
            <w:r>
              <w:rPr>
                <w:rFonts w:ascii="Times New Roman;sans-serif" w:hAnsi="Times New Roman;sans-serif"/>
                <w:b/>
                <w:color w:val="000000"/>
                <w:sz w:val="24"/>
              </w:rPr>
              <w:t>Consolidated Balance Sheets</w:t>
            </w:r>
          </w:p>
          <w:p>
            <w:pPr>
              <w:pStyle w:val="TableContents"/>
              <w:bidi w:val="0"/>
              <w:spacing w:lineRule="auto" w:line="288" w:before="0" w:after="0"/>
              <w:jc w:val="left"/>
              <w:rPr>
                <w:rFonts w:ascii="Times New Roman;sans-serif" w:hAnsi="Times New Roman;sans-serif"/>
                <w:b/>
                <w:color w:val="000000"/>
                <w:sz w:val="24"/>
              </w:rPr>
            </w:pPr>
            <w:r>
              <w:rPr>
                <w:rFonts w:ascii="Times New Roman;sans-serif" w:hAnsi="Times New Roman;sans-serif"/>
                <w:b/>
                <w:color w:val="000000"/>
                <w:sz w:val="24"/>
              </w:rPr>
              <w:t>At December 31, 2024 and 2023</w:t>
            </w:r>
          </w:p>
        </w:tc>
      </w:tr>
    </w:tbl>
    <w:tbl>
      <w:tblPr>
        <w:tblW w:w="10205" w:type="dxa"/>
        <w:jc w:val="left"/>
        <w:tblInd w:w="0" w:type="dxa"/>
        <w:tblLayout w:type="fixed"/>
        <w:tblCellMar>
          <w:top w:w="28" w:type="dxa"/>
          <w:left w:w="28" w:type="dxa"/>
          <w:bottom w:w="28" w:type="dxa"/>
          <w:right w:w="28" w:type="dxa"/>
        </w:tblCellMar>
      </w:tblPr>
      <w:tblGrid>
        <w:gridCol w:w="2839"/>
        <w:gridCol w:w="2220"/>
        <w:gridCol w:w="2236"/>
        <w:gridCol w:w="233"/>
        <w:gridCol w:w="914"/>
        <w:gridCol w:w="120"/>
        <w:gridCol w:w="109"/>
        <w:gridCol w:w="109"/>
        <w:gridCol w:w="109"/>
        <w:gridCol w:w="232"/>
        <w:gridCol w:w="911"/>
        <w:gridCol w:w="173"/>
      </w:tblGrid>
      <w:tr>
        <w:trPr/>
        <w:tc>
          <w:tcPr>
            <w:tcW w:w="2839" w:type="dxa"/>
            <w:tcBorders/>
            <w:vAlign w:val="center"/>
          </w:tcPr>
          <w:p>
            <w:pPr>
              <w:pStyle w:val="TableContents"/>
              <w:bidi w:val="0"/>
              <w:spacing w:before="0" w:after="283"/>
              <w:jc w:val="left"/>
              <w:rPr>
                <w:sz w:val="4"/>
                <w:szCs w:val="4"/>
              </w:rPr>
            </w:pPr>
            <w:r>
              <w:rPr>
                <w:sz w:val="4"/>
                <w:szCs w:val="4"/>
              </w:rPr>
            </w:r>
          </w:p>
        </w:tc>
        <w:tc>
          <w:tcPr>
            <w:tcW w:w="2220" w:type="dxa"/>
            <w:tcBorders/>
            <w:vAlign w:val="center"/>
          </w:tcPr>
          <w:p>
            <w:pPr>
              <w:pStyle w:val="TableContents"/>
              <w:bidi w:val="0"/>
              <w:spacing w:before="0" w:after="283"/>
              <w:jc w:val="left"/>
              <w:rPr>
                <w:sz w:val="4"/>
                <w:szCs w:val="4"/>
              </w:rPr>
            </w:pPr>
            <w:r>
              <w:rPr>
                <w:sz w:val="4"/>
                <w:szCs w:val="4"/>
              </w:rPr>
            </w:r>
          </w:p>
        </w:tc>
        <w:tc>
          <w:tcPr>
            <w:tcW w:w="223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72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 except share and per share amounts)</w:t>
            </w:r>
          </w:p>
        </w:tc>
        <w:tc>
          <w:tcPr>
            <w:tcW w:w="12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72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126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12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27,646 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19,397 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investments</w:t>
            </w:r>
          </w:p>
        </w:tc>
        <w:tc>
          <w:tcPr>
            <w:tcW w:w="11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102,247 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154,021 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current assets</w:t>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2,933 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3,419 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assets</w:t>
            </w:r>
          </w:p>
        </w:tc>
        <w:tc>
          <w:tcPr>
            <w:tcW w:w="11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132,826 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176,837 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w:t>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4,076 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4,267 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right-of-use assets</w:t>
            </w:r>
          </w:p>
        </w:tc>
        <w:tc>
          <w:tcPr>
            <w:tcW w:w="11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28,256 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32,634 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investments</w:t>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76,405 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90,647 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assets</w:t>
            </w:r>
          </w:p>
        </w:tc>
        <w:tc>
          <w:tcPr>
            <w:tcW w:w="11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1,180 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1,180 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242,743 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305,565 </w:t>
            </w:r>
          </w:p>
        </w:tc>
        <w:tc>
          <w:tcPr>
            <w:tcW w:w="1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72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 and Stockholders’ Equity</w:t>
            </w:r>
          </w:p>
        </w:tc>
        <w:tc>
          <w:tcPr>
            <w:tcW w:w="126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12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2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987 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1,639 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expenses and other liabilities</w:t>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2,548 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3,945 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portion of operating lease liability</w:t>
            </w:r>
          </w:p>
        </w:tc>
        <w:tc>
          <w:tcPr>
            <w:tcW w:w="11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4,097 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3,538 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liabilities</w:t>
            </w:r>
          </w:p>
        </w:tc>
        <w:tc>
          <w:tcPr>
            <w:tcW w:w="11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7,632 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9,122 </w:t>
            </w:r>
          </w:p>
        </w:tc>
        <w:tc>
          <w:tcPr>
            <w:tcW w:w="1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liability, net of current portion</w:t>
            </w:r>
          </w:p>
        </w:tc>
        <w:tc>
          <w:tcPr>
            <w:tcW w:w="11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26,381 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31,090 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11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34,013 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40,212 </w:t>
            </w:r>
          </w:p>
        </w:tc>
        <w:tc>
          <w:tcPr>
            <w:tcW w:w="1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Commitments and contingencies (Note 8)</w:t>
            </w:r>
          </w:p>
        </w:tc>
        <w:tc>
          <w:tcPr>
            <w:tcW w:w="12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Stockholders’ equity:</w:t>
            </w:r>
          </w:p>
        </w:tc>
        <w:tc>
          <w:tcPr>
            <w:tcW w:w="12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Preferred stock, $0.0001 par value, 200,000,000 authorized as of December 31, 2024 and 2023, respectively; 0 shares issued and outstanding as of December 31, 2024 and 2023, respectively</w:t>
            </w:r>
          </w:p>
        </w:tc>
        <w:tc>
          <w:tcPr>
            <w:tcW w:w="11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$0.0001 par value, 1,000,000,000 shares authorized as of December 31, 2024 and 2023, respectively; 126,106,176 and 125,068,601 shares issued and outstanding as of December 31, 2024 and 2023, respectively</w:t>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 paid-in capital</w:t>
            </w:r>
          </w:p>
        </w:tc>
        <w:tc>
          <w:tcPr>
            <w:tcW w:w="11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481,679 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467,834 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income (loss)</w:t>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deficit</w:t>
            </w:r>
          </w:p>
        </w:tc>
        <w:tc>
          <w:tcPr>
            <w:tcW w:w="11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(273,019)</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(202,239)</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stockholders’ equity</w:t>
            </w:r>
          </w:p>
        </w:tc>
        <w:tc>
          <w:tcPr>
            <w:tcW w:w="11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208,730 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265,353 </w:t>
            </w:r>
          </w:p>
        </w:tc>
        <w:tc>
          <w:tcPr>
            <w:tcW w:w="1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and stockholders’ equity</w:t>
            </w:r>
          </w:p>
        </w:tc>
        <w:tc>
          <w:tcPr>
            <w:tcW w:w="2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242,743 </w:t>
            </w:r>
          </w:p>
        </w:tc>
        <w:tc>
          <w:tcPr>
            <w:tcW w:w="1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305,565 </w:t>
            </w:r>
          </w:p>
        </w:tc>
        <w:tc>
          <w:tcPr>
            <w:tcW w:w="1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31445"/>
                <wp:effectExtent l="0" t="0" r="0" b="0"/>
                <wp:wrapNone/>
                <wp:docPr id="105" name="Frame8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87</w:t>
                      </w:r>
                    </w:p>
                  </w:txbxContent>
                </v:textbox>
                <w10:wrap type="none"/>
              </v:rect>
            </w:pict>
          </mc:Fallback>
        </mc:AlternateContent>
      </w:r>
    </w:p>
    <w:tbl>
      <w:tblPr>
        <w:tblW w:w="4484" w:type="dxa"/>
        <w:jc w:val="left"/>
        <w:tblInd w:w="0" w:type="dxa"/>
        <w:tblLayout w:type="fixed"/>
        <w:tblCellMar>
          <w:top w:w="28" w:type="dxa"/>
          <w:left w:w="28" w:type="dxa"/>
          <w:bottom w:w="28" w:type="dxa"/>
          <w:right w:w="28" w:type="dxa"/>
        </w:tblCellMar>
      </w:tblPr>
      <w:tblGrid>
        <w:gridCol w:w="1435"/>
        <w:gridCol w:w="1262"/>
        <w:gridCol w:w="1787"/>
      </w:tblGrid>
      <w:tr>
        <w:trPr/>
        <w:tc>
          <w:tcPr>
            <w:tcW w:w="1435" w:type="dxa"/>
            <w:tcBorders/>
            <w:vAlign w:val="center"/>
          </w:tcPr>
          <w:p>
            <w:pPr>
              <w:pStyle w:val="TableContents"/>
              <w:bidi w:val="0"/>
              <w:spacing w:before="0" w:after="283"/>
              <w:jc w:val="left"/>
              <w:rPr>
                <w:sz w:val="4"/>
                <w:szCs w:val="4"/>
              </w:rPr>
            </w:pPr>
            <w:r>
              <w:rPr>
                <w:sz w:val="4"/>
                <w:szCs w:val="4"/>
              </w:rPr>
            </w:r>
          </w:p>
        </w:tc>
        <w:tc>
          <w:tcPr>
            <w:tcW w:w="1262" w:type="dxa"/>
            <w:tcBorders/>
            <w:vAlign w:val="center"/>
          </w:tcPr>
          <w:p>
            <w:pPr>
              <w:pStyle w:val="TableContents"/>
              <w:bidi w:val="0"/>
              <w:spacing w:before="0" w:after="283"/>
              <w:jc w:val="left"/>
              <w:rPr>
                <w:sz w:val="4"/>
                <w:szCs w:val="4"/>
              </w:rPr>
            </w:pPr>
            <w:r>
              <w:rPr>
                <w:sz w:val="4"/>
                <w:szCs w:val="4"/>
              </w:rPr>
            </w:r>
          </w:p>
        </w:tc>
        <w:tc>
          <w:tcPr>
            <w:tcW w:w="1787" w:type="dxa"/>
            <w:tcBorders/>
            <w:vAlign w:val="center"/>
          </w:tcPr>
          <w:p>
            <w:pPr>
              <w:pStyle w:val="TableContents"/>
              <w:bidi w:val="0"/>
              <w:spacing w:before="0" w:after="283"/>
              <w:jc w:val="left"/>
              <w:rPr>
                <w:sz w:val="4"/>
                <w:szCs w:val="4"/>
              </w:rPr>
            </w:pPr>
            <w:r>
              <w:rPr>
                <w:sz w:val="4"/>
                <w:szCs w:val="4"/>
              </w:rPr>
            </w:r>
          </w:p>
        </w:tc>
      </w:tr>
      <w:tr>
        <w:trPr/>
        <w:tc>
          <w:tcPr>
            <w:tcW w:w="448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left"/>
              <w:rPr>
                <w:rFonts w:ascii="Times New Roman;sans-serif" w:hAnsi="Times New Roman;sans-serif"/>
                <w:b/>
                <w:color w:val="000000"/>
                <w:sz w:val="24"/>
              </w:rPr>
            </w:pPr>
            <w:r>
              <w:rPr>
                <w:rFonts w:ascii="Times New Roman;sans-serif" w:hAnsi="Times New Roman;sans-serif"/>
                <w:b/>
                <w:color w:val="000000"/>
                <w:sz w:val="24"/>
              </w:rPr>
              <w:t>Nautilus Biotechnology, Inc.</w:t>
            </w:r>
          </w:p>
          <w:p>
            <w:pPr>
              <w:pStyle w:val="TableContents"/>
              <w:bidi w:val="0"/>
              <w:spacing w:lineRule="auto" w:line="288" w:before="0" w:after="0"/>
              <w:jc w:val="left"/>
              <w:rPr>
                <w:rFonts w:ascii="Times New Roman;sans-serif" w:hAnsi="Times New Roman;sans-serif"/>
                <w:b/>
                <w:color w:val="000000"/>
                <w:sz w:val="24"/>
              </w:rPr>
            </w:pPr>
            <w:r>
              <w:rPr>
                <w:rFonts w:ascii="Times New Roman;sans-serif" w:hAnsi="Times New Roman;sans-serif"/>
                <w:b/>
                <w:color w:val="000000"/>
                <w:sz w:val="24"/>
              </w:rPr>
              <w:t>Consolidated Statements of Operations</w:t>
            </w:r>
          </w:p>
          <w:p>
            <w:pPr>
              <w:pStyle w:val="TableContents"/>
              <w:bidi w:val="0"/>
              <w:spacing w:lineRule="auto" w:line="288" w:before="0" w:after="0"/>
              <w:jc w:val="left"/>
              <w:rPr>
                <w:rFonts w:ascii="Times New Roman;sans-serif" w:hAnsi="Times New Roman;sans-serif"/>
                <w:b/>
                <w:color w:val="000000"/>
                <w:sz w:val="24"/>
              </w:rPr>
            </w:pPr>
            <w:r>
              <w:rPr>
                <w:rFonts w:ascii="Times New Roman;sans-serif" w:hAnsi="Times New Roman;sans-serif"/>
                <w:b/>
                <w:color w:val="000000"/>
                <w:sz w:val="24"/>
              </w:rPr>
              <w:t>Years Ended December 31, 2024 and 2023</w:t>
            </w:r>
          </w:p>
        </w:tc>
      </w:tr>
    </w:tbl>
    <w:tbl>
      <w:tblPr>
        <w:tblW w:w="10205" w:type="dxa"/>
        <w:jc w:val="left"/>
        <w:tblInd w:w="0" w:type="dxa"/>
        <w:tblLayout w:type="fixed"/>
        <w:tblCellMar>
          <w:top w:w="28" w:type="dxa"/>
          <w:left w:w="28" w:type="dxa"/>
          <w:bottom w:w="28" w:type="dxa"/>
          <w:right w:w="28" w:type="dxa"/>
        </w:tblCellMar>
      </w:tblPr>
      <w:tblGrid>
        <w:gridCol w:w="2259"/>
        <w:gridCol w:w="1660"/>
        <w:gridCol w:w="1673"/>
        <w:gridCol w:w="451"/>
        <w:gridCol w:w="1220"/>
        <w:gridCol w:w="170"/>
        <w:gridCol w:w="109"/>
        <w:gridCol w:w="109"/>
        <w:gridCol w:w="109"/>
        <w:gridCol w:w="451"/>
        <w:gridCol w:w="1220"/>
        <w:gridCol w:w="170"/>
        <w:gridCol w:w="109"/>
        <w:gridCol w:w="495"/>
      </w:tblGrid>
      <w:tr>
        <w:trPr/>
        <w:tc>
          <w:tcPr>
            <w:tcW w:w="2259" w:type="dxa"/>
            <w:tcBorders/>
            <w:vAlign w:val="center"/>
          </w:tcPr>
          <w:p>
            <w:pPr>
              <w:pStyle w:val="TableContents"/>
              <w:bidi w:val="0"/>
              <w:spacing w:before="0" w:after="283"/>
              <w:jc w:val="left"/>
              <w:rPr>
                <w:sz w:val="4"/>
                <w:szCs w:val="4"/>
              </w:rPr>
            </w:pPr>
            <w:r>
              <w:rPr>
                <w:sz w:val="4"/>
                <w:szCs w:val="4"/>
              </w:rPr>
            </w:r>
          </w:p>
        </w:tc>
        <w:tc>
          <w:tcPr>
            <w:tcW w:w="1660" w:type="dxa"/>
            <w:tcBorders/>
            <w:vAlign w:val="center"/>
          </w:tcPr>
          <w:p>
            <w:pPr>
              <w:pStyle w:val="TableContents"/>
              <w:bidi w:val="0"/>
              <w:spacing w:before="0" w:after="283"/>
              <w:jc w:val="left"/>
              <w:rPr>
                <w:sz w:val="4"/>
                <w:szCs w:val="4"/>
              </w:rPr>
            </w:pPr>
            <w:r>
              <w:rPr>
                <w:sz w:val="4"/>
                <w:szCs w:val="4"/>
              </w:rPr>
            </w:r>
          </w:p>
        </w:tc>
        <w:tc>
          <w:tcPr>
            <w:tcW w:w="1673"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r>
      <w:tr>
        <w:trPr/>
        <w:tc>
          <w:tcPr>
            <w:tcW w:w="55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 except share and per share amounts)</w:t>
            </w:r>
          </w:p>
        </w:tc>
        <w:tc>
          <w:tcPr>
            <w:tcW w:w="1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 2023</w:t>
            </w:r>
          </w:p>
        </w:tc>
        <w:tc>
          <w:tcPr>
            <w:tcW w:w="109"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r>
      <w:tr>
        <w:trPr/>
        <w:tc>
          <w:tcPr>
            <w:tcW w:w="55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18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ind w:left="0" w:right="0" w:firstLine="180"/>
              <w:jc w:val="left"/>
              <w:rPr>
                <w:sz w:val="4"/>
                <w:szCs w:val="4"/>
              </w:rPr>
            </w:pPr>
            <w:r>
              <w:rPr>
                <w:sz w:val="4"/>
                <w:szCs w:val="4"/>
              </w:rPr>
            </w:r>
          </w:p>
        </w:tc>
      </w:tr>
      <w:tr>
        <w:trPr/>
        <w:tc>
          <w:tcPr>
            <w:tcW w:w="55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4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50,477 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47,251 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ind w:left="0" w:right="0" w:firstLine="180"/>
              <w:jc w:val="left"/>
              <w:rPr>
                <w:sz w:val="4"/>
                <w:szCs w:val="4"/>
              </w:rPr>
            </w:pPr>
            <w:r>
              <w:rPr>
                <w:sz w:val="4"/>
                <w:szCs w:val="4"/>
              </w:rPr>
            </w:r>
          </w:p>
        </w:tc>
      </w:tr>
      <w:tr>
        <w:trPr/>
        <w:tc>
          <w:tcPr>
            <w:tcW w:w="55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6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30,999 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28,901 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ind w:left="0" w:right="0" w:firstLine="90"/>
              <w:jc w:val="left"/>
              <w:rPr>
                <w:sz w:val="4"/>
                <w:szCs w:val="4"/>
              </w:rPr>
            </w:pPr>
            <w:r>
              <w:rPr>
                <w:sz w:val="4"/>
                <w:szCs w:val="4"/>
              </w:rPr>
            </w:r>
          </w:p>
        </w:tc>
      </w:tr>
      <w:tr>
        <w:trPr/>
        <w:tc>
          <w:tcPr>
            <w:tcW w:w="55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16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81,476 </w:t>
            </w:r>
          </w:p>
        </w:tc>
        <w:tc>
          <w:tcPr>
            <w:tcW w:w="1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76,152 </w:t>
            </w:r>
          </w:p>
        </w:tc>
        <w:tc>
          <w:tcPr>
            <w:tcW w:w="1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r>
      <w:tr>
        <w:trPr/>
        <w:tc>
          <w:tcPr>
            <w:tcW w:w="55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w:t>
            </w:r>
          </w:p>
        </w:tc>
        <w:tc>
          <w:tcPr>
            <w:tcW w:w="18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ind w:left="0" w:right="0" w:firstLine="180"/>
              <w:jc w:val="left"/>
              <w:rPr>
                <w:sz w:val="4"/>
                <w:szCs w:val="4"/>
              </w:rPr>
            </w:pPr>
            <w:r>
              <w:rPr>
                <w:sz w:val="4"/>
                <w:szCs w:val="4"/>
              </w:rPr>
            </w:r>
          </w:p>
        </w:tc>
      </w:tr>
      <w:tr>
        <w:trPr/>
        <w:tc>
          <w:tcPr>
            <w:tcW w:w="55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16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10,780 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12,550 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ind w:left="0" w:right="0" w:firstLine="180"/>
              <w:jc w:val="left"/>
              <w:rPr>
                <w:sz w:val="4"/>
                <w:szCs w:val="4"/>
              </w:rPr>
            </w:pPr>
            <w:r>
              <w:rPr>
                <w:sz w:val="4"/>
                <w:szCs w:val="4"/>
              </w:rPr>
            </w:r>
          </w:p>
        </w:tc>
      </w:tr>
      <w:tr>
        <w:trPr/>
        <w:tc>
          <w:tcPr>
            <w:tcW w:w="55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w:t>
            </w:r>
          </w:p>
        </w:tc>
        <w:tc>
          <w:tcPr>
            <w:tcW w:w="16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ind w:left="0" w:right="0" w:firstLine="360"/>
              <w:jc w:val="left"/>
              <w:rPr>
                <w:sz w:val="4"/>
                <w:szCs w:val="4"/>
              </w:rPr>
            </w:pPr>
            <w:r>
              <w:rPr>
                <w:sz w:val="4"/>
                <w:szCs w:val="4"/>
              </w:rPr>
            </w:r>
          </w:p>
        </w:tc>
      </w:tr>
      <w:tr>
        <w:trPr/>
        <w:tc>
          <w:tcPr>
            <w:tcW w:w="55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income</w:t>
            </w:r>
          </w:p>
        </w:tc>
        <w:tc>
          <w:tcPr>
            <w:tcW w:w="4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10,696 </w:t>
            </w:r>
          </w:p>
        </w:tc>
        <w:tc>
          <w:tcPr>
            <w:tcW w:w="1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12,477 </w:t>
            </w:r>
          </w:p>
        </w:tc>
        <w:tc>
          <w:tcPr>
            <w:tcW w:w="1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r>
      <w:tr>
        <w:trPr/>
        <w:tc>
          <w:tcPr>
            <w:tcW w:w="55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4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(70,780)</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(63,675)</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r>
      <w:tr>
        <w:trPr/>
        <w:tc>
          <w:tcPr>
            <w:tcW w:w="55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per share attributable to common stockholders, basic and diluted</w:t>
            </w:r>
          </w:p>
        </w:tc>
        <w:tc>
          <w:tcPr>
            <w:tcW w:w="45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(0.56)</w:t>
            </w:r>
          </w:p>
        </w:tc>
        <w:tc>
          <w:tcPr>
            <w:tcW w:w="170"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(0.51)</w:t>
            </w:r>
          </w:p>
        </w:tc>
        <w:tc>
          <w:tcPr>
            <w:tcW w:w="170"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ind w:left="0" w:right="0" w:hanging="180"/>
              <w:jc w:val="left"/>
              <w:rPr>
                <w:sz w:val="4"/>
                <w:szCs w:val="4"/>
              </w:rPr>
            </w:pPr>
            <w:r>
              <w:rPr>
                <w:sz w:val="4"/>
                <w:szCs w:val="4"/>
              </w:rPr>
            </w:r>
          </w:p>
        </w:tc>
      </w:tr>
      <w:tr>
        <w:trPr/>
        <w:tc>
          <w:tcPr>
            <w:tcW w:w="55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shares used in computing net loss per share attributable to common stockholders, basic and diluted</w:t>
            </w:r>
          </w:p>
        </w:tc>
        <w:tc>
          <w:tcPr>
            <w:tcW w:w="1671"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125,426,509 </w:t>
            </w:r>
          </w:p>
        </w:tc>
        <w:tc>
          <w:tcPr>
            <w:tcW w:w="170"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1"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124,919,144 </w:t>
            </w:r>
          </w:p>
        </w:tc>
        <w:tc>
          <w:tcPr>
            <w:tcW w:w="170"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31445"/>
                <wp:effectExtent l="0" t="0" r="0" b="0"/>
                <wp:wrapNone/>
                <wp:docPr id="106" name="Frame8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88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88</w:t>
                      </w:r>
                    </w:p>
                  </w:txbxContent>
                </v:textbox>
                <w10:wrap type="none"/>
              </v:rect>
            </w:pict>
          </mc:Fallback>
        </mc:AlternateContent>
      </w:r>
    </w:p>
    <w:tbl>
      <w:tblPr>
        <w:tblW w:w="5100" w:type="dxa"/>
        <w:jc w:val="left"/>
        <w:tblInd w:w="0" w:type="dxa"/>
        <w:tblLayout w:type="fixed"/>
        <w:tblCellMar>
          <w:top w:w="28" w:type="dxa"/>
          <w:left w:w="28" w:type="dxa"/>
          <w:bottom w:w="28" w:type="dxa"/>
          <w:right w:w="28" w:type="dxa"/>
        </w:tblCellMar>
      </w:tblPr>
      <w:tblGrid>
        <w:gridCol w:w="1632"/>
        <w:gridCol w:w="1435"/>
        <w:gridCol w:w="2033"/>
      </w:tblGrid>
      <w:tr>
        <w:trPr/>
        <w:tc>
          <w:tcPr>
            <w:tcW w:w="1632" w:type="dxa"/>
            <w:tcBorders/>
            <w:vAlign w:val="center"/>
          </w:tcPr>
          <w:p>
            <w:pPr>
              <w:pStyle w:val="TableContents"/>
              <w:bidi w:val="0"/>
              <w:spacing w:before="0" w:after="283"/>
              <w:jc w:val="left"/>
              <w:rPr>
                <w:sz w:val="4"/>
                <w:szCs w:val="4"/>
              </w:rPr>
            </w:pPr>
            <w:r>
              <w:rPr>
                <w:sz w:val="4"/>
                <w:szCs w:val="4"/>
              </w:rPr>
            </w:r>
          </w:p>
        </w:tc>
        <w:tc>
          <w:tcPr>
            <w:tcW w:w="1435" w:type="dxa"/>
            <w:tcBorders/>
            <w:vAlign w:val="center"/>
          </w:tcPr>
          <w:p>
            <w:pPr>
              <w:pStyle w:val="TableContents"/>
              <w:bidi w:val="0"/>
              <w:spacing w:before="0" w:after="283"/>
              <w:jc w:val="left"/>
              <w:rPr>
                <w:sz w:val="4"/>
                <w:szCs w:val="4"/>
              </w:rPr>
            </w:pPr>
            <w:r>
              <w:rPr>
                <w:sz w:val="4"/>
                <w:szCs w:val="4"/>
              </w:rPr>
            </w:r>
          </w:p>
        </w:tc>
        <w:tc>
          <w:tcPr>
            <w:tcW w:w="2033" w:type="dxa"/>
            <w:tcBorders/>
            <w:vAlign w:val="center"/>
          </w:tcPr>
          <w:p>
            <w:pPr>
              <w:pStyle w:val="TableContents"/>
              <w:bidi w:val="0"/>
              <w:spacing w:before="0" w:after="283"/>
              <w:jc w:val="left"/>
              <w:rPr>
                <w:sz w:val="4"/>
                <w:szCs w:val="4"/>
              </w:rPr>
            </w:pPr>
            <w:r>
              <w:rPr>
                <w:sz w:val="4"/>
                <w:szCs w:val="4"/>
              </w:rPr>
            </w:r>
          </w:p>
        </w:tc>
      </w:tr>
      <w:tr>
        <w:trPr/>
        <w:tc>
          <w:tcPr>
            <w:tcW w:w="510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left"/>
              <w:rPr>
                <w:rFonts w:ascii="Times New Roman;sans-serif" w:hAnsi="Times New Roman;sans-serif"/>
                <w:b/>
                <w:color w:val="000000"/>
                <w:sz w:val="24"/>
              </w:rPr>
            </w:pPr>
            <w:r>
              <w:rPr>
                <w:rFonts w:ascii="Times New Roman;sans-serif" w:hAnsi="Times New Roman;sans-serif"/>
                <w:b/>
                <w:color w:val="000000"/>
                <w:sz w:val="24"/>
              </w:rPr>
              <w:t>Nautilus Biotechnology, Inc.</w:t>
            </w:r>
          </w:p>
          <w:p>
            <w:pPr>
              <w:pStyle w:val="TableContents"/>
              <w:bidi w:val="0"/>
              <w:spacing w:lineRule="auto" w:line="288" w:before="0" w:after="0"/>
              <w:jc w:val="left"/>
              <w:rPr>
                <w:rFonts w:ascii="Times New Roman;sans-serif" w:hAnsi="Times New Roman;sans-serif"/>
                <w:b/>
                <w:color w:val="000000"/>
                <w:sz w:val="24"/>
              </w:rPr>
            </w:pPr>
            <w:r>
              <w:rPr>
                <w:rFonts w:ascii="Times New Roman;sans-serif" w:hAnsi="Times New Roman;sans-serif"/>
                <w:b/>
                <w:color w:val="000000"/>
                <w:sz w:val="24"/>
              </w:rPr>
              <w:t>Consolidated Statements of Comprehensive Loss</w:t>
            </w:r>
          </w:p>
          <w:p>
            <w:pPr>
              <w:pStyle w:val="TableContents"/>
              <w:bidi w:val="0"/>
              <w:spacing w:lineRule="auto" w:line="288" w:before="0" w:after="180"/>
              <w:jc w:val="left"/>
              <w:rPr>
                <w:rFonts w:ascii="Times New Roman;sans-serif" w:hAnsi="Times New Roman;sans-serif"/>
                <w:b/>
                <w:color w:val="000000"/>
                <w:sz w:val="24"/>
              </w:rPr>
            </w:pPr>
            <w:r>
              <w:rPr>
                <w:rFonts w:ascii="Times New Roman;sans-serif" w:hAnsi="Times New Roman;sans-serif"/>
                <w:b/>
                <w:color w:val="000000"/>
                <w:sz w:val="24"/>
              </w:rPr>
              <w:t>Years Ended December 31, 2024 and 2023</w:t>
            </w:r>
          </w:p>
        </w:tc>
      </w:tr>
    </w:tbl>
    <w:tbl>
      <w:tblPr>
        <w:tblW w:w="9317" w:type="dxa"/>
        <w:jc w:val="left"/>
        <w:tblInd w:w="0" w:type="dxa"/>
        <w:tblLayout w:type="fixed"/>
        <w:tblCellMar>
          <w:top w:w="28" w:type="dxa"/>
          <w:left w:w="28" w:type="dxa"/>
          <w:bottom w:w="28" w:type="dxa"/>
          <w:right w:w="28" w:type="dxa"/>
        </w:tblCellMar>
      </w:tblPr>
      <w:tblGrid>
        <w:gridCol w:w="1423"/>
        <w:gridCol w:w="1250"/>
        <w:gridCol w:w="1256"/>
        <w:gridCol w:w="453"/>
        <w:gridCol w:w="1712"/>
        <w:gridCol w:w="234"/>
        <w:gridCol w:w="109"/>
        <w:gridCol w:w="109"/>
        <w:gridCol w:w="109"/>
        <w:gridCol w:w="453"/>
        <w:gridCol w:w="1712"/>
        <w:gridCol w:w="234"/>
        <w:gridCol w:w="109"/>
        <w:gridCol w:w="154"/>
      </w:tblGrid>
      <w:tr>
        <w:trPr/>
        <w:tc>
          <w:tcPr>
            <w:tcW w:w="1423"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1256"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171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171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23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 2023</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4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(70,780)</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(63,675)</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w:t>
            </w:r>
          </w:p>
        </w:tc>
        <w:tc>
          <w:tcPr>
            <w:tcW w:w="2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Unrealized gain on securities available-for-sale</w:t>
            </w:r>
          </w:p>
        </w:tc>
        <w:tc>
          <w:tcPr>
            <w:tcW w:w="21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1,599 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comprehensive income</w:t>
            </w:r>
          </w:p>
        </w:tc>
        <w:tc>
          <w:tcPr>
            <w:tcW w:w="21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312 </w:t>
            </w:r>
          </w:p>
        </w:tc>
        <w:tc>
          <w:tcPr>
            <w:tcW w:w="2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1,599 </w:t>
            </w:r>
          </w:p>
        </w:tc>
        <w:tc>
          <w:tcPr>
            <w:tcW w:w="2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loss</w:t>
            </w:r>
          </w:p>
        </w:tc>
        <w:tc>
          <w:tcPr>
            <w:tcW w:w="4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(70,468)</w:t>
            </w:r>
          </w:p>
        </w:tc>
        <w:tc>
          <w:tcPr>
            <w:tcW w:w="2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(62,076)</w:t>
            </w:r>
          </w:p>
        </w:tc>
        <w:tc>
          <w:tcPr>
            <w:tcW w:w="2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31445"/>
                <wp:effectExtent l="0" t="0" r="0" b="0"/>
                <wp:wrapNone/>
                <wp:docPr id="107" name="Frame8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89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89</w:t>
                      </w:r>
                    </w:p>
                  </w:txbxContent>
                </v:textbox>
                <w10:wrap type="none"/>
              </v:rect>
            </w:pict>
          </mc:Fallback>
        </mc:AlternateContent>
      </w:r>
    </w:p>
    <w:tbl>
      <w:tblPr>
        <w:tblW w:w="5130" w:type="dxa"/>
        <w:jc w:val="left"/>
        <w:tblInd w:w="0" w:type="dxa"/>
        <w:tblLayout w:type="fixed"/>
        <w:tblCellMar>
          <w:top w:w="28" w:type="dxa"/>
          <w:left w:w="28" w:type="dxa"/>
          <w:bottom w:w="28" w:type="dxa"/>
          <w:right w:w="28" w:type="dxa"/>
        </w:tblCellMar>
      </w:tblPr>
      <w:tblGrid>
        <w:gridCol w:w="1641"/>
        <w:gridCol w:w="1444"/>
        <w:gridCol w:w="2045"/>
      </w:tblGrid>
      <w:tr>
        <w:trPr/>
        <w:tc>
          <w:tcPr>
            <w:tcW w:w="1641" w:type="dxa"/>
            <w:tcBorders/>
            <w:vAlign w:val="center"/>
          </w:tcPr>
          <w:p>
            <w:pPr>
              <w:pStyle w:val="TableContents"/>
              <w:bidi w:val="0"/>
              <w:spacing w:before="0" w:after="283"/>
              <w:jc w:val="left"/>
              <w:rPr>
                <w:sz w:val="4"/>
                <w:szCs w:val="4"/>
              </w:rPr>
            </w:pPr>
            <w:r>
              <w:rPr>
                <w:sz w:val="4"/>
                <w:szCs w:val="4"/>
              </w:rPr>
            </w:r>
          </w:p>
        </w:tc>
        <w:tc>
          <w:tcPr>
            <w:tcW w:w="1444" w:type="dxa"/>
            <w:tcBorders/>
            <w:vAlign w:val="center"/>
          </w:tcPr>
          <w:p>
            <w:pPr>
              <w:pStyle w:val="TableContents"/>
              <w:bidi w:val="0"/>
              <w:spacing w:before="0" w:after="283"/>
              <w:jc w:val="left"/>
              <w:rPr>
                <w:sz w:val="4"/>
                <w:szCs w:val="4"/>
              </w:rPr>
            </w:pPr>
            <w:r>
              <w:rPr>
                <w:sz w:val="4"/>
                <w:szCs w:val="4"/>
              </w:rPr>
            </w:r>
          </w:p>
        </w:tc>
        <w:tc>
          <w:tcPr>
            <w:tcW w:w="2045" w:type="dxa"/>
            <w:tcBorders/>
            <w:vAlign w:val="center"/>
          </w:tcPr>
          <w:p>
            <w:pPr>
              <w:pStyle w:val="TableContents"/>
              <w:bidi w:val="0"/>
              <w:spacing w:before="0" w:after="283"/>
              <w:jc w:val="left"/>
              <w:rPr>
                <w:sz w:val="4"/>
                <w:szCs w:val="4"/>
              </w:rPr>
            </w:pPr>
            <w:r>
              <w:rPr>
                <w:sz w:val="4"/>
                <w:szCs w:val="4"/>
              </w:rPr>
            </w:r>
          </w:p>
        </w:tc>
      </w:tr>
      <w:tr>
        <w:trPr/>
        <w:tc>
          <w:tcPr>
            <w:tcW w:w="513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left"/>
              <w:rPr>
                <w:rFonts w:ascii="Times New Roman;sans-serif" w:hAnsi="Times New Roman;sans-serif"/>
                <w:b/>
                <w:color w:val="000000"/>
                <w:sz w:val="24"/>
              </w:rPr>
            </w:pPr>
            <w:r>
              <w:rPr>
                <w:rFonts w:ascii="Times New Roman;sans-serif" w:hAnsi="Times New Roman;sans-serif"/>
                <w:b/>
                <w:color w:val="000000"/>
                <w:sz w:val="24"/>
              </w:rPr>
              <w:t>Nautilus Biotechnology, Inc.</w:t>
            </w:r>
          </w:p>
          <w:p>
            <w:pPr>
              <w:pStyle w:val="TableContents"/>
              <w:bidi w:val="0"/>
              <w:spacing w:lineRule="auto" w:line="288" w:before="0" w:after="0"/>
              <w:jc w:val="left"/>
              <w:rPr>
                <w:rFonts w:ascii="Times New Roman;sans-serif" w:hAnsi="Times New Roman;sans-serif"/>
                <w:b/>
                <w:color w:val="000000"/>
                <w:sz w:val="24"/>
              </w:rPr>
            </w:pPr>
            <w:r>
              <w:rPr>
                <w:rFonts w:ascii="Times New Roman;sans-serif" w:hAnsi="Times New Roman;sans-serif"/>
                <w:b/>
                <w:color w:val="000000"/>
                <w:sz w:val="24"/>
              </w:rPr>
              <w:t>Consolidated Statements of Stockholders’ Equity</w:t>
            </w:r>
          </w:p>
          <w:p>
            <w:pPr>
              <w:pStyle w:val="TableContents"/>
              <w:bidi w:val="0"/>
              <w:spacing w:lineRule="auto" w:line="288" w:before="0" w:after="180"/>
              <w:jc w:val="left"/>
              <w:rPr>
                <w:rFonts w:ascii="Times New Roman;sans-serif" w:hAnsi="Times New Roman;sans-serif"/>
                <w:b/>
                <w:color w:val="000000"/>
                <w:sz w:val="24"/>
              </w:rPr>
            </w:pPr>
            <w:r>
              <w:rPr>
                <w:rFonts w:ascii="Times New Roman;sans-serif" w:hAnsi="Times New Roman;sans-serif"/>
                <w:b/>
                <w:color w:val="000000"/>
                <w:sz w:val="24"/>
              </w:rPr>
              <w:t>Years Ended December 31, 2024 and 2023</w:t>
            </w:r>
          </w:p>
        </w:tc>
      </w:tr>
    </w:tbl>
    <w:tbl>
      <w:tblPr>
        <w:tblW w:w="10205" w:type="dxa"/>
        <w:jc w:val="left"/>
        <w:tblInd w:w="0" w:type="dxa"/>
        <w:tblLayout w:type="fixed"/>
        <w:tblCellMar>
          <w:top w:w="28" w:type="dxa"/>
          <w:left w:w="28" w:type="dxa"/>
          <w:bottom w:w="28" w:type="dxa"/>
          <w:right w:w="28" w:type="dxa"/>
        </w:tblCellMar>
      </w:tblPr>
      <w:tblGrid>
        <w:gridCol w:w="851"/>
        <w:gridCol w:w="347"/>
        <w:gridCol w:w="349"/>
        <w:gridCol w:w="593"/>
        <w:gridCol w:w="593"/>
        <w:gridCol w:w="196"/>
        <w:gridCol w:w="109"/>
        <w:gridCol w:w="109"/>
        <w:gridCol w:w="109"/>
        <w:gridCol w:w="214"/>
        <w:gridCol w:w="366"/>
        <w:gridCol w:w="111"/>
        <w:gridCol w:w="109"/>
        <w:gridCol w:w="109"/>
        <w:gridCol w:w="109"/>
        <w:gridCol w:w="218"/>
        <w:gridCol w:w="857"/>
        <w:gridCol w:w="113"/>
        <w:gridCol w:w="109"/>
        <w:gridCol w:w="109"/>
        <w:gridCol w:w="109"/>
        <w:gridCol w:w="296"/>
        <w:gridCol w:w="888"/>
        <w:gridCol w:w="155"/>
        <w:gridCol w:w="109"/>
        <w:gridCol w:w="109"/>
        <w:gridCol w:w="109"/>
        <w:gridCol w:w="214"/>
        <w:gridCol w:w="856"/>
        <w:gridCol w:w="110"/>
        <w:gridCol w:w="109"/>
        <w:gridCol w:w="109"/>
        <w:gridCol w:w="109"/>
        <w:gridCol w:w="219"/>
        <w:gridCol w:w="858"/>
        <w:gridCol w:w="166"/>
      </w:tblGrid>
      <w:tr>
        <w:trPr/>
        <w:tc>
          <w:tcPr>
            <w:tcW w:w="851"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5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0" w:type="dxa"/>
            <w:gridSpan w:val="9"/>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Other Comprehensive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vMerge w:val="restart"/>
            <w:tcBorders/>
            <w:tcMar>
              <w:top w:w="0" w:type="dxa"/>
              <w:left w:w="0" w:type="dxa"/>
              <w:bottom w:w="0" w:type="dxa"/>
              <w:right w:w="0" w:type="dxa"/>
            </w:tcMar>
            <w:vAlign w:val="center"/>
          </w:tcPr>
          <w:p>
            <w:pPr>
              <w:pStyle w:val="TableContents"/>
              <w:bidi w:val="0"/>
              <w:spacing w:lineRule="auto" w:line="288" w:before="0" w:after="180"/>
              <w:jc w:val="center"/>
              <w:rPr>
                <w:rFonts w:ascii="Times New Roman;sans-serif" w:hAnsi="Times New Roman;sans-serif"/>
                <w:b/>
                <w:color w:val="000000"/>
                <w:sz w:val="16"/>
              </w:rPr>
            </w:pPr>
            <w:r>
              <w:rPr>
                <w:rFonts w:ascii="Times New Roman;sans-serif" w:hAnsi="Times New Roman;sans-serif"/>
                <w:b/>
                <w:color w:val="000000"/>
                <w:sz w:val="16"/>
              </w:rPr>
              <w:t xml:space="preserve">Total Stockholders’ Equity </w:t>
            </w:r>
          </w:p>
        </w:tc>
      </w:tr>
      <w:tr>
        <w:trPr/>
        <w:tc>
          <w:tcPr>
            <w:tcW w:w="15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0" w:type="dxa"/>
            <w:gridSpan w:val="9"/>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5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 except share amounts)</w:t>
            </w:r>
          </w:p>
        </w:tc>
        <w:tc>
          <w:tcPr>
            <w:tcW w:w="13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54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Balances at December 31, 2022</w:t>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124,865,485 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455,330 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(1,854)</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(138,564)</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314,924 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common stock upon exercise of vested stock options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70,865 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104 </w:t>
            </w:r>
          </w:p>
        </w:tc>
        <w:tc>
          <w:tcPr>
            <w:tcW w:w="16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common stock under employee stock purchase plan</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132,251 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expense</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12,137 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12,137 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1,599 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(63,675)</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(63,675)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Balances at December 31, 2023</w:t>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125,068,601 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467,834 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(202,239)</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265,353 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common stock upon exercise of vested stock options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790,111 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620 </w:t>
            </w:r>
          </w:p>
        </w:tc>
        <w:tc>
          <w:tcPr>
            <w:tcW w:w="16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common stock under employee stock purchase plan</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247,464 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524 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524 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7"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r>
      <w:tr>
        <w:trPr/>
        <w:tc>
          <w:tcPr>
            <w:tcW w:w="15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expense</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12,701 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12,701 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(70,780)</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(70,780)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Balances at December 31, 2024</w:t>
            </w:r>
          </w:p>
        </w:tc>
        <w:tc>
          <w:tcPr>
            <w:tcW w:w="118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126,106,176 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481,679 </w:t>
            </w:r>
          </w:p>
        </w:tc>
        <w:tc>
          <w:tcPr>
            <w:tcW w:w="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(273,019)</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208,730 </w:t>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80"/>
        <w:jc w:val="left"/>
        <w:rPr/>
      </w:pPr>
      <w:r>
        <w:rPr/>
      </w:r>
    </w:p>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consolidated financial statements.</w:t>
      </w:r>
    </w:p>
    <w:p>
      <w:pPr>
        <w:pStyle w:val="TextBody"/>
        <w:bidi w:val="0"/>
        <w:spacing w:before="0" w:after="18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31445"/>
                <wp:effectExtent l="0" t="0" r="0" b="0"/>
                <wp:wrapNone/>
                <wp:docPr id="108" name="Frame90"/>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90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90</w:t>
                      </w:r>
                    </w:p>
                  </w:txbxContent>
                </v:textbox>
                <w10:wrap type="none"/>
              </v:rect>
            </w:pict>
          </mc:Fallback>
        </mc:AlternateContent>
      </w:r>
    </w:p>
    <w:tbl>
      <w:tblPr>
        <w:tblW w:w="4484" w:type="dxa"/>
        <w:jc w:val="left"/>
        <w:tblInd w:w="0" w:type="dxa"/>
        <w:tblLayout w:type="fixed"/>
        <w:tblCellMar>
          <w:top w:w="28" w:type="dxa"/>
          <w:left w:w="28" w:type="dxa"/>
          <w:bottom w:w="28" w:type="dxa"/>
          <w:right w:w="28" w:type="dxa"/>
        </w:tblCellMar>
      </w:tblPr>
      <w:tblGrid>
        <w:gridCol w:w="1435"/>
        <w:gridCol w:w="1262"/>
        <w:gridCol w:w="1787"/>
      </w:tblGrid>
      <w:tr>
        <w:trPr/>
        <w:tc>
          <w:tcPr>
            <w:tcW w:w="1435" w:type="dxa"/>
            <w:tcBorders/>
            <w:vAlign w:val="center"/>
          </w:tcPr>
          <w:p>
            <w:pPr>
              <w:pStyle w:val="TableContents"/>
              <w:bidi w:val="0"/>
              <w:spacing w:before="0" w:after="283"/>
              <w:jc w:val="left"/>
              <w:rPr>
                <w:sz w:val="4"/>
                <w:szCs w:val="4"/>
              </w:rPr>
            </w:pPr>
            <w:r>
              <w:rPr>
                <w:sz w:val="4"/>
                <w:szCs w:val="4"/>
              </w:rPr>
            </w:r>
          </w:p>
        </w:tc>
        <w:tc>
          <w:tcPr>
            <w:tcW w:w="1262" w:type="dxa"/>
            <w:tcBorders/>
            <w:vAlign w:val="center"/>
          </w:tcPr>
          <w:p>
            <w:pPr>
              <w:pStyle w:val="TableContents"/>
              <w:bidi w:val="0"/>
              <w:spacing w:before="0" w:after="283"/>
              <w:jc w:val="left"/>
              <w:rPr>
                <w:sz w:val="4"/>
                <w:szCs w:val="4"/>
              </w:rPr>
            </w:pPr>
            <w:r>
              <w:rPr>
                <w:sz w:val="4"/>
                <w:szCs w:val="4"/>
              </w:rPr>
            </w:r>
          </w:p>
        </w:tc>
        <w:tc>
          <w:tcPr>
            <w:tcW w:w="1787" w:type="dxa"/>
            <w:tcBorders/>
            <w:vAlign w:val="center"/>
          </w:tcPr>
          <w:p>
            <w:pPr>
              <w:pStyle w:val="TableContents"/>
              <w:bidi w:val="0"/>
              <w:spacing w:before="0" w:after="283"/>
              <w:jc w:val="left"/>
              <w:rPr>
                <w:sz w:val="4"/>
                <w:szCs w:val="4"/>
              </w:rPr>
            </w:pPr>
            <w:r>
              <w:rPr>
                <w:sz w:val="4"/>
                <w:szCs w:val="4"/>
              </w:rPr>
            </w:r>
          </w:p>
        </w:tc>
      </w:tr>
      <w:tr>
        <w:trPr/>
        <w:tc>
          <w:tcPr>
            <w:tcW w:w="448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left"/>
              <w:rPr>
                <w:rFonts w:ascii="Times New Roman;sans-serif" w:hAnsi="Times New Roman;sans-serif"/>
                <w:b/>
                <w:color w:val="000000"/>
                <w:sz w:val="24"/>
              </w:rPr>
            </w:pPr>
            <w:r>
              <w:rPr>
                <w:rFonts w:ascii="Times New Roman;sans-serif" w:hAnsi="Times New Roman;sans-serif"/>
                <w:b/>
                <w:color w:val="000000"/>
                <w:sz w:val="24"/>
              </w:rPr>
              <w:t>Nautilus Biotechnology, Inc.</w:t>
            </w:r>
          </w:p>
          <w:p>
            <w:pPr>
              <w:pStyle w:val="TableContents"/>
              <w:bidi w:val="0"/>
              <w:spacing w:lineRule="auto" w:line="288" w:before="0" w:after="0"/>
              <w:jc w:val="left"/>
              <w:rPr>
                <w:rFonts w:ascii="Times New Roman;sans-serif" w:hAnsi="Times New Roman;sans-serif"/>
                <w:b/>
                <w:color w:val="000000"/>
                <w:sz w:val="24"/>
              </w:rPr>
            </w:pPr>
            <w:r>
              <w:rPr>
                <w:rFonts w:ascii="Times New Roman;sans-serif" w:hAnsi="Times New Roman;sans-serif"/>
                <w:b/>
                <w:color w:val="000000"/>
                <w:sz w:val="24"/>
              </w:rPr>
              <w:t>Consolidated Statements of Cash Flows</w:t>
            </w:r>
          </w:p>
          <w:p>
            <w:pPr>
              <w:pStyle w:val="TableContents"/>
              <w:bidi w:val="0"/>
              <w:spacing w:lineRule="auto" w:line="288" w:before="0" w:after="0"/>
              <w:jc w:val="left"/>
              <w:rPr>
                <w:rFonts w:ascii="Times New Roman;sans-serif" w:hAnsi="Times New Roman;sans-serif"/>
                <w:b/>
                <w:color w:val="000000"/>
                <w:sz w:val="24"/>
              </w:rPr>
            </w:pPr>
            <w:r>
              <w:rPr>
                <w:rFonts w:ascii="Times New Roman;sans-serif" w:hAnsi="Times New Roman;sans-serif"/>
                <w:b/>
                <w:color w:val="000000"/>
                <w:sz w:val="24"/>
              </w:rPr>
              <w:t>Years Ended December 31, 2024 and 2023</w:t>
            </w:r>
          </w:p>
        </w:tc>
      </w:tr>
    </w:tbl>
    <w:tbl>
      <w:tblPr>
        <w:tblW w:w="10205" w:type="dxa"/>
        <w:jc w:val="left"/>
        <w:tblInd w:w="0" w:type="dxa"/>
        <w:tblLayout w:type="fixed"/>
        <w:tblCellMar>
          <w:top w:w="28" w:type="dxa"/>
          <w:left w:w="28" w:type="dxa"/>
          <w:bottom w:w="28" w:type="dxa"/>
          <w:right w:w="28" w:type="dxa"/>
        </w:tblCellMar>
      </w:tblPr>
      <w:tblGrid>
        <w:gridCol w:w="2024"/>
        <w:gridCol w:w="1676"/>
        <w:gridCol w:w="1679"/>
        <w:gridCol w:w="402"/>
        <w:gridCol w:w="1507"/>
        <w:gridCol w:w="207"/>
        <w:gridCol w:w="109"/>
        <w:gridCol w:w="109"/>
        <w:gridCol w:w="109"/>
        <w:gridCol w:w="402"/>
        <w:gridCol w:w="1507"/>
        <w:gridCol w:w="207"/>
        <w:gridCol w:w="109"/>
        <w:gridCol w:w="158"/>
      </w:tblGrid>
      <w:tr>
        <w:trPr/>
        <w:tc>
          <w:tcPr>
            <w:tcW w:w="2024" w:type="dxa"/>
            <w:tcBorders/>
            <w:vAlign w:val="center"/>
          </w:tcPr>
          <w:p>
            <w:pPr>
              <w:pStyle w:val="TableContents"/>
              <w:bidi w:val="0"/>
              <w:spacing w:before="0" w:after="283"/>
              <w:jc w:val="left"/>
              <w:rPr>
                <w:sz w:val="4"/>
                <w:szCs w:val="4"/>
              </w:rPr>
            </w:pPr>
            <w:r>
              <w:rPr>
                <w:sz w:val="4"/>
                <w:szCs w:val="4"/>
              </w:rPr>
            </w:r>
          </w:p>
        </w:tc>
        <w:tc>
          <w:tcPr>
            <w:tcW w:w="1676" w:type="dxa"/>
            <w:tcBorders/>
            <w:vAlign w:val="center"/>
          </w:tcPr>
          <w:p>
            <w:pPr>
              <w:pStyle w:val="TableContents"/>
              <w:bidi w:val="0"/>
              <w:spacing w:before="0" w:after="283"/>
              <w:jc w:val="left"/>
              <w:rPr>
                <w:sz w:val="4"/>
                <w:szCs w:val="4"/>
              </w:rPr>
            </w:pPr>
            <w:r>
              <w:rPr>
                <w:sz w:val="4"/>
                <w:szCs w:val="4"/>
              </w:rPr>
            </w:r>
          </w:p>
        </w:tc>
        <w:tc>
          <w:tcPr>
            <w:tcW w:w="1679"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15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15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3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21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 2023</w:t>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3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operating activities</w:t>
            </w:r>
          </w:p>
        </w:tc>
        <w:tc>
          <w:tcPr>
            <w:tcW w:w="21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4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(70,780)</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(63,675)</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to reconcile net loss to net cash used in operating activities</w:t>
            </w:r>
          </w:p>
        </w:tc>
        <w:tc>
          <w:tcPr>
            <w:tcW w:w="2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19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12,701 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12,137 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operating lease right-of-use assets</w:t>
            </w:r>
          </w:p>
        </w:tc>
        <w:tc>
          <w:tcPr>
            <w:tcW w:w="19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4,378 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3,856 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w:t>
            </w:r>
          </w:p>
        </w:tc>
        <w:tc>
          <w:tcPr>
            <w:tcW w:w="19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1,975 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1,849 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3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In-process research and development</w:t>
            </w:r>
          </w:p>
        </w:tc>
        <w:tc>
          <w:tcPr>
            <w:tcW w:w="19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760 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3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Loss on disposal of property and equipment</w:t>
            </w:r>
          </w:p>
        </w:tc>
        <w:tc>
          <w:tcPr>
            <w:tcW w:w="19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(accretion) of premiums (discount) on securities, net</w:t>
            </w:r>
          </w:p>
        </w:tc>
        <w:tc>
          <w:tcPr>
            <w:tcW w:w="19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(2,804)</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(2,659)</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operating assets and liabilities:</w:t>
            </w:r>
          </w:p>
        </w:tc>
        <w:tc>
          <w:tcPr>
            <w:tcW w:w="2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assets</w:t>
            </w:r>
          </w:p>
        </w:tc>
        <w:tc>
          <w:tcPr>
            <w:tcW w:w="19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666 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(821)</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19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(578)</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expenses and other liabilities</w:t>
            </w:r>
          </w:p>
        </w:tc>
        <w:tc>
          <w:tcPr>
            <w:tcW w:w="19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(1,397)</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w:t>
            </w:r>
          </w:p>
        </w:tc>
        <w:tc>
          <w:tcPr>
            <w:tcW w:w="19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(4,150)</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(3,208)</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operating activities</w:t>
            </w:r>
          </w:p>
        </w:tc>
        <w:tc>
          <w:tcPr>
            <w:tcW w:w="190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(59,145)</w:t>
            </w:r>
          </w:p>
        </w:tc>
        <w:tc>
          <w:tcPr>
            <w:tcW w:w="20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(51,711)</w:t>
            </w:r>
          </w:p>
        </w:tc>
        <w:tc>
          <w:tcPr>
            <w:tcW w:w="20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investing activities</w:t>
            </w:r>
          </w:p>
        </w:tc>
        <w:tc>
          <w:tcPr>
            <w:tcW w:w="2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Proceeds from maturities of securities </w:t>
            </w:r>
          </w:p>
        </w:tc>
        <w:tc>
          <w:tcPr>
            <w:tcW w:w="19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155,410 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71,599 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Purchases of securities </w:t>
            </w:r>
          </w:p>
        </w:tc>
        <w:tc>
          <w:tcPr>
            <w:tcW w:w="19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(86,278)</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(112,892)</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Purchases of property and equipment</w:t>
            </w:r>
          </w:p>
        </w:tc>
        <w:tc>
          <w:tcPr>
            <w:tcW w:w="19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(2,122)</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(2,442)</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3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Cash paid in connection with asset acquisition</w:t>
            </w:r>
          </w:p>
        </w:tc>
        <w:tc>
          <w:tcPr>
            <w:tcW w:w="19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(760)</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3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(used) by investing activities</w:t>
            </w:r>
          </w:p>
        </w:tc>
        <w:tc>
          <w:tcPr>
            <w:tcW w:w="190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66,250 </w:t>
            </w:r>
          </w:p>
        </w:tc>
        <w:tc>
          <w:tcPr>
            <w:tcW w:w="20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(43,735)</w:t>
            </w:r>
          </w:p>
        </w:tc>
        <w:tc>
          <w:tcPr>
            <w:tcW w:w="20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financing activities</w:t>
            </w:r>
          </w:p>
        </w:tc>
        <w:tc>
          <w:tcPr>
            <w:tcW w:w="2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exercise of stock options</w:t>
            </w:r>
          </w:p>
        </w:tc>
        <w:tc>
          <w:tcPr>
            <w:tcW w:w="19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620 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issuance of common stock under employee stock purchase plan</w:t>
            </w:r>
          </w:p>
        </w:tc>
        <w:tc>
          <w:tcPr>
            <w:tcW w:w="19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524 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379" w:type="dxa"/>
            <w:gridSpan w:val="3"/>
            <w:tcBorders/>
            <w:vAlign w:val="center"/>
          </w:tcPr>
          <w:p>
            <w:pPr>
              <w:pStyle w:val="TableContents"/>
              <w:bidi w:val="0"/>
              <w:spacing w:before="0" w:after="283"/>
              <w:jc w:val="left"/>
              <w:rPr>
                <w:sz w:val="4"/>
                <w:szCs w:val="4"/>
              </w:rPr>
            </w:pPr>
            <w:r>
              <w:rPr>
                <w:sz w:val="4"/>
                <w:szCs w:val="4"/>
              </w:rPr>
            </w:r>
          </w:p>
        </w:tc>
        <w:tc>
          <w:tcPr>
            <w:tcW w:w="2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379" w:type="dxa"/>
            <w:gridSpan w:val="3"/>
            <w:tcBorders/>
            <w:vAlign w:val="center"/>
          </w:tcPr>
          <w:p>
            <w:pPr>
              <w:pStyle w:val="TableContents"/>
              <w:bidi w:val="0"/>
              <w:spacing w:before="0" w:after="283"/>
              <w:jc w:val="left"/>
              <w:rPr>
                <w:sz w:val="4"/>
                <w:szCs w:val="4"/>
              </w:rPr>
            </w:pPr>
            <w:r>
              <w:rPr>
                <w:sz w:val="4"/>
                <w:szCs w:val="4"/>
              </w:rPr>
            </w:r>
          </w:p>
        </w:tc>
        <w:tc>
          <w:tcPr>
            <w:tcW w:w="2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financing activities</w:t>
            </w:r>
          </w:p>
        </w:tc>
        <w:tc>
          <w:tcPr>
            <w:tcW w:w="190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1,144 </w:t>
            </w:r>
          </w:p>
        </w:tc>
        <w:tc>
          <w:tcPr>
            <w:tcW w:w="20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368 </w:t>
            </w:r>
          </w:p>
        </w:tc>
        <w:tc>
          <w:tcPr>
            <w:tcW w:w="20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3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increase (decrease) in cash, cash equivalents and restricted cash</w:t>
            </w:r>
          </w:p>
        </w:tc>
        <w:tc>
          <w:tcPr>
            <w:tcW w:w="190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8,249 </w:t>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(95,078)</w:t>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3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cash equivalents and restricted cash at beginning of period</w:t>
            </w:r>
          </w:p>
        </w:tc>
        <w:tc>
          <w:tcPr>
            <w:tcW w:w="19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20,399 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115,477 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cash equivalents and restricted cash at end of period</w:t>
            </w:r>
          </w:p>
        </w:tc>
        <w:tc>
          <w:tcPr>
            <w:tcW w:w="4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0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28,648 </w:t>
            </w:r>
          </w:p>
        </w:tc>
        <w:tc>
          <w:tcPr>
            <w:tcW w:w="20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0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20,399 </w:t>
            </w:r>
          </w:p>
        </w:tc>
        <w:tc>
          <w:tcPr>
            <w:tcW w:w="20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3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Supplementary cash flow information on non-cash activities:</w:t>
            </w:r>
          </w:p>
        </w:tc>
        <w:tc>
          <w:tcPr>
            <w:tcW w:w="2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ind w:left="0" w:right="0" w:hanging="180"/>
              <w:jc w:val="left"/>
              <w:rPr>
                <w:sz w:val="4"/>
                <w:szCs w:val="4"/>
              </w:rPr>
            </w:pPr>
            <w:r>
              <w:rPr>
                <w:sz w:val="4"/>
                <w:szCs w:val="4"/>
              </w:rPr>
            </w:r>
          </w:p>
        </w:tc>
      </w:tr>
      <w:tr>
        <w:trPr/>
        <w:tc>
          <w:tcPr>
            <w:tcW w:w="5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Acquisitions of property and equipment included in accounts payable</w:t>
            </w:r>
          </w:p>
        </w:tc>
        <w:tc>
          <w:tcPr>
            <w:tcW w:w="4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ind w:left="0" w:right="0" w:hanging="180"/>
              <w:jc w:val="left"/>
              <w:rPr>
                <w:sz w:val="4"/>
                <w:szCs w:val="4"/>
              </w:rPr>
            </w:pPr>
            <w:r>
              <w:rPr>
                <w:sz w:val="4"/>
                <w:szCs w:val="4"/>
              </w:rPr>
            </w:r>
          </w:p>
        </w:tc>
      </w:tr>
      <w:tr>
        <w:trPr/>
        <w:tc>
          <w:tcPr>
            <w:tcW w:w="5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Right-of-use assets obtained in exchange for operating lease liability</w:t>
            </w:r>
          </w:p>
        </w:tc>
        <w:tc>
          <w:tcPr>
            <w:tcW w:w="4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7,623 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379" w:type="dxa"/>
            <w:gridSpan w:val="3"/>
            <w:tcBorders/>
            <w:vAlign w:val="center"/>
          </w:tcPr>
          <w:p>
            <w:pPr>
              <w:pStyle w:val="TableContents"/>
              <w:bidi w:val="0"/>
              <w:spacing w:before="0" w:after="283"/>
              <w:jc w:val="left"/>
              <w:rPr>
                <w:sz w:val="4"/>
                <w:szCs w:val="4"/>
              </w:rPr>
            </w:pPr>
            <w:r>
              <w:rPr>
                <w:sz w:val="4"/>
                <w:szCs w:val="4"/>
              </w:rPr>
            </w:r>
          </w:p>
        </w:tc>
        <w:tc>
          <w:tcPr>
            <w:tcW w:w="2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379" w:type="dxa"/>
            <w:gridSpan w:val="3"/>
            <w:tcBorders/>
            <w:vAlign w:val="center"/>
          </w:tcPr>
          <w:p>
            <w:pPr>
              <w:pStyle w:val="TableContents"/>
              <w:bidi w:val="0"/>
              <w:spacing w:before="0" w:after="283"/>
              <w:jc w:val="left"/>
              <w:rPr>
                <w:sz w:val="4"/>
                <w:szCs w:val="4"/>
              </w:rPr>
            </w:pPr>
            <w:r>
              <w:rPr>
                <w:sz w:val="4"/>
                <w:szCs w:val="4"/>
              </w:rPr>
            </w:r>
          </w:p>
        </w:tc>
        <w:tc>
          <w:tcPr>
            <w:tcW w:w="2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379" w:type="dxa"/>
            <w:gridSpan w:val="3"/>
            <w:tcBorders/>
            <w:vAlign w:val="center"/>
          </w:tcPr>
          <w:p>
            <w:pPr>
              <w:pStyle w:val="TableContents"/>
              <w:bidi w:val="0"/>
              <w:spacing w:before="0" w:after="283"/>
              <w:jc w:val="left"/>
              <w:rPr>
                <w:sz w:val="4"/>
                <w:szCs w:val="4"/>
              </w:rPr>
            </w:pPr>
            <w:r>
              <w:rPr>
                <w:sz w:val="4"/>
                <w:szCs w:val="4"/>
              </w:rPr>
            </w:r>
          </w:p>
        </w:tc>
        <w:tc>
          <w:tcPr>
            <w:tcW w:w="2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31445"/>
                <wp:effectExtent l="0" t="0" r="0" b="0"/>
                <wp:wrapNone/>
                <wp:docPr id="109" name="Frame91"/>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91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91</w:t>
                      </w:r>
                    </w:p>
                  </w:txbxContent>
                </v:textbox>
                <w10:wrap type="none"/>
              </v:rect>
            </w:pict>
          </mc:Fallback>
        </mc:AlternateContent>
      </w:r>
    </w:p>
    <w:tbl>
      <w:tblPr>
        <w:tblW w:w="4559" w:type="dxa"/>
        <w:jc w:val="left"/>
        <w:tblInd w:w="0" w:type="dxa"/>
        <w:tblLayout w:type="fixed"/>
        <w:tblCellMar>
          <w:top w:w="28" w:type="dxa"/>
          <w:left w:w="28" w:type="dxa"/>
          <w:bottom w:w="28" w:type="dxa"/>
          <w:right w:w="28" w:type="dxa"/>
        </w:tblCellMar>
      </w:tblPr>
      <w:tblGrid>
        <w:gridCol w:w="1459"/>
        <w:gridCol w:w="1283"/>
        <w:gridCol w:w="1817"/>
      </w:tblGrid>
      <w:tr>
        <w:trPr/>
        <w:tc>
          <w:tcPr>
            <w:tcW w:w="1459" w:type="dxa"/>
            <w:tcBorders/>
            <w:vAlign w:val="center"/>
          </w:tcPr>
          <w:p>
            <w:pPr>
              <w:pStyle w:val="TableContents"/>
              <w:bidi w:val="0"/>
              <w:spacing w:before="0" w:after="283"/>
              <w:jc w:val="left"/>
              <w:rPr>
                <w:sz w:val="4"/>
                <w:szCs w:val="4"/>
              </w:rPr>
            </w:pPr>
            <w:r>
              <w:rPr>
                <w:sz w:val="4"/>
                <w:szCs w:val="4"/>
              </w:rPr>
            </w:r>
          </w:p>
        </w:tc>
        <w:tc>
          <w:tcPr>
            <w:tcW w:w="1283" w:type="dxa"/>
            <w:tcBorders/>
            <w:vAlign w:val="center"/>
          </w:tcPr>
          <w:p>
            <w:pPr>
              <w:pStyle w:val="TableContents"/>
              <w:bidi w:val="0"/>
              <w:spacing w:before="0" w:after="283"/>
              <w:jc w:val="left"/>
              <w:rPr>
                <w:sz w:val="4"/>
                <w:szCs w:val="4"/>
              </w:rPr>
            </w:pPr>
            <w:r>
              <w:rPr>
                <w:sz w:val="4"/>
                <w:szCs w:val="4"/>
              </w:rPr>
            </w:r>
          </w:p>
        </w:tc>
        <w:tc>
          <w:tcPr>
            <w:tcW w:w="1817" w:type="dxa"/>
            <w:tcBorders/>
            <w:vAlign w:val="center"/>
          </w:tcPr>
          <w:p>
            <w:pPr>
              <w:pStyle w:val="TableContents"/>
              <w:bidi w:val="0"/>
              <w:spacing w:before="0" w:after="283"/>
              <w:jc w:val="left"/>
              <w:rPr>
                <w:sz w:val="4"/>
                <w:szCs w:val="4"/>
              </w:rPr>
            </w:pPr>
            <w:r>
              <w:rPr>
                <w:sz w:val="4"/>
                <w:szCs w:val="4"/>
              </w:rPr>
            </w:r>
          </w:p>
        </w:tc>
      </w:tr>
      <w:tr>
        <w:trPr/>
        <w:tc>
          <w:tcPr>
            <w:tcW w:w="455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4"/>
              </w:rPr>
            </w:pPr>
            <w:r>
              <w:rPr>
                <w:rFonts w:ascii="Times New Roman;sans-serif" w:hAnsi="Times New Roman;sans-serif"/>
                <w:b/>
                <w:color w:val="000000"/>
                <w:sz w:val="24"/>
              </w:rPr>
              <w:t>Nautilus Biotechnology, Inc.</w:t>
              <w:br/>
              <w:t>Notes to Consolidated Financial Statements</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pPr>
      <w:r>
        <w:rPr>
          <w:rFonts w:ascii="Times New Roman;sans-serif" w:hAnsi="Times New Roman;sans-serif"/>
          <w:b/>
          <w:color w:val="000000"/>
          <w:sz w:val="20"/>
        </w:rPr>
        <w:t>1.</w:t>
      </w:r>
      <w:r>
        <w:rPr>
          <w:rFonts w:ascii="Times New Roman;sans-serif" w:hAnsi="Times New Roman;sans-serif"/>
          <w:b/>
          <w:color w:val="000000"/>
          <w:sz w:val="20"/>
        </w:rPr>
        <w:t>Description of Business and Basis of Presentation</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Nautilus Biotechnology, Inc. (the “Company”) is a biotechnology company incorporated in 2016 with corporate headquarters in Seattle, Washington and research and development headquarters in San Carlos, California. Since the Company’s incorporation in 2016, the Company has devoted substantially all of its resources to research and development activities, including with respect to its proteomics platform, business planning, establishing and maintaining its intellectual property portfolio, hiring personnel, raising capital and providing general and administrative support for these operations.</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June 9, 2021, Nautilus Biotechnology, Inc. a Delaware corporation (f/k/a ARYA Sciences Acquisition Corp. III, a Cayman Islands exempted company and the Company’s predecessor company (“ARYA”)), consummated the business combination (the “Business Combination”) pursuant to the terms of that certain Business Combination Agreement, dated as of February 7, 2021 (the “BCA”), by and among ARYA, Mako Merger Sub, Inc., a Delaware corporation and wholly-owned subsidiary of ARYA (“Mako Merger Sub”), and Nautilus Subsidiary, Inc., a Delaware corporation (f/k/a Nautilus Biotechnology, Inc.) (“Legacy Nautilus”). As a result of the Business Combination, ARYA changed its name to “Nautilus Biotechnology, Inc.” and Mako Merger Sub merged with and into Legacy Nautilus with Legacy Nautilus surviving as the surviving company and becoming a wholly-owned subsidiary of ARYA (the “Merger” and, collectively with the other transactions described in the BCA, the “Reverse Recapitalization”). </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in conjunction with the completion of the Business Combination, certain investors (“PIPE Investors”) subscribed for the purchase of an aggregate of 20,000,000 shares of common stock of the Company (“New Nautilus Common Stock”) at a price of $10.00 per share for aggregate gross proceeds of $200.0 million (“PIPE Financing”).</w:t>
      </w:r>
    </w:p>
    <w:p>
      <w:pPr>
        <w:pStyle w:val="TextBody"/>
        <w:bidi w:val="0"/>
        <w:spacing w:lineRule="auto" w:line="288"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Basis of Presentation</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consolidated financial statements and accompanying notes were prepared in accordance with accounting principles generally accepted in the United States of America (“U.S. GAAP”) and regulations of the U.S. Securities and Exchange Commission. The accompanying financial statements are consolidated for the years ended December 31, 2024 and 2023 and include the accounts of Nautilus Biotechnology, Inc. and its wholly-owned subsidiary, Nautilus Subsidiary, Inc. All intercompany transactions and balances have been eliminated upon consolidation. The Company’s reporting currency is the U.S. dollar. </w:t>
      </w:r>
    </w:p>
    <w:p>
      <w:pPr>
        <w:pStyle w:val="TextBody"/>
        <w:bidi w:val="0"/>
        <w:spacing w:lineRule="auto" w:line="288"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Going Concern</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consolidated financial statements have been prepared on the basis of continuity of operations, the realization of assets, and the satisfaction of liabilities in the ordinary course of business. Since inception, the Company has been engaged in developing its technology, raising capital, and recruiting personnel. The Company’s operating plan may change as a result of many factors currently unknown and there can be no assurance that the current operating plan will be achieved in the time frame anticipated by the Company, and it may need to seek additional funds sooner than planned. If adequate funds are not available to the Company on a timely basis, it may be required to delay, limit, reduce, or terminate certain commercial efforts, or pursue merger or acquisition strategies, all of which could adversely affect the holdings or the rights of the Company’s stockholders. The Company has incurred net operating losses and negative cash flows from operations in every year since inception and expects this to continue for the foreseeable future. As of December 31, 2024, the Company had an accumulated deficit of $273.0 million.</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has funded its operations primarily with proceeds from the issuance of redeemable convertible preferred stock and common stock. In June 2021, the Company received gross proceeds of approximately $345.5 million from PIPE Investors and the Business Combination offset by approximately $18.2 million of transaction costs and underwriters’ fees relating to the closing of the Business Combination. The Company had cash, cash equivalents, and short-term investments of $129.9 million as of December 31, 2024. As of the date on which these consolidated financial statements were issued, the Company believes that its cash, cash equivalents, and short-term investments will be sufficient to fund its operations for at least the next twelve months following the issuance of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31445"/>
                <wp:effectExtent l="0" t="0" r="0" b="0"/>
                <wp:wrapNone/>
                <wp:docPr id="110" name="Frame9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92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92</w:t>
                      </w:r>
                    </w:p>
                  </w:txbxContent>
                </v:textbox>
                <w10:wrap type="none"/>
              </v:rect>
            </w:pict>
          </mc:Fallback>
        </mc:AlternateContent>
      </w:r>
    </w:p>
    <w:tbl>
      <w:tblPr>
        <w:tblW w:w="6029" w:type="dxa"/>
        <w:jc w:val="left"/>
        <w:tblInd w:w="0" w:type="dxa"/>
        <w:tblLayout w:type="fixed"/>
        <w:tblCellMar>
          <w:top w:w="28" w:type="dxa"/>
          <w:left w:w="28" w:type="dxa"/>
          <w:bottom w:w="28" w:type="dxa"/>
          <w:right w:w="28" w:type="dxa"/>
        </w:tblCellMar>
      </w:tblPr>
      <w:tblGrid>
        <w:gridCol w:w="1929"/>
        <w:gridCol w:w="1697"/>
        <w:gridCol w:w="2403"/>
      </w:tblGrid>
      <w:tr>
        <w:trPr/>
        <w:tc>
          <w:tcPr>
            <w:tcW w:w="1929" w:type="dxa"/>
            <w:tcBorders/>
            <w:vAlign w:val="center"/>
          </w:tcPr>
          <w:p>
            <w:pPr>
              <w:pStyle w:val="TableContents"/>
              <w:bidi w:val="0"/>
              <w:spacing w:before="0" w:after="283"/>
              <w:jc w:val="left"/>
              <w:rPr>
                <w:sz w:val="4"/>
                <w:szCs w:val="4"/>
              </w:rPr>
            </w:pPr>
            <w:r>
              <w:rPr>
                <w:sz w:val="4"/>
                <w:szCs w:val="4"/>
              </w:rPr>
            </w:r>
          </w:p>
        </w:tc>
        <w:tc>
          <w:tcPr>
            <w:tcW w:w="1697" w:type="dxa"/>
            <w:tcBorders/>
            <w:vAlign w:val="center"/>
          </w:tcPr>
          <w:p>
            <w:pPr>
              <w:pStyle w:val="TableContents"/>
              <w:bidi w:val="0"/>
              <w:spacing w:before="0" w:after="283"/>
              <w:jc w:val="left"/>
              <w:rPr>
                <w:sz w:val="4"/>
                <w:szCs w:val="4"/>
              </w:rPr>
            </w:pPr>
            <w:r>
              <w:rPr>
                <w:sz w:val="4"/>
                <w:szCs w:val="4"/>
              </w:rPr>
            </w:r>
          </w:p>
        </w:tc>
        <w:tc>
          <w:tcPr>
            <w:tcW w:w="2403" w:type="dxa"/>
            <w:tcBorders/>
            <w:vAlign w:val="center"/>
          </w:tcPr>
          <w:p>
            <w:pPr>
              <w:pStyle w:val="TableContents"/>
              <w:bidi w:val="0"/>
              <w:spacing w:before="0" w:after="283"/>
              <w:jc w:val="left"/>
              <w:rPr>
                <w:sz w:val="4"/>
                <w:szCs w:val="4"/>
              </w:rPr>
            </w:pPr>
            <w:r>
              <w:rPr>
                <w:sz w:val="4"/>
                <w:szCs w:val="4"/>
              </w:rPr>
            </w:r>
          </w:p>
        </w:tc>
      </w:tr>
      <w:tr>
        <w:trPr/>
        <w:tc>
          <w:tcPr>
            <w:tcW w:w="602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left"/>
              <w:rPr>
                <w:rFonts w:ascii="Times New Roman;sans-serif" w:hAnsi="Times New Roman;sans-serif"/>
                <w:b/>
                <w:color w:val="000000"/>
                <w:sz w:val="24"/>
              </w:rPr>
            </w:pPr>
            <w:r>
              <w:rPr>
                <w:rFonts w:ascii="Times New Roman;sans-serif" w:hAnsi="Times New Roman;sans-serif"/>
                <w:b/>
                <w:color w:val="000000"/>
                <w:sz w:val="24"/>
              </w:rPr>
              <w:t>Nautilus Biotechnology, Inc.</w:t>
            </w:r>
          </w:p>
          <w:p>
            <w:pPr>
              <w:pStyle w:val="TableContents"/>
              <w:bidi w:val="0"/>
              <w:spacing w:lineRule="auto" w:line="288" w:before="0" w:after="0"/>
              <w:jc w:val="left"/>
              <w:rPr>
                <w:rFonts w:ascii="Times New Roman;sans-serif" w:hAnsi="Times New Roman;sans-serif"/>
                <w:b/>
                <w:color w:val="000000"/>
                <w:sz w:val="24"/>
              </w:rPr>
            </w:pPr>
            <w:r>
              <w:rPr>
                <w:rFonts w:ascii="Times New Roman;sans-serif" w:hAnsi="Times New Roman;sans-serif"/>
                <w:b/>
                <w:color w:val="000000"/>
                <w:sz w:val="24"/>
              </w:rPr>
              <w:t>Notes to Consolidated Financial Statements—(Continued)</w:t>
            </w:r>
          </w:p>
        </w:tc>
      </w:tr>
    </w:tbl>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consolidated financial statements. The Company’s actual results could vary as a result of, and its near and long-term future capital requirements will depend on many factors, including its growth rate and the timing and extent of spending to support its research and development efforts. The Company has based its estimates on assumptions that may prove to be wrong, and it could use its available capital resources sooner than it currently expects. The Company may be required to seek additional equity or debt financing. Future liquidity and cash requirements will depend on numerous factors. In the event that additional financing is required, the Company may not be able to raise it on acceptable terms or at all. If the Company is unable to raise additional capital when desired, or if it cannot expand its operations or otherwise capitalize on its business opportunities because it lacks sufficient capital, its business, operating results, and financial condition would be adversely affected.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pPr>
      <w:r>
        <w:rPr>
          <w:rFonts w:ascii="Times New Roman;sans-serif" w:hAnsi="Times New Roman;sans-serif"/>
          <w:b/>
          <w:color w:val="000000"/>
          <w:sz w:val="20"/>
        </w:rPr>
        <w:t>2.</w:t>
      </w:r>
      <w:r>
        <w:rPr>
          <w:rFonts w:ascii="Times New Roman;sans-serif" w:hAnsi="Times New Roman;sans-serif"/>
          <w:b/>
          <w:color w:val="000000"/>
          <w:sz w:val="20"/>
        </w:rPr>
        <w:t xml:space="preserve">Significant Accounting Policies </w:t>
      </w:r>
    </w:p>
    <w:p>
      <w:pPr>
        <w:pStyle w:val="TextBody"/>
        <w:bidi w:val="0"/>
        <w:spacing w:lineRule="auto" w:line="288"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 xml:space="preserve">Use of Estimates </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preparation of the consolidated financial statements in conformity with U.S. GAAP requires management to make estimates and assumptions that affect the reported amounts of assets and liabilities and disclosures of contingent assets and liabilities as of the date of the consolidated financial statements, and the reported amounts of expenses during the reporting period. Actual results could differ from those estimates. Significant estimates include determining the estimated lives of property and equipment, stock-based compensation, research and development accruals, and the valuation allowance for deferred tax assets. These estimates and assumptions are based on management’s best estimates and judgment. Management evaluates its estimates and assumptions on an ongoing basis using historical experience and other factors, including the current economic environment, which management believes to be reasonable under the circumstances. The Company adjusts such estimates and assumptions when facts and circumstances dictate. Changes in those estimates resulting from continuing changes in the economic environment will be reflected in the financial statements in future periods. As future events and their effects cannot be determined with precision, actual results could materially differ from those estimates and assumptions. </w:t>
      </w:r>
    </w:p>
    <w:p>
      <w:pPr>
        <w:pStyle w:val="TextBody"/>
        <w:bidi w:val="0"/>
        <w:spacing w:lineRule="auto" w:line="288"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Concentrations of Credit Risk and Other Risks and Uncertainties</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Credit risk represents the accounting loss that would be recognized as of the reporting date if counterparties failed to perform as contracted. </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Financial instruments, which potentially subject the Company to concentration of credit risk, consist of cash balances maintained in excess of federal depository insurance limits and investments in marketable debt securities that are not federally insured. The Company has not experienced any losses in such accounts and believes it is not exposed to significant credit risk on cash or investments. The Company relies, and expects to continue to rely, on a number of vendors to provide services, supplies and materials related to its research and development programs. The Company relies on single source suppliers for certain components and materials used in the Nautilus platform. The loss of any of these single source suppliers would require the Company to expend significant time and effort to locate and qualify an alternative source of supply for these components. The Company also relies, and expects to continue to rely, on third-party manufacturers and, in many cases, single third-party manufacturers for the production of certain reagents and antibodies. These programs could be adversely affected by a significant interruption in these services or the availability of materials.</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is subject to risks similar to those of pre-clinical stage companies in the biopharmaceutical industry, including dependence on key individuals, the need to develop commercially viable products, competition from other companies, many of whom are larger and better capitalized, the impact of negative global and national events and the need to obtain adequate additional financing to fund the development of its products. There can be no assurance that the Company’s research and development will be successfully completed, that adequate protection for the Company’s intellectual property will be maintained, that any products developed will obtain required regulatory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31445"/>
                <wp:effectExtent l="0" t="0" r="0" b="0"/>
                <wp:wrapNone/>
                <wp:docPr id="111" name="Frame9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93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93</w:t>
                      </w:r>
                    </w:p>
                  </w:txbxContent>
                </v:textbox>
                <w10:wrap type="none"/>
              </v:rect>
            </w:pict>
          </mc:Fallback>
        </mc:AlternateContent>
      </w:r>
    </w:p>
    <w:tbl>
      <w:tblPr>
        <w:tblW w:w="6029" w:type="dxa"/>
        <w:jc w:val="left"/>
        <w:tblInd w:w="0" w:type="dxa"/>
        <w:tblLayout w:type="fixed"/>
        <w:tblCellMar>
          <w:top w:w="28" w:type="dxa"/>
          <w:left w:w="28" w:type="dxa"/>
          <w:bottom w:w="28" w:type="dxa"/>
          <w:right w:w="28" w:type="dxa"/>
        </w:tblCellMar>
      </w:tblPr>
      <w:tblGrid>
        <w:gridCol w:w="1929"/>
        <w:gridCol w:w="1697"/>
        <w:gridCol w:w="2403"/>
      </w:tblGrid>
      <w:tr>
        <w:trPr/>
        <w:tc>
          <w:tcPr>
            <w:tcW w:w="1929" w:type="dxa"/>
            <w:tcBorders/>
            <w:vAlign w:val="center"/>
          </w:tcPr>
          <w:p>
            <w:pPr>
              <w:pStyle w:val="TableContents"/>
              <w:bidi w:val="0"/>
              <w:spacing w:before="0" w:after="283"/>
              <w:jc w:val="left"/>
              <w:rPr>
                <w:sz w:val="4"/>
                <w:szCs w:val="4"/>
              </w:rPr>
            </w:pPr>
            <w:r>
              <w:rPr>
                <w:sz w:val="4"/>
                <w:szCs w:val="4"/>
              </w:rPr>
            </w:r>
          </w:p>
        </w:tc>
        <w:tc>
          <w:tcPr>
            <w:tcW w:w="1697" w:type="dxa"/>
            <w:tcBorders/>
            <w:vAlign w:val="center"/>
          </w:tcPr>
          <w:p>
            <w:pPr>
              <w:pStyle w:val="TableContents"/>
              <w:bidi w:val="0"/>
              <w:spacing w:before="0" w:after="283"/>
              <w:jc w:val="left"/>
              <w:rPr>
                <w:sz w:val="4"/>
                <w:szCs w:val="4"/>
              </w:rPr>
            </w:pPr>
            <w:r>
              <w:rPr>
                <w:sz w:val="4"/>
                <w:szCs w:val="4"/>
              </w:rPr>
            </w:r>
          </w:p>
        </w:tc>
        <w:tc>
          <w:tcPr>
            <w:tcW w:w="2403" w:type="dxa"/>
            <w:tcBorders/>
            <w:vAlign w:val="center"/>
          </w:tcPr>
          <w:p>
            <w:pPr>
              <w:pStyle w:val="TableContents"/>
              <w:bidi w:val="0"/>
              <w:spacing w:before="0" w:after="283"/>
              <w:jc w:val="left"/>
              <w:rPr>
                <w:sz w:val="4"/>
                <w:szCs w:val="4"/>
              </w:rPr>
            </w:pPr>
            <w:r>
              <w:rPr>
                <w:sz w:val="4"/>
                <w:szCs w:val="4"/>
              </w:rPr>
            </w:r>
          </w:p>
        </w:tc>
      </w:tr>
      <w:tr>
        <w:trPr/>
        <w:tc>
          <w:tcPr>
            <w:tcW w:w="602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left"/>
              <w:rPr>
                <w:rFonts w:ascii="Times New Roman;sans-serif" w:hAnsi="Times New Roman;sans-serif"/>
                <w:b/>
                <w:color w:val="000000"/>
                <w:sz w:val="24"/>
              </w:rPr>
            </w:pPr>
            <w:r>
              <w:rPr>
                <w:rFonts w:ascii="Times New Roman;sans-serif" w:hAnsi="Times New Roman;sans-serif"/>
                <w:b/>
                <w:color w:val="000000"/>
                <w:sz w:val="24"/>
              </w:rPr>
              <w:t>Nautilus Biotechnology, Inc.</w:t>
            </w:r>
          </w:p>
          <w:p>
            <w:pPr>
              <w:pStyle w:val="TableContents"/>
              <w:bidi w:val="0"/>
              <w:spacing w:lineRule="auto" w:line="288" w:before="0" w:after="0"/>
              <w:jc w:val="left"/>
              <w:rPr>
                <w:rFonts w:ascii="Times New Roman;sans-serif" w:hAnsi="Times New Roman;sans-serif"/>
                <w:b/>
                <w:color w:val="000000"/>
                <w:sz w:val="24"/>
              </w:rPr>
            </w:pPr>
            <w:r>
              <w:rPr>
                <w:rFonts w:ascii="Times New Roman;sans-serif" w:hAnsi="Times New Roman;sans-serif"/>
                <w:b/>
                <w:color w:val="000000"/>
                <w:sz w:val="24"/>
              </w:rPr>
              <w:t>Notes to Consolidated Financial Statements—(Continued)</w:t>
            </w:r>
          </w:p>
        </w:tc>
      </w:tr>
    </w:tbl>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approval or that any approved products will be commercially viable. Even if the Company’s development efforts are successful, it is uncertain when, if ever, the Company will generate significant revenue from the sale of its products.</w:t>
      </w:r>
    </w:p>
    <w:p>
      <w:pPr>
        <w:pStyle w:val="TextBody"/>
        <w:bidi w:val="0"/>
        <w:spacing w:lineRule="auto" w:line="288"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Segment Reporting</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Operating segments are defined as components of an entity where discrete financial information is evaluated regularly by the chief operating decision maker (“CODM”) in deciding how to allocate resources and in assessing performance. The Company’s Chief Executive Officer is its CODM. The Company’s CODM reviews financial information presented on a consolidated basis for the purposes of making operating decisions, allocating resources and evaluating financial performance. As such, the Company has determined that it operates in one operating and one reportable segment. The Company’s long-lived assets are entirely based in the United States. </w:t>
      </w:r>
    </w:p>
    <w:p>
      <w:pPr>
        <w:pStyle w:val="TextBody"/>
        <w:bidi w:val="0"/>
        <w:spacing w:lineRule="auto" w:line="288"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 xml:space="preserve">Cash and Cash Equivalents </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considers all highly-liquid investments with an original maturity of three months or less as of the date of acquisition to be cash equivalents. </w:t>
      </w:r>
    </w:p>
    <w:p>
      <w:pPr>
        <w:pStyle w:val="TextBody"/>
        <w:bidi w:val="0"/>
        <w:spacing w:lineRule="auto" w:line="288"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Investments</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considers investments with an original maturity greater than three months and remaining maturities less than 12 months to be short-term investments. The Company classifies those investments that are not required for use in current operations and that mature in more than 12 months as long-term investments.</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classifies its marketable debt securities as available for sale and reports them at fair value, with unrealized gains and losses recorded in accumulated other comprehensive income (loss). For investments sold prior to maturity, the cost of investments sold is based on the specific identification method. Realized gains and losses on the sale of investments are recorded in other income (expense), net in the consolidated statement of operations. </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If the estimated fair value of a marketable debt security is below its amortized cost basis, the Company evaluates whether it is more likely than not that the Company will be required to sell the security before its anticipated recovery in market value and whether credit losses exist for the related securities. Credit-related losses are recognized as an allowance for credit losses on the balance sheet with a corresponding adjustment to earnings. Unrealized gains and losses that are unrelated to credit deterioration are reported in accumulated other comprehensive income (loss). </w:t>
      </w:r>
    </w:p>
    <w:p>
      <w:pPr>
        <w:pStyle w:val="TextBody"/>
        <w:bidi w:val="0"/>
        <w:spacing w:lineRule="auto" w:line="288"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 xml:space="preserve">Fair Value of Financial Instruments </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Fair value is defined as the price that would be received for sale of an asset or paid for transfer of a liability, in an orderly transaction between market participants at the measurement date. U.S. GAAP establishes a three-tier fair value hierarchy, which prioritizes the inputs used in measuring fair value. </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hierarchy gives the highest priority to unadjusted quoted prices in active markets for identical assets or liabilities (Level 1 measurements) and the lowest priority to unobservable inputs (Level 3 measurements). These tiers include:</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Level 1, defined as observable inputs such as quoted prices for identical instruments in active markets;</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Level 2, defined as inputs other than quoted prices in active markets that are either directly or indirectly observable such as quoted prices for similar instruments in active markets or quoted prices for identical or similar instruments in markets that are not active; and</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Level 3, defined as unobservable inputs in which little or no market data exists, therefore requiring an entity to develop its own assumptions, such as valuations derived from valuation techniques in which one or more significant inputs or significant value drivers are unobservable.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31445"/>
                <wp:effectExtent l="0" t="0" r="0" b="0"/>
                <wp:wrapNone/>
                <wp:docPr id="112" name="Frame9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94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94</w:t>
                      </w:r>
                    </w:p>
                  </w:txbxContent>
                </v:textbox>
                <w10:wrap type="none"/>
              </v:rect>
            </w:pict>
          </mc:Fallback>
        </mc:AlternateContent>
      </w:r>
    </w:p>
    <w:tbl>
      <w:tblPr>
        <w:tblW w:w="6029" w:type="dxa"/>
        <w:jc w:val="left"/>
        <w:tblInd w:w="0" w:type="dxa"/>
        <w:tblLayout w:type="fixed"/>
        <w:tblCellMar>
          <w:top w:w="28" w:type="dxa"/>
          <w:left w:w="28" w:type="dxa"/>
          <w:bottom w:w="28" w:type="dxa"/>
          <w:right w:w="28" w:type="dxa"/>
        </w:tblCellMar>
      </w:tblPr>
      <w:tblGrid>
        <w:gridCol w:w="1929"/>
        <w:gridCol w:w="1697"/>
        <w:gridCol w:w="2403"/>
      </w:tblGrid>
      <w:tr>
        <w:trPr/>
        <w:tc>
          <w:tcPr>
            <w:tcW w:w="1929" w:type="dxa"/>
            <w:tcBorders/>
            <w:vAlign w:val="center"/>
          </w:tcPr>
          <w:p>
            <w:pPr>
              <w:pStyle w:val="TableContents"/>
              <w:bidi w:val="0"/>
              <w:spacing w:before="0" w:after="283"/>
              <w:jc w:val="left"/>
              <w:rPr>
                <w:sz w:val="4"/>
                <w:szCs w:val="4"/>
              </w:rPr>
            </w:pPr>
            <w:r>
              <w:rPr>
                <w:sz w:val="4"/>
                <w:szCs w:val="4"/>
              </w:rPr>
            </w:r>
          </w:p>
        </w:tc>
        <w:tc>
          <w:tcPr>
            <w:tcW w:w="1697" w:type="dxa"/>
            <w:tcBorders/>
            <w:vAlign w:val="center"/>
          </w:tcPr>
          <w:p>
            <w:pPr>
              <w:pStyle w:val="TableContents"/>
              <w:bidi w:val="0"/>
              <w:spacing w:before="0" w:after="283"/>
              <w:jc w:val="left"/>
              <w:rPr>
                <w:sz w:val="4"/>
                <w:szCs w:val="4"/>
              </w:rPr>
            </w:pPr>
            <w:r>
              <w:rPr>
                <w:sz w:val="4"/>
                <w:szCs w:val="4"/>
              </w:rPr>
            </w:r>
          </w:p>
        </w:tc>
        <w:tc>
          <w:tcPr>
            <w:tcW w:w="2403" w:type="dxa"/>
            <w:tcBorders/>
            <w:vAlign w:val="center"/>
          </w:tcPr>
          <w:p>
            <w:pPr>
              <w:pStyle w:val="TableContents"/>
              <w:bidi w:val="0"/>
              <w:spacing w:before="0" w:after="283"/>
              <w:jc w:val="left"/>
              <w:rPr>
                <w:sz w:val="4"/>
                <w:szCs w:val="4"/>
              </w:rPr>
            </w:pPr>
            <w:r>
              <w:rPr>
                <w:sz w:val="4"/>
                <w:szCs w:val="4"/>
              </w:rPr>
            </w:r>
          </w:p>
        </w:tc>
      </w:tr>
      <w:tr>
        <w:trPr/>
        <w:tc>
          <w:tcPr>
            <w:tcW w:w="602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left"/>
              <w:rPr>
                <w:rFonts w:ascii="Times New Roman;sans-serif" w:hAnsi="Times New Roman;sans-serif"/>
                <w:b/>
                <w:color w:val="000000"/>
                <w:sz w:val="24"/>
              </w:rPr>
            </w:pPr>
            <w:r>
              <w:rPr>
                <w:rFonts w:ascii="Times New Roman;sans-serif" w:hAnsi="Times New Roman;sans-serif"/>
                <w:b/>
                <w:color w:val="000000"/>
                <w:sz w:val="24"/>
              </w:rPr>
              <w:t>Nautilus Biotechnology, Inc.</w:t>
            </w:r>
          </w:p>
          <w:p>
            <w:pPr>
              <w:pStyle w:val="TableContents"/>
              <w:bidi w:val="0"/>
              <w:spacing w:lineRule="auto" w:line="288" w:before="0" w:after="0"/>
              <w:jc w:val="left"/>
              <w:rPr>
                <w:rFonts w:ascii="Times New Roman;sans-serif" w:hAnsi="Times New Roman;sans-serif"/>
                <w:b/>
                <w:color w:val="000000"/>
                <w:sz w:val="24"/>
              </w:rPr>
            </w:pPr>
            <w:r>
              <w:rPr>
                <w:rFonts w:ascii="Times New Roman;sans-serif" w:hAnsi="Times New Roman;sans-serif"/>
                <w:b/>
                <w:color w:val="000000"/>
                <w:sz w:val="24"/>
              </w:rPr>
              <w:t>Notes to Consolidated Financial Statements—(Continued)</w:t>
            </w:r>
          </w:p>
        </w:tc>
      </w:tr>
    </w:tbl>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 some circumstances, the inputs used to measure fair value might be categorized within different levels of the fair value hierarchy. In those instances, the fair value measurement is categorized in its entirety in the fair value hierarchy based on the lowest level input that is significant to the fair value measurement.</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carrying amounts of cash and cash equivalents, prepaid expenses and other current assets, accounts payable and accrued expenses and other liabilities approximate their respective fair values due to their short-term nature.</w:t>
      </w:r>
    </w:p>
    <w:p>
      <w:pPr>
        <w:pStyle w:val="TextBody"/>
        <w:bidi w:val="0"/>
        <w:spacing w:lineRule="auto" w:line="288"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 xml:space="preserve">Property and Equipment, net </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 consisting primarily of laboratory equipment, computers, furniture and fixtures, and office equipment are recorded at cost and are depreciated on a straight-line basis over their estimated useful life.</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Useful lives assigned to property and equipment are as follows:</w:t>
      </w:r>
    </w:p>
    <w:tbl>
      <w:tblPr>
        <w:tblW w:w="6719" w:type="dxa"/>
        <w:jc w:val="left"/>
        <w:tblInd w:w="0" w:type="dxa"/>
        <w:tblLayout w:type="fixed"/>
        <w:tblCellMar>
          <w:top w:w="28" w:type="dxa"/>
          <w:left w:w="28" w:type="dxa"/>
          <w:bottom w:w="28" w:type="dxa"/>
          <w:right w:w="28" w:type="dxa"/>
        </w:tblCellMar>
      </w:tblPr>
      <w:tblGrid>
        <w:gridCol w:w="782"/>
        <w:gridCol w:w="687"/>
        <w:gridCol w:w="690"/>
        <w:gridCol w:w="1334"/>
        <w:gridCol w:w="1334"/>
        <w:gridCol w:w="1892"/>
      </w:tblGrid>
      <w:tr>
        <w:trPr/>
        <w:tc>
          <w:tcPr>
            <w:tcW w:w="782"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334" w:type="dxa"/>
            <w:tcBorders/>
            <w:vAlign w:val="center"/>
          </w:tcPr>
          <w:p>
            <w:pPr>
              <w:pStyle w:val="TableContents"/>
              <w:bidi w:val="0"/>
              <w:spacing w:before="0" w:after="283"/>
              <w:jc w:val="left"/>
              <w:rPr>
                <w:sz w:val="4"/>
                <w:szCs w:val="4"/>
              </w:rPr>
            </w:pPr>
            <w:r>
              <w:rPr>
                <w:sz w:val="4"/>
                <w:szCs w:val="4"/>
              </w:rPr>
            </w:r>
          </w:p>
        </w:tc>
        <w:tc>
          <w:tcPr>
            <w:tcW w:w="1334" w:type="dxa"/>
            <w:tcBorders/>
            <w:vAlign w:val="center"/>
          </w:tcPr>
          <w:p>
            <w:pPr>
              <w:pStyle w:val="TableContents"/>
              <w:bidi w:val="0"/>
              <w:spacing w:before="0" w:after="283"/>
              <w:jc w:val="left"/>
              <w:rPr>
                <w:sz w:val="4"/>
                <w:szCs w:val="4"/>
              </w:rPr>
            </w:pPr>
            <w:r>
              <w:rPr>
                <w:sz w:val="4"/>
                <w:szCs w:val="4"/>
              </w:rPr>
            </w:r>
          </w:p>
        </w:tc>
        <w:tc>
          <w:tcPr>
            <w:tcW w:w="1892" w:type="dxa"/>
            <w:tcBorders/>
            <w:vAlign w:val="center"/>
          </w:tcPr>
          <w:p>
            <w:pPr>
              <w:pStyle w:val="TableContents"/>
              <w:bidi w:val="0"/>
              <w:spacing w:before="0" w:after="283"/>
              <w:jc w:val="left"/>
              <w:rPr>
                <w:sz w:val="4"/>
                <w:szCs w:val="4"/>
              </w:rPr>
            </w:pPr>
            <w:r>
              <w:rPr>
                <w:sz w:val="4"/>
                <w:szCs w:val="4"/>
              </w:rPr>
            </w:r>
          </w:p>
        </w:tc>
      </w:tr>
      <w:tr>
        <w:trPr/>
        <w:tc>
          <w:tcPr>
            <w:tcW w:w="215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Laboratory equipment</w:t>
            </w:r>
          </w:p>
        </w:tc>
        <w:tc>
          <w:tcPr>
            <w:tcW w:w="456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 years to 5 years</w:t>
            </w:r>
          </w:p>
        </w:tc>
      </w:tr>
      <w:tr>
        <w:trPr/>
        <w:tc>
          <w:tcPr>
            <w:tcW w:w="215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Prototype equipment</w:t>
            </w:r>
          </w:p>
        </w:tc>
        <w:tc>
          <w:tcPr>
            <w:tcW w:w="4560"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3 years</w:t>
            </w:r>
          </w:p>
        </w:tc>
      </w:tr>
      <w:tr>
        <w:trPr/>
        <w:tc>
          <w:tcPr>
            <w:tcW w:w="215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Computer hardware</w:t>
            </w:r>
          </w:p>
        </w:tc>
        <w:tc>
          <w:tcPr>
            <w:tcW w:w="4560"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3 years</w:t>
            </w:r>
          </w:p>
        </w:tc>
      </w:tr>
      <w:tr>
        <w:trPr/>
        <w:tc>
          <w:tcPr>
            <w:tcW w:w="215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Furniture and fixtures</w:t>
            </w:r>
          </w:p>
        </w:tc>
        <w:tc>
          <w:tcPr>
            <w:tcW w:w="4560"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3 years</w:t>
            </w:r>
          </w:p>
        </w:tc>
      </w:tr>
      <w:tr>
        <w:trPr/>
        <w:tc>
          <w:tcPr>
            <w:tcW w:w="2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12529"/>
                <w:sz w:val="20"/>
              </w:rPr>
            </w:pPr>
            <w:r>
              <w:rPr>
                <w:rFonts w:ascii="Times New Roman;sans-serif" w:hAnsi="Times New Roman;sans-serif"/>
                <w:b w:val="false"/>
                <w:color w:val="212529"/>
                <w:sz w:val="20"/>
              </w:rPr>
              <w:t>Office equipment</w:t>
            </w:r>
          </w:p>
        </w:tc>
        <w:tc>
          <w:tcPr>
            <w:tcW w:w="456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 years to 5 years</w:t>
            </w:r>
          </w:p>
        </w:tc>
      </w:tr>
      <w:tr>
        <w:trPr/>
        <w:tc>
          <w:tcPr>
            <w:tcW w:w="215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212529"/>
                <w:sz w:val="20"/>
              </w:rPr>
            </w:pPr>
            <w:r>
              <w:rPr>
                <w:rFonts w:ascii="Times New Roman;sans-serif" w:hAnsi="Times New Roman;sans-serif"/>
                <w:b w:val="false"/>
                <w:color w:val="212529"/>
                <w:sz w:val="20"/>
              </w:rPr>
              <w:t>Leasehold improvements</w:t>
            </w:r>
          </w:p>
        </w:tc>
        <w:tc>
          <w:tcPr>
            <w:tcW w:w="456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212529"/>
                <w:sz w:val="20"/>
              </w:rPr>
            </w:pPr>
            <w:r>
              <w:rPr>
                <w:rFonts w:ascii="Times New Roman;sans-serif" w:hAnsi="Times New Roman;sans-serif"/>
                <w:b w:val="false"/>
                <w:color w:val="212529"/>
                <w:sz w:val="20"/>
              </w:rPr>
              <w:t>Shorter of estimated useful life or remaining lease term</w:t>
            </w:r>
          </w:p>
        </w:tc>
      </w:tr>
    </w:tbl>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When assets are retired or otherwise disposed of, the cost and related accumulated depreciation are removed from the accounts, and any resulting gain or loss is recognized as income or loss for the period.</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Maintenance and repairs are charged to operating expense in the period incurred. </w:t>
      </w:r>
    </w:p>
    <w:p>
      <w:pPr>
        <w:pStyle w:val="TextBody"/>
        <w:bidi w:val="0"/>
        <w:spacing w:lineRule="auto" w:line="288"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 xml:space="preserve">Impairment of Long-Lived Assets </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periodically reviews its long-lived assets, including property and equipment, for impairment whenever events or changes in circumstances indicate that the carrying amount of the asset may not be recoverable. </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With respect to property and equipment, the Company compares the carrying value of the long-lived assets with the estimated future net undiscounted cash flows expected to result from the use and eventual disposition of the asset (or asset group). Should the sum of the estimated future net undiscounted cash flows be less than the carrying value, the Company would recognize an impairment loss as of that date. An impairment loss would be measured by comparing the amount by which the carrying value exceeds the fair value of the long-lived assets. No impairment of long-lived assets was recorded in any of the periods presented.</w:t>
      </w:r>
    </w:p>
    <w:p>
      <w:pPr>
        <w:pStyle w:val="TextBody"/>
        <w:bidi w:val="0"/>
        <w:spacing w:lineRule="auto" w:line="288"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Leases</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determines if an arrangement includes a lease at inception by assessing whether there is an identified asset and whether the contract conveys the right to control the use of the identified asset for a period of time in exchange for consideration. Operating leases with a term of more than one year are included in operating lease right-of-use (“ROU”) assets and operating lease liabilities on the Company's consolidated balance sheets. ROU assets represent the Company's right to use an underlying asset for the lease term and lease liabilities represent the obligation to make lease payments. Operating lease ROU assets and liabilities are recognized on the lease commencement date based on the present value of the future minimum lease payments over the lease term. The Company uses the incremental borrowing rate commensurate with the lease term based on the information available at the lease commencement date in determining the present value of the lease payments as the Company's leases generally do not provide an implicit rate. ROU assets initially equal the lease liability, adjusted for any prepaid lease payments and initial direct costs incurred, less any lease incentives received. Certain of the Company's leases include renewal options which allow the Company to, at its election, renew or extend the lease for a fixed or indefinite period of time. These renewal periods are included in the lease terms when the Company is reasonably certain the options will be exercised. Lease expense is recognized on a straight-line basis over the lease term when leases are operating leases. If it is considered a finance lease, expense is recognized over the lease term within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31445"/>
                <wp:effectExtent l="0" t="0" r="0" b="0"/>
                <wp:wrapNone/>
                <wp:docPr id="113" name="Frame9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95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95</w:t>
                      </w:r>
                    </w:p>
                  </w:txbxContent>
                </v:textbox>
                <w10:wrap type="none"/>
              </v:rect>
            </w:pict>
          </mc:Fallback>
        </mc:AlternateContent>
      </w:r>
    </w:p>
    <w:tbl>
      <w:tblPr>
        <w:tblW w:w="6029" w:type="dxa"/>
        <w:jc w:val="left"/>
        <w:tblInd w:w="0" w:type="dxa"/>
        <w:tblLayout w:type="fixed"/>
        <w:tblCellMar>
          <w:top w:w="28" w:type="dxa"/>
          <w:left w:w="28" w:type="dxa"/>
          <w:bottom w:w="28" w:type="dxa"/>
          <w:right w:w="28" w:type="dxa"/>
        </w:tblCellMar>
      </w:tblPr>
      <w:tblGrid>
        <w:gridCol w:w="1929"/>
        <w:gridCol w:w="1697"/>
        <w:gridCol w:w="2403"/>
      </w:tblGrid>
      <w:tr>
        <w:trPr/>
        <w:tc>
          <w:tcPr>
            <w:tcW w:w="1929" w:type="dxa"/>
            <w:tcBorders/>
            <w:vAlign w:val="center"/>
          </w:tcPr>
          <w:p>
            <w:pPr>
              <w:pStyle w:val="TableContents"/>
              <w:bidi w:val="0"/>
              <w:spacing w:before="0" w:after="283"/>
              <w:jc w:val="left"/>
              <w:rPr>
                <w:sz w:val="4"/>
                <w:szCs w:val="4"/>
              </w:rPr>
            </w:pPr>
            <w:r>
              <w:rPr>
                <w:sz w:val="4"/>
                <w:szCs w:val="4"/>
              </w:rPr>
            </w:r>
          </w:p>
        </w:tc>
        <w:tc>
          <w:tcPr>
            <w:tcW w:w="1697" w:type="dxa"/>
            <w:tcBorders/>
            <w:vAlign w:val="center"/>
          </w:tcPr>
          <w:p>
            <w:pPr>
              <w:pStyle w:val="TableContents"/>
              <w:bidi w:val="0"/>
              <w:spacing w:before="0" w:after="283"/>
              <w:jc w:val="left"/>
              <w:rPr>
                <w:sz w:val="4"/>
                <w:szCs w:val="4"/>
              </w:rPr>
            </w:pPr>
            <w:r>
              <w:rPr>
                <w:sz w:val="4"/>
                <w:szCs w:val="4"/>
              </w:rPr>
            </w:r>
          </w:p>
        </w:tc>
        <w:tc>
          <w:tcPr>
            <w:tcW w:w="2403" w:type="dxa"/>
            <w:tcBorders/>
            <w:vAlign w:val="center"/>
          </w:tcPr>
          <w:p>
            <w:pPr>
              <w:pStyle w:val="TableContents"/>
              <w:bidi w:val="0"/>
              <w:spacing w:before="0" w:after="283"/>
              <w:jc w:val="left"/>
              <w:rPr>
                <w:sz w:val="4"/>
                <w:szCs w:val="4"/>
              </w:rPr>
            </w:pPr>
            <w:r>
              <w:rPr>
                <w:sz w:val="4"/>
                <w:szCs w:val="4"/>
              </w:rPr>
            </w:r>
          </w:p>
        </w:tc>
      </w:tr>
      <w:tr>
        <w:trPr/>
        <w:tc>
          <w:tcPr>
            <w:tcW w:w="602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left"/>
              <w:rPr>
                <w:rFonts w:ascii="Times New Roman;sans-serif" w:hAnsi="Times New Roman;sans-serif"/>
                <w:b/>
                <w:color w:val="000000"/>
                <w:sz w:val="24"/>
              </w:rPr>
            </w:pPr>
            <w:r>
              <w:rPr>
                <w:rFonts w:ascii="Times New Roman;sans-serif" w:hAnsi="Times New Roman;sans-serif"/>
                <w:b/>
                <w:color w:val="000000"/>
                <w:sz w:val="24"/>
              </w:rPr>
              <w:t>Nautilus Biotechnology, Inc.</w:t>
            </w:r>
          </w:p>
          <w:p>
            <w:pPr>
              <w:pStyle w:val="TableContents"/>
              <w:bidi w:val="0"/>
              <w:spacing w:lineRule="auto" w:line="288" w:before="0" w:after="0"/>
              <w:jc w:val="left"/>
              <w:rPr>
                <w:rFonts w:ascii="Times New Roman;sans-serif" w:hAnsi="Times New Roman;sans-serif"/>
                <w:b/>
                <w:color w:val="000000"/>
                <w:sz w:val="24"/>
              </w:rPr>
            </w:pPr>
            <w:r>
              <w:rPr>
                <w:rFonts w:ascii="Times New Roman;sans-serif" w:hAnsi="Times New Roman;sans-serif"/>
                <w:b/>
                <w:color w:val="000000"/>
                <w:sz w:val="24"/>
              </w:rPr>
              <w:t>Notes to Consolidated Financial Statements—(Continued)</w:t>
            </w:r>
          </w:p>
        </w:tc>
      </w:tr>
    </w:tbl>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and amortization in the Company’s consolidated statements of operations. The Company also has lease arrangements with lease and non-lease components. The Company elected the practical expedient not to separate non-lease components from lease components for the Company's facility leases and to account for the lease and non-lease components as a single lease component. The Company also elected to apply the short-term lease measurement and recognition exemption in which ROU assets and lease liabilities are not recognized for leases with terms of 12 months or less.</w:t>
      </w:r>
    </w:p>
    <w:p>
      <w:pPr>
        <w:pStyle w:val="TextBody"/>
        <w:bidi w:val="0"/>
        <w:spacing w:lineRule="auto" w:line="288"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 xml:space="preserve">Income Taxes </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accounts for income taxes using the asset and liability method.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 Valuation allowances are provided if, based upon the weight of available evidence, it is more likely than not that some or all of the net deferred tax assets will not be realized. In making such a determination, the Company considers all available positive and negative evidence, including future reversals of existing taxable temporary differences, projected future taxable income, tax-planning strategies, and recent results of operations, primarily over the most recent three-year period. </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recognizes the effect of income tax positions only if those positions are more likely than not of being sustained upon an audit. Recognized income tax positions are measured at the largest amount that is greater than 50% likely of being recognized. Changes in recognition or measurement are reflected in the period in which the change in judgement occurs.</w:t>
      </w:r>
    </w:p>
    <w:p>
      <w:pPr>
        <w:pStyle w:val="TextBody"/>
        <w:bidi w:val="0"/>
        <w:spacing w:lineRule="auto" w:line="288"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 xml:space="preserve">Research and Development </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Costs for research and development activities are expensed in the period in which they are incurred. Research and development expenses consist of costs incurred in performing research and development activities, including salaries, bonuses, stock-based compensation, and employee benefits for product development personnel, laboratory supplies and equipment, depreciation and amortization, external costs of vendors engaged to conduct research and development activities, acquired in-process research and development, and allocated expenses for technology and facilities.</w:t>
      </w:r>
    </w:p>
    <w:p>
      <w:pPr>
        <w:pStyle w:val="TextBody"/>
        <w:bidi w:val="0"/>
        <w:spacing w:lineRule="auto" w:line="288" w:before="0" w:after="180"/>
        <w:ind w:left="0" w:right="0" w:firstLine="360"/>
        <w:jc w:val="left"/>
        <w:rPr/>
      </w:pPr>
      <w:r>
        <w:rPr>
          <w:rFonts w:ascii="Times New Roman;sans-serif" w:hAnsi="Times New Roman;sans-serif"/>
          <w:b w:val="false"/>
          <w:color w:val="000000"/>
          <w:sz w:val="20"/>
        </w:rPr>
        <w:t>As part of the process of preparing its financial statements, the Company estimates its accrued expenses</w:t>
      </w:r>
      <w:r>
        <w:rPr>
          <w:rFonts w:ascii="Times New Roman;sans-serif" w:hAnsi="Times New Roman;sans-serif"/>
          <w:b/>
          <w:i/>
          <w:color w:val="000000"/>
          <w:sz w:val="20"/>
        </w:rPr>
        <w:t xml:space="preserve">. </w:t>
      </w:r>
      <w:r>
        <w:rPr>
          <w:rFonts w:ascii="Times New Roman;sans-serif" w:hAnsi="Times New Roman;sans-serif"/>
          <w:b w:val="false"/>
          <w:color w:val="000000"/>
          <w:sz w:val="20"/>
        </w:rPr>
        <w:t>This process involves reviewing quotations and contracts, identifying services that have been performed on the Company’s behalf and estimating the level of services performed and the associated cost incurred for services for which the Company has not yet been invoiced or otherwise notified of the actual cost. The majority of the Company’s service providers invoice monthly in arrears for services performed or when contractual milestones are met. The Company makes estimates of its accrued expenses at the end of each reporting period based on the facts and circumstances known to the Company at that time. The significant estimates in the Company’s accrued research and development expenses relate to expenses incurred with respect to academic research centers and other vendors in connection with research and development activities for which the Company has not yet been invoiced.</w:t>
      </w:r>
    </w:p>
    <w:p>
      <w:pPr>
        <w:pStyle w:val="TextBody"/>
        <w:bidi w:val="0"/>
        <w:spacing w:lineRule="auto" w:line="288"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 xml:space="preserve">Stock-based Compensation </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accounts for stock-based compensation expense by calculating the estimated fair value of each employee and non-employee award at the grant date or modification date by applying the Black-Scholes option pricing model (the “model”). The model utilizes the NASDAQ closing price of the Company’s common stock at the measurement date, the expected or contractual term of the option, the expected stock price volatility, risk-free interest rates, and expected dividend yield of the common stock. Stock-based compensation expense is recognized on a straight-line basis over the requisite service period, which is generally the vesting period. Forfeitures are recognized in the period in which the forfeiture occurs. The Company classifies stock-based compensation expense in its statement of operations in the same manner in which the award recipient’s payroll costs are classified or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31445"/>
                <wp:effectExtent l="0" t="0" r="0" b="0"/>
                <wp:wrapNone/>
                <wp:docPr id="114" name="Frame9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96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96</w:t>
                      </w:r>
                    </w:p>
                  </w:txbxContent>
                </v:textbox>
                <w10:wrap type="none"/>
              </v:rect>
            </w:pict>
          </mc:Fallback>
        </mc:AlternateContent>
      </w:r>
    </w:p>
    <w:tbl>
      <w:tblPr>
        <w:tblW w:w="6029" w:type="dxa"/>
        <w:jc w:val="left"/>
        <w:tblInd w:w="0" w:type="dxa"/>
        <w:tblLayout w:type="fixed"/>
        <w:tblCellMar>
          <w:top w:w="28" w:type="dxa"/>
          <w:left w:w="28" w:type="dxa"/>
          <w:bottom w:w="28" w:type="dxa"/>
          <w:right w:w="28" w:type="dxa"/>
        </w:tblCellMar>
      </w:tblPr>
      <w:tblGrid>
        <w:gridCol w:w="1929"/>
        <w:gridCol w:w="1697"/>
        <w:gridCol w:w="2403"/>
      </w:tblGrid>
      <w:tr>
        <w:trPr/>
        <w:tc>
          <w:tcPr>
            <w:tcW w:w="1929" w:type="dxa"/>
            <w:tcBorders/>
            <w:vAlign w:val="center"/>
          </w:tcPr>
          <w:p>
            <w:pPr>
              <w:pStyle w:val="TableContents"/>
              <w:bidi w:val="0"/>
              <w:spacing w:before="0" w:after="283"/>
              <w:jc w:val="left"/>
              <w:rPr>
                <w:sz w:val="4"/>
                <w:szCs w:val="4"/>
              </w:rPr>
            </w:pPr>
            <w:r>
              <w:rPr>
                <w:sz w:val="4"/>
                <w:szCs w:val="4"/>
              </w:rPr>
            </w:r>
          </w:p>
        </w:tc>
        <w:tc>
          <w:tcPr>
            <w:tcW w:w="1697" w:type="dxa"/>
            <w:tcBorders/>
            <w:vAlign w:val="center"/>
          </w:tcPr>
          <w:p>
            <w:pPr>
              <w:pStyle w:val="TableContents"/>
              <w:bidi w:val="0"/>
              <w:spacing w:before="0" w:after="283"/>
              <w:jc w:val="left"/>
              <w:rPr>
                <w:sz w:val="4"/>
                <w:szCs w:val="4"/>
              </w:rPr>
            </w:pPr>
            <w:r>
              <w:rPr>
                <w:sz w:val="4"/>
                <w:szCs w:val="4"/>
              </w:rPr>
            </w:r>
          </w:p>
        </w:tc>
        <w:tc>
          <w:tcPr>
            <w:tcW w:w="2403" w:type="dxa"/>
            <w:tcBorders/>
            <w:vAlign w:val="center"/>
          </w:tcPr>
          <w:p>
            <w:pPr>
              <w:pStyle w:val="TableContents"/>
              <w:bidi w:val="0"/>
              <w:spacing w:before="0" w:after="283"/>
              <w:jc w:val="left"/>
              <w:rPr>
                <w:sz w:val="4"/>
                <w:szCs w:val="4"/>
              </w:rPr>
            </w:pPr>
            <w:r>
              <w:rPr>
                <w:sz w:val="4"/>
                <w:szCs w:val="4"/>
              </w:rPr>
            </w:r>
          </w:p>
        </w:tc>
      </w:tr>
      <w:tr>
        <w:trPr/>
        <w:tc>
          <w:tcPr>
            <w:tcW w:w="602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left"/>
              <w:rPr>
                <w:rFonts w:ascii="Times New Roman;sans-serif" w:hAnsi="Times New Roman;sans-serif"/>
                <w:b/>
                <w:color w:val="000000"/>
                <w:sz w:val="24"/>
              </w:rPr>
            </w:pPr>
            <w:r>
              <w:rPr>
                <w:rFonts w:ascii="Times New Roman;sans-serif" w:hAnsi="Times New Roman;sans-serif"/>
                <w:b/>
                <w:color w:val="000000"/>
                <w:sz w:val="24"/>
              </w:rPr>
              <w:t>Nautilus Biotechnology, Inc.</w:t>
            </w:r>
          </w:p>
          <w:p>
            <w:pPr>
              <w:pStyle w:val="TableContents"/>
              <w:bidi w:val="0"/>
              <w:spacing w:lineRule="auto" w:line="288" w:before="0" w:after="0"/>
              <w:jc w:val="left"/>
              <w:rPr>
                <w:rFonts w:ascii="Times New Roman;sans-serif" w:hAnsi="Times New Roman;sans-serif"/>
                <w:b/>
                <w:color w:val="000000"/>
                <w:sz w:val="24"/>
              </w:rPr>
            </w:pPr>
            <w:r>
              <w:rPr>
                <w:rFonts w:ascii="Times New Roman;sans-serif" w:hAnsi="Times New Roman;sans-serif"/>
                <w:b/>
                <w:color w:val="000000"/>
                <w:sz w:val="24"/>
              </w:rPr>
              <w:t>Notes to Consolidated Financial Statements—(Continued)</w:t>
            </w:r>
          </w:p>
        </w:tc>
      </w:tr>
    </w:tbl>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which the award’s recipient’s service payments are classified. The Company’s stock-based compensation programs include stock options grants, as well as shares issued under its 2021 Employee Stock Purchase Plan.</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calculates the expected term as the mid-point between the requisite service period and the contractual term of the award.</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bases its estimate of expected volatility on the historical volatility of comparable public companies from a representative peer group selected based on industry, financial, and market capitalization data.</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has never declared or paid any dividends and does not currently expect to do so in the future. The risk-free interest rate used in the model is based on the implied yield currently available in the U.S. Treasury securities at maturity with an equivalent term.</w:t>
      </w:r>
    </w:p>
    <w:p>
      <w:pPr>
        <w:pStyle w:val="TextBody"/>
        <w:bidi w:val="0"/>
        <w:spacing w:lineRule="auto" w:line="288"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 xml:space="preserve">Comprehensive Loss </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Comprehensive loss consists of net loss and other gains or losses affecting stockholders’ equity that, under U.S. GAAP are excluded from net loss. For the years ended December 31, 2024 and 2023, unrealized gains and losses on marketable debt securities were included as a component of comprehensive loss. </w:t>
      </w:r>
    </w:p>
    <w:p>
      <w:pPr>
        <w:pStyle w:val="TextBody"/>
        <w:bidi w:val="0"/>
        <w:spacing w:lineRule="auto" w:line="288"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Net Loss per Share Attributable to Common Stockholders</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Basic net loss per common share is calculated by dividing the net loss attributable to common stockholders by the weighted-average number of common stock outstanding during the period, without consideration of potentially dilutive securities. Diluted net loss per share is computed by dividing the net loss attributable to common stockholders by the weighted-average number of common stock and potentially dilutive securities outstanding for the period. For the purposes of the diluted net loss per share calculation, stock options and shares to be purchased from the Employee Stock Purchase Plan are considered to be potentially dilutive securities. The net loss is attributed entirely to the Company’s common stockholders. Since the Company has reported a net loss for all periods presented, diluted net loss per common share is the same as basic net loss per common share for those periods.</w:t>
      </w:r>
    </w:p>
    <w:p>
      <w:pPr>
        <w:pStyle w:val="TextBody"/>
        <w:bidi w:val="0"/>
        <w:spacing w:lineRule="auto" w:line="288"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Accounting Pronouncements</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is provided the option to adopt new or revised accounting guidance as an “emerging growth company” under the Jumpstart Our Business Startups Act of 2012 (the “JOBS Act”) either (1) within the same periods as those otherwise applicable to public business entities, or (2) within the same time periods as non-public business entities, including early adoption when permissible. With the exception of standards the Company elected to early adopt, when permissible, the Company has elected to adopt new or revised accounting guidance within the same time period as non-public business entities, as indicated below. </w:t>
      </w:r>
    </w:p>
    <w:p>
      <w:pPr>
        <w:pStyle w:val="TextBody"/>
        <w:bidi w:val="0"/>
        <w:spacing w:lineRule="auto" w:line="288" w:before="0" w:after="180"/>
        <w:ind w:left="0" w:right="0" w:firstLine="360"/>
        <w:jc w:val="left"/>
        <w:rPr>
          <w:rFonts w:ascii="Times New Roman;sans-serif" w:hAnsi="Times New Roman;sans-serif"/>
          <w:b w:val="false"/>
          <w:i/>
          <w:color w:val="000000"/>
          <w:sz w:val="20"/>
        </w:rPr>
      </w:pPr>
      <w:r>
        <w:rPr>
          <w:rFonts w:ascii="Times New Roman;sans-serif" w:hAnsi="Times New Roman;sans-serif"/>
          <w:b w:val="false"/>
          <w:i/>
          <w:color w:val="000000"/>
          <w:sz w:val="20"/>
        </w:rPr>
        <w:t>Recently Adopted Accounting Standards</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 November 2023, the FASB issued ASU 2023-07, “Segment Reporting (Topic 280): Improvements to Reportable Segment Disclosures,” which amends existing guidance on segment reporting to improve reportable segment disclosure requirements through enhanced disclosures about significant segment expenses. The ASU is effective for the Company for the fiscal year ending December 31, 2024 and for interim periods beginning after December 31, 2024. The Company adopted the ASU during the fiscal year ended December 31, 2024 and the related disclosure requirements are included in Note 10, “Segment Information.”</w:t>
      </w:r>
    </w:p>
    <w:p>
      <w:pPr>
        <w:pStyle w:val="TextBody"/>
        <w:bidi w:val="0"/>
        <w:spacing w:lineRule="auto" w:line="288" w:before="0" w:after="180"/>
        <w:ind w:left="0" w:right="0" w:firstLine="360"/>
        <w:jc w:val="left"/>
        <w:rPr>
          <w:rFonts w:ascii="Times New Roman;sans-serif" w:hAnsi="Times New Roman;sans-serif"/>
          <w:b w:val="false"/>
          <w:i/>
          <w:color w:val="000000"/>
          <w:sz w:val="20"/>
        </w:rPr>
      </w:pPr>
      <w:r>
        <w:rPr>
          <w:rFonts w:ascii="Times New Roman;sans-serif" w:hAnsi="Times New Roman;sans-serif"/>
          <w:b w:val="false"/>
          <w:i/>
          <w:color w:val="000000"/>
          <w:sz w:val="20"/>
        </w:rPr>
        <w:t>Recently Issued Accounting Pronouncements</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 December 2023, the FASB issued ASU 2023-09, “Income Taxes (Topic 740): Improvements to Income Tax Disclosures,” to enhance the transparency and decision usefulness of income tax disclosures. The ASU is effective for the Company for the fiscal year ending December 31, 2025. The Company is in the process of evaluating the impact of the adoption of this Accounting Standards Update on its consolidated financial statements and related disclosures. The Company does not anticipate adoption to have a material impact on its consolidated financial statements and related disclosures.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31445"/>
                <wp:effectExtent l="0" t="0" r="0" b="0"/>
                <wp:wrapNone/>
                <wp:docPr id="115" name="Frame9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97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97</w:t>
                      </w:r>
                    </w:p>
                  </w:txbxContent>
                </v:textbox>
                <w10:wrap type="none"/>
              </v:rect>
            </w:pict>
          </mc:Fallback>
        </mc:AlternateContent>
      </w:r>
    </w:p>
    <w:tbl>
      <w:tblPr>
        <w:tblW w:w="6029" w:type="dxa"/>
        <w:jc w:val="left"/>
        <w:tblInd w:w="0" w:type="dxa"/>
        <w:tblLayout w:type="fixed"/>
        <w:tblCellMar>
          <w:top w:w="28" w:type="dxa"/>
          <w:left w:w="28" w:type="dxa"/>
          <w:bottom w:w="28" w:type="dxa"/>
          <w:right w:w="28" w:type="dxa"/>
        </w:tblCellMar>
      </w:tblPr>
      <w:tblGrid>
        <w:gridCol w:w="1929"/>
        <w:gridCol w:w="1697"/>
        <w:gridCol w:w="2403"/>
      </w:tblGrid>
      <w:tr>
        <w:trPr/>
        <w:tc>
          <w:tcPr>
            <w:tcW w:w="1929" w:type="dxa"/>
            <w:tcBorders/>
            <w:vAlign w:val="center"/>
          </w:tcPr>
          <w:p>
            <w:pPr>
              <w:pStyle w:val="TableContents"/>
              <w:bidi w:val="0"/>
              <w:spacing w:before="0" w:after="283"/>
              <w:jc w:val="left"/>
              <w:rPr>
                <w:sz w:val="4"/>
                <w:szCs w:val="4"/>
              </w:rPr>
            </w:pPr>
            <w:r>
              <w:rPr>
                <w:sz w:val="4"/>
                <w:szCs w:val="4"/>
              </w:rPr>
            </w:r>
          </w:p>
        </w:tc>
        <w:tc>
          <w:tcPr>
            <w:tcW w:w="1697" w:type="dxa"/>
            <w:tcBorders/>
            <w:vAlign w:val="center"/>
          </w:tcPr>
          <w:p>
            <w:pPr>
              <w:pStyle w:val="TableContents"/>
              <w:bidi w:val="0"/>
              <w:spacing w:before="0" w:after="283"/>
              <w:jc w:val="left"/>
              <w:rPr>
                <w:sz w:val="4"/>
                <w:szCs w:val="4"/>
              </w:rPr>
            </w:pPr>
            <w:r>
              <w:rPr>
                <w:sz w:val="4"/>
                <w:szCs w:val="4"/>
              </w:rPr>
            </w:r>
          </w:p>
        </w:tc>
        <w:tc>
          <w:tcPr>
            <w:tcW w:w="2403" w:type="dxa"/>
            <w:tcBorders/>
            <w:vAlign w:val="center"/>
          </w:tcPr>
          <w:p>
            <w:pPr>
              <w:pStyle w:val="TableContents"/>
              <w:bidi w:val="0"/>
              <w:spacing w:before="0" w:after="283"/>
              <w:jc w:val="left"/>
              <w:rPr>
                <w:sz w:val="4"/>
                <w:szCs w:val="4"/>
              </w:rPr>
            </w:pPr>
            <w:r>
              <w:rPr>
                <w:sz w:val="4"/>
                <w:szCs w:val="4"/>
              </w:rPr>
            </w:r>
          </w:p>
        </w:tc>
      </w:tr>
      <w:tr>
        <w:trPr/>
        <w:tc>
          <w:tcPr>
            <w:tcW w:w="602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left"/>
              <w:rPr>
                <w:rFonts w:ascii="Times New Roman;sans-serif" w:hAnsi="Times New Roman;sans-serif"/>
                <w:b/>
                <w:color w:val="000000"/>
                <w:sz w:val="24"/>
              </w:rPr>
            </w:pPr>
            <w:r>
              <w:rPr>
                <w:rFonts w:ascii="Times New Roman;sans-serif" w:hAnsi="Times New Roman;sans-serif"/>
                <w:b/>
                <w:color w:val="000000"/>
                <w:sz w:val="24"/>
              </w:rPr>
              <w:t>Nautilus Biotechnology, Inc.</w:t>
            </w:r>
          </w:p>
          <w:p>
            <w:pPr>
              <w:pStyle w:val="TableContents"/>
              <w:bidi w:val="0"/>
              <w:spacing w:lineRule="auto" w:line="288" w:before="0" w:after="0"/>
              <w:jc w:val="left"/>
              <w:rPr>
                <w:rFonts w:ascii="Times New Roman;sans-serif" w:hAnsi="Times New Roman;sans-serif"/>
                <w:b/>
                <w:color w:val="000000"/>
                <w:sz w:val="24"/>
              </w:rPr>
            </w:pPr>
            <w:r>
              <w:rPr>
                <w:rFonts w:ascii="Times New Roman;sans-serif" w:hAnsi="Times New Roman;sans-serif"/>
                <w:b/>
                <w:color w:val="000000"/>
                <w:sz w:val="24"/>
              </w:rPr>
              <w:t>Notes to Consolidated Financial Statements—(Continued)</w:t>
            </w:r>
          </w:p>
        </w:tc>
      </w:tr>
    </w:tbl>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 November 2024, the FASB issued ASU 2024-03, Income Statement—Reporting Comprehensive Income—Expense Disaggregation Disclosures (Subtopic 220-40). The amendments in this update require disclosure, in the notes to financial statements, of specified information about certain costs and expenses. The ASU is effective for the Company for the fiscal year ending December 31, 2027 and for interim periods beginning after December 31, 2027. The Company is in the process of evaluating the impact of the adoption of this Accounting Standards Update on its consolidated financial statements and related disclosures.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3.     Fair Value Measurements</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details the assets carried at fair value and measured on a recurring basis within the three levels of fair value as of December 31, 2024 and 2023:</w:t>
      </w:r>
    </w:p>
    <w:tbl>
      <w:tblPr>
        <w:tblW w:w="10552" w:type="dxa"/>
        <w:jc w:val="left"/>
        <w:tblInd w:w="0" w:type="dxa"/>
        <w:tblLayout w:type="fixed"/>
        <w:tblCellMar>
          <w:top w:w="28" w:type="dxa"/>
          <w:left w:w="28" w:type="dxa"/>
          <w:bottom w:w="28" w:type="dxa"/>
          <w:right w:w="28" w:type="dxa"/>
        </w:tblCellMar>
      </w:tblPr>
      <w:tblGrid>
        <w:gridCol w:w="407"/>
        <w:gridCol w:w="358"/>
        <w:gridCol w:w="346"/>
        <w:gridCol w:w="109"/>
        <w:gridCol w:w="109"/>
        <w:gridCol w:w="109"/>
        <w:gridCol w:w="211"/>
        <w:gridCol w:w="826"/>
        <w:gridCol w:w="109"/>
        <w:gridCol w:w="109"/>
        <w:gridCol w:w="109"/>
        <w:gridCol w:w="109"/>
        <w:gridCol w:w="211"/>
        <w:gridCol w:w="466"/>
        <w:gridCol w:w="109"/>
        <w:gridCol w:w="109"/>
        <w:gridCol w:w="109"/>
        <w:gridCol w:w="109"/>
        <w:gridCol w:w="211"/>
        <w:gridCol w:w="481"/>
        <w:gridCol w:w="109"/>
        <w:gridCol w:w="109"/>
        <w:gridCol w:w="109"/>
        <w:gridCol w:w="109"/>
        <w:gridCol w:w="211"/>
        <w:gridCol w:w="826"/>
        <w:gridCol w:w="109"/>
        <w:gridCol w:w="109"/>
        <w:gridCol w:w="109"/>
        <w:gridCol w:w="109"/>
        <w:gridCol w:w="211"/>
        <w:gridCol w:w="721"/>
        <w:gridCol w:w="109"/>
        <w:gridCol w:w="109"/>
        <w:gridCol w:w="109"/>
        <w:gridCol w:w="109"/>
        <w:gridCol w:w="211"/>
        <w:gridCol w:w="826"/>
        <w:gridCol w:w="109"/>
        <w:gridCol w:w="109"/>
        <w:gridCol w:w="109"/>
        <w:gridCol w:w="109"/>
        <w:gridCol w:w="211"/>
        <w:gridCol w:w="721"/>
        <w:gridCol w:w="154"/>
      </w:tblGrid>
      <w:tr>
        <w:trPr/>
        <w:tc>
          <w:tcPr>
            <w:tcW w:w="407"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 Unrealized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Reported as:</w:t>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Amortized 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Cash equivalents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Short-term investments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Long-term investments</w:t>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Level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Mutual funds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68,529 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68,556 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Level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69,050 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69,077 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25,836 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42,720 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Level 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paper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Agency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106,109 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106,142 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72,457 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33,685 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Level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136,990 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137,020 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26,924 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76,411 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33,685 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Level 1 and Level 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206,040 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206,097 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27,445 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102,247 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76,405 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552" w:type="dxa"/>
        <w:jc w:val="left"/>
        <w:tblInd w:w="0" w:type="dxa"/>
        <w:tblLayout w:type="fixed"/>
        <w:tblCellMar>
          <w:top w:w="28" w:type="dxa"/>
          <w:left w:w="28" w:type="dxa"/>
          <w:bottom w:w="28" w:type="dxa"/>
          <w:right w:w="28" w:type="dxa"/>
        </w:tblCellMar>
      </w:tblPr>
      <w:tblGrid>
        <w:gridCol w:w="407"/>
        <w:gridCol w:w="358"/>
        <w:gridCol w:w="346"/>
        <w:gridCol w:w="109"/>
        <w:gridCol w:w="109"/>
        <w:gridCol w:w="109"/>
        <w:gridCol w:w="211"/>
        <w:gridCol w:w="826"/>
        <w:gridCol w:w="109"/>
        <w:gridCol w:w="109"/>
        <w:gridCol w:w="109"/>
        <w:gridCol w:w="109"/>
        <w:gridCol w:w="211"/>
        <w:gridCol w:w="466"/>
        <w:gridCol w:w="109"/>
        <w:gridCol w:w="109"/>
        <w:gridCol w:w="109"/>
        <w:gridCol w:w="109"/>
        <w:gridCol w:w="211"/>
        <w:gridCol w:w="481"/>
        <w:gridCol w:w="109"/>
        <w:gridCol w:w="109"/>
        <w:gridCol w:w="109"/>
        <w:gridCol w:w="109"/>
        <w:gridCol w:w="211"/>
        <w:gridCol w:w="826"/>
        <w:gridCol w:w="109"/>
        <w:gridCol w:w="109"/>
        <w:gridCol w:w="109"/>
        <w:gridCol w:w="109"/>
        <w:gridCol w:w="211"/>
        <w:gridCol w:w="721"/>
        <w:gridCol w:w="109"/>
        <w:gridCol w:w="109"/>
        <w:gridCol w:w="109"/>
        <w:gridCol w:w="109"/>
        <w:gridCol w:w="211"/>
        <w:gridCol w:w="826"/>
        <w:gridCol w:w="109"/>
        <w:gridCol w:w="109"/>
        <w:gridCol w:w="109"/>
        <w:gridCol w:w="109"/>
        <w:gridCol w:w="211"/>
        <w:gridCol w:w="721"/>
        <w:gridCol w:w="154"/>
      </w:tblGrid>
      <w:tr>
        <w:trPr/>
        <w:tc>
          <w:tcPr>
            <w:tcW w:w="407"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 Unrealized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Reported as:</w:t>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Amortized 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Cash equivalents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Short-term investments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Long-term investments</w:t>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Level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Mutual funds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74,115 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73,972 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50,638 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23,334 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Level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74,705 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74,562 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50,638 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23,334 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Level 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paper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debt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Agency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163,849 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163,783 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96,470 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67,313 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Level 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189,452 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189,340 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103,383 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67,313 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Level 1 and Level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264,157 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(717)</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263,902 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19,234 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154,021 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90,647 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80"/>
        <w:ind w:left="0" w:right="0" w:firstLine="360"/>
        <w:jc w:val="left"/>
        <w:rPr/>
      </w:pPr>
      <w:r>
        <w:rPr/>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Short-term investments have a contractual maturity date that is one year or less from the respective balance sheet date. Long-term investments have a contractual maturity date that is more than one year, but less than two years from the respective balance sheet date.</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unrealized losses and fair values of available-for-sale securities that have been in an unrealized loss position for a period of less than and greater than 12 months as of December 31, 2024 and December 31, 2023 are as follows: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131445"/>
                <wp:effectExtent l="0" t="0" r="0" b="0"/>
                <wp:wrapNone/>
                <wp:docPr id="116" name="Frame9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98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98</w:t>
                      </w:r>
                    </w:p>
                  </w:txbxContent>
                </v:textbox>
                <w10:wrap type="none"/>
              </v:rect>
            </w:pict>
          </mc:Fallback>
        </mc:AlternateContent>
      </w:r>
    </w:p>
    <w:tbl>
      <w:tblPr>
        <w:tblW w:w="6029" w:type="dxa"/>
        <w:jc w:val="left"/>
        <w:tblInd w:w="0" w:type="dxa"/>
        <w:tblLayout w:type="fixed"/>
        <w:tblCellMar>
          <w:top w:w="28" w:type="dxa"/>
          <w:left w:w="28" w:type="dxa"/>
          <w:bottom w:w="28" w:type="dxa"/>
          <w:right w:w="28" w:type="dxa"/>
        </w:tblCellMar>
      </w:tblPr>
      <w:tblGrid>
        <w:gridCol w:w="1929"/>
        <w:gridCol w:w="1697"/>
        <w:gridCol w:w="2403"/>
      </w:tblGrid>
      <w:tr>
        <w:trPr/>
        <w:tc>
          <w:tcPr>
            <w:tcW w:w="1929" w:type="dxa"/>
            <w:tcBorders/>
            <w:vAlign w:val="center"/>
          </w:tcPr>
          <w:p>
            <w:pPr>
              <w:pStyle w:val="TableContents"/>
              <w:bidi w:val="0"/>
              <w:spacing w:before="0" w:after="283"/>
              <w:jc w:val="left"/>
              <w:rPr>
                <w:sz w:val="4"/>
                <w:szCs w:val="4"/>
              </w:rPr>
            </w:pPr>
            <w:r>
              <w:rPr>
                <w:sz w:val="4"/>
                <w:szCs w:val="4"/>
              </w:rPr>
            </w:r>
          </w:p>
        </w:tc>
        <w:tc>
          <w:tcPr>
            <w:tcW w:w="1697" w:type="dxa"/>
            <w:tcBorders/>
            <w:vAlign w:val="center"/>
          </w:tcPr>
          <w:p>
            <w:pPr>
              <w:pStyle w:val="TableContents"/>
              <w:bidi w:val="0"/>
              <w:spacing w:before="0" w:after="283"/>
              <w:jc w:val="left"/>
              <w:rPr>
                <w:sz w:val="4"/>
                <w:szCs w:val="4"/>
              </w:rPr>
            </w:pPr>
            <w:r>
              <w:rPr>
                <w:sz w:val="4"/>
                <w:szCs w:val="4"/>
              </w:rPr>
            </w:r>
          </w:p>
        </w:tc>
        <w:tc>
          <w:tcPr>
            <w:tcW w:w="2403" w:type="dxa"/>
            <w:tcBorders/>
            <w:vAlign w:val="center"/>
          </w:tcPr>
          <w:p>
            <w:pPr>
              <w:pStyle w:val="TableContents"/>
              <w:bidi w:val="0"/>
              <w:spacing w:before="0" w:after="283"/>
              <w:jc w:val="left"/>
              <w:rPr>
                <w:sz w:val="4"/>
                <w:szCs w:val="4"/>
              </w:rPr>
            </w:pPr>
            <w:r>
              <w:rPr>
                <w:sz w:val="4"/>
                <w:szCs w:val="4"/>
              </w:rPr>
            </w:r>
          </w:p>
        </w:tc>
      </w:tr>
      <w:tr>
        <w:trPr/>
        <w:tc>
          <w:tcPr>
            <w:tcW w:w="602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left"/>
              <w:rPr>
                <w:rFonts w:ascii="Times New Roman;sans-serif" w:hAnsi="Times New Roman;sans-serif"/>
                <w:b/>
                <w:color w:val="000000"/>
                <w:sz w:val="24"/>
              </w:rPr>
            </w:pPr>
            <w:r>
              <w:rPr>
                <w:rFonts w:ascii="Times New Roman;sans-serif" w:hAnsi="Times New Roman;sans-serif"/>
                <w:b/>
                <w:color w:val="000000"/>
                <w:sz w:val="24"/>
              </w:rPr>
              <w:t>Nautilus Biotechnology, Inc.</w:t>
            </w:r>
          </w:p>
          <w:p>
            <w:pPr>
              <w:pStyle w:val="TableContents"/>
              <w:bidi w:val="0"/>
              <w:spacing w:lineRule="auto" w:line="288" w:before="0" w:after="0"/>
              <w:jc w:val="left"/>
              <w:rPr>
                <w:rFonts w:ascii="Times New Roman;sans-serif" w:hAnsi="Times New Roman;sans-serif"/>
                <w:b/>
                <w:color w:val="000000"/>
                <w:sz w:val="24"/>
              </w:rPr>
            </w:pPr>
            <w:r>
              <w:rPr>
                <w:rFonts w:ascii="Times New Roman;sans-serif" w:hAnsi="Times New Roman;sans-serif"/>
                <w:b/>
                <w:color w:val="000000"/>
                <w:sz w:val="24"/>
              </w:rPr>
              <w:t>Notes to Consolidated Financial Statements—(Continued)</w:t>
            </w:r>
          </w:p>
        </w:tc>
      </w:tr>
    </w:tbl>
    <w:tbl>
      <w:tblPr>
        <w:tblW w:w="10205" w:type="dxa"/>
        <w:jc w:val="left"/>
        <w:tblInd w:w="0" w:type="dxa"/>
        <w:tblLayout w:type="fixed"/>
        <w:tblCellMar>
          <w:top w:w="28" w:type="dxa"/>
          <w:left w:w="28" w:type="dxa"/>
          <w:bottom w:w="28" w:type="dxa"/>
          <w:right w:w="28" w:type="dxa"/>
        </w:tblCellMar>
      </w:tblPr>
      <w:tblGrid>
        <w:gridCol w:w="461"/>
        <w:gridCol w:w="405"/>
        <w:gridCol w:w="408"/>
        <w:gridCol w:w="109"/>
        <w:gridCol w:w="109"/>
        <w:gridCol w:w="109"/>
        <w:gridCol w:w="347"/>
        <w:gridCol w:w="590"/>
        <w:gridCol w:w="137"/>
        <w:gridCol w:w="130"/>
        <w:gridCol w:w="130"/>
        <w:gridCol w:w="130"/>
        <w:gridCol w:w="252"/>
        <w:gridCol w:w="863"/>
        <w:gridCol w:w="130"/>
        <w:gridCol w:w="109"/>
        <w:gridCol w:w="109"/>
        <w:gridCol w:w="109"/>
        <w:gridCol w:w="403"/>
        <w:gridCol w:w="529"/>
        <w:gridCol w:w="141"/>
        <w:gridCol w:w="137"/>
        <w:gridCol w:w="137"/>
        <w:gridCol w:w="137"/>
        <w:gridCol w:w="265"/>
        <w:gridCol w:w="774"/>
        <w:gridCol w:w="137"/>
        <w:gridCol w:w="109"/>
        <w:gridCol w:w="109"/>
        <w:gridCol w:w="109"/>
        <w:gridCol w:w="287"/>
        <w:gridCol w:w="637"/>
        <w:gridCol w:w="150"/>
        <w:gridCol w:w="109"/>
        <w:gridCol w:w="109"/>
        <w:gridCol w:w="109"/>
        <w:gridCol w:w="227"/>
        <w:gridCol w:w="777"/>
        <w:gridCol w:w="176"/>
      </w:tblGrid>
      <w:tr>
        <w:trPr/>
        <w:tc>
          <w:tcPr>
            <w:tcW w:w="461"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Securities in Unrealized Loss Position Less than 12 months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Securities in Unrealized Loss Position Greater than 12 months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12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 Unrealized Losses</w:t>
            </w:r>
          </w:p>
        </w:tc>
        <w:tc>
          <w:tcPr>
            <w:tcW w:w="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Market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 Unrealized Losses</w:t>
            </w:r>
          </w:p>
        </w:tc>
        <w:tc>
          <w:tcPr>
            <w:tcW w:w="4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Market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 Unrealized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Market Value</w:t>
            </w:r>
          </w:p>
        </w:tc>
      </w:tr>
      <w:tr>
        <w:trPr/>
        <w:tc>
          <w:tcPr>
            <w:tcW w:w="12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25,804 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25,804 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paper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28,895 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28,895 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3"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r>
      <w:tr>
        <w:trPr/>
        <w:tc>
          <w:tcPr>
            <w:tcW w:w="12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Agency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32,873 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37,873 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293 </w:t>
            </w:r>
          </w:p>
        </w:tc>
        <w:tc>
          <w:tcPr>
            <w:tcW w:w="1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87,572 </w:t>
            </w:r>
          </w:p>
        </w:tc>
        <w:tc>
          <w:tcPr>
            <w:tcW w:w="1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5,000 </w:t>
            </w:r>
          </w:p>
        </w:tc>
        <w:tc>
          <w:tcPr>
            <w:tcW w:w="1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294 </w:t>
            </w:r>
          </w:p>
        </w:tc>
        <w:tc>
          <w:tcPr>
            <w:tcW w:w="1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92,572 </w:t>
            </w:r>
          </w:p>
        </w:tc>
        <w:tc>
          <w:tcPr>
            <w:tcW w:w="1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459"/>
        <w:gridCol w:w="403"/>
        <w:gridCol w:w="407"/>
        <w:gridCol w:w="109"/>
        <w:gridCol w:w="109"/>
        <w:gridCol w:w="109"/>
        <w:gridCol w:w="339"/>
        <w:gridCol w:w="562"/>
        <w:gridCol w:w="131"/>
        <w:gridCol w:w="124"/>
        <w:gridCol w:w="124"/>
        <w:gridCol w:w="124"/>
        <w:gridCol w:w="240"/>
        <w:gridCol w:w="941"/>
        <w:gridCol w:w="124"/>
        <w:gridCol w:w="109"/>
        <w:gridCol w:w="109"/>
        <w:gridCol w:w="109"/>
        <w:gridCol w:w="339"/>
        <w:gridCol w:w="562"/>
        <w:gridCol w:w="131"/>
        <w:gridCol w:w="127"/>
        <w:gridCol w:w="127"/>
        <w:gridCol w:w="127"/>
        <w:gridCol w:w="247"/>
        <w:gridCol w:w="846"/>
        <w:gridCol w:w="127"/>
        <w:gridCol w:w="109"/>
        <w:gridCol w:w="109"/>
        <w:gridCol w:w="109"/>
        <w:gridCol w:w="276"/>
        <w:gridCol w:w="612"/>
        <w:gridCol w:w="144"/>
        <w:gridCol w:w="109"/>
        <w:gridCol w:w="109"/>
        <w:gridCol w:w="109"/>
        <w:gridCol w:w="219"/>
        <w:gridCol w:w="860"/>
        <w:gridCol w:w="175"/>
      </w:tblGrid>
      <w:tr>
        <w:trPr/>
        <w:tc>
          <w:tcPr>
            <w:tcW w:w="459"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12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Securities in Unrealized Loss Position Less than 12 months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Securities in Unrealized Loss Position Greater than 12 months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12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 Unrealized Losses</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Market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 Unrealized Losses</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Market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 Unrealized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Market Value</w:t>
            </w:r>
          </w:p>
        </w:tc>
      </w:tr>
      <w:tr>
        <w:trPr/>
        <w:tc>
          <w:tcPr>
            <w:tcW w:w="1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20,408 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30,230 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50,638 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paper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18,644 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18,644 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debt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6,913 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6,913 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Agency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85,039 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25,704 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110,743 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360 </w:t>
            </w:r>
          </w:p>
        </w:tc>
        <w:tc>
          <w:tcPr>
            <w:tcW w:w="1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131,004 </w:t>
            </w:r>
          </w:p>
        </w:tc>
        <w:tc>
          <w:tcPr>
            <w:tcW w:w="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357 </w:t>
            </w:r>
          </w:p>
        </w:tc>
        <w:tc>
          <w:tcPr>
            <w:tcW w:w="1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55,934 </w:t>
            </w:r>
          </w:p>
        </w:tc>
        <w:tc>
          <w:tcPr>
            <w:tcW w:w="1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717 </w:t>
            </w:r>
          </w:p>
        </w:tc>
        <w:tc>
          <w:tcPr>
            <w:tcW w:w="1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186,938 </w:t>
            </w:r>
          </w:p>
        </w:tc>
        <w:tc>
          <w:tcPr>
            <w:tcW w:w="1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reviewed its investment portfolio based on the underlying risk profile of the securities and have no loss expectation for these investments. The Company reviewed the securities in an unrealized loss position and evaluated the current expected credit loss by considering factors such as historical experience, market data, issuer-specific factors, and current economic conditions. The Company recognized no credit losses during the years ended December 31, 2024 and 2023, and had no allowance for credit losses as of December 31, 2024 and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4.     Composition of Certain Consolidated Financial Statement Line Items</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 xml:space="preserve">Property and Equipment, Net </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consisted of the following:</w:t>
      </w:r>
    </w:p>
    <w:tbl>
      <w:tblPr>
        <w:tblW w:w="6715" w:type="dxa"/>
        <w:jc w:val="left"/>
        <w:tblInd w:w="0" w:type="dxa"/>
        <w:tblLayout w:type="fixed"/>
        <w:tblCellMar>
          <w:top w:w="28" w:type="dxa"/>
          <w:left w:w="28" w:type="dxa"/>
          <w:bottom w:w="28" w:type="dxa"/>
          <w:right w:w="28" w:type="dxa"/>
        </w:tblCellMar>
      </w:tblPr>
      <w:tblGrid>
        <w:gridCol w:w="1211"/>
        <w:gridCol w:w="1064"/>
        <w:gridCol w:w="1069"/>
        <w:gridCol w:w="338"/>
        <w:gridCol w:w="987"/>
        <w:gridCol w:w="175"/>
        <w:gridCol w:w="109"/>
        <w:gridCol w:w="109"/>
        <w:gridCol w:w="109"/>
        <w:gridCol w:w="332"/>
        <w:gridCol w:w="970"/>
        <w:gridCol w:w="242"/>
      </w:tblGrid>
      <w:tr>
        <w:trPr/>
        <w:tc>
          <w:tcPr>
            <w:tcW w:w="1211"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r>
      <w:tr>
        <w:trPr/>
        <w:tc>
          <w:tcPr>
            <w:tcW w:w="33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50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Laboratory equipment</w:t>
            </w:r>
          </w:p>
        </w:tc>
        <w:tc>
          <w:tcPr>
            <w:tcW w:w="3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6,469 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6,337 </w:t>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Leasehold improvements</w:t>
            </w:r>
          </w:p>
        </w:tc>
        <w:tc>
          <w:tcPr>
            <w:tcW w:w="13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Computer hardware</w:t>
            </w:r>
          </w:p>
        </w:tc>
        <w:tc>
          <w:tcPr>
            <w:tcW w:w="13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484 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Furniture, fixtures and office equipment</w:t>
            </w:r>
          </w:p>
        </w:tc>
        <w:tc>
          <w:tcPr>
            <w:tcW w:w="13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Prototype equipment</w:t>
            </w:r>
          </w:p>
        </w:tc>
        <w:tc>
          <w:tcPr>
            <w:tcW w:w="13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2,029 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996 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Construction in progress</w:t>
            </w:r>
          </w:p>
        </w:tc>
        <w:tc>
          <w:tcPr>
            <w:tcW w:w="13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1,186 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904 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10,610 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8,901 </w:t>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Accumulated depreciation</w:t>
            </w:r>
          </w:p>
        </w:tc>
        <w:tc>
          <w:tcPr>
            <w:tcW w:w="13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(6,534)</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(4,634)</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4,076 </w:t>
            </w:r>
          </w:p>
        </w:tc>
        <w:tc>
          <w:tcPr>
            <w:tcW w:w="1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4,267 </w:t>
            </w:r>
          </w:p>
        </w:tc>
        <w:tc>
          <w:tcPr>
            <w:tcW w:w="2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recorded $2.0 million and $1.8 million of depreciation expense for the years ended December 31, 2024 and 2023, respectively, which was primarily allocated to research and development expense.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131445"/>
                <wp:effectExtent l="0" t="0" r="0" b="0"/>
                <wp:wrapNone/>
                <wp:docPr id="117" name="Frame9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99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99</w:t>
                      </w:r>
                    </w:p>
                  </w:txbxContent>
                </v:textbox>
                <w10:wrap type="none"/>
              </v:rect>
            </w:pict>
          </mc:Fallback>
        </mc:AlternateContent>
      </w:r>
    </w:p>
    <w:tbl>
      <w:tblPr>
        <w:tblW w:w="6029" w:type="dxa"/>
        <w:jc w:val="left"/>
        <w:tblInd w:w="0" w:type="dxa"/>
        <w:tblLayout w:type="fixed"/>
        <w:tblCellMar>
          <w:top w:w="28" w:type="dxa"/>
          <w:left w:w="28" w:type="dxa"/>
          <w:bottom w:w="28" w:type="dxa"/>
          <w:right w:w="28" w:type="dxa"/>
        </w:tblCellMar>
      </w:tblPr>
      <w:tblGrid>
        <w:gridCol w:w="1929"/>
        <w:gridCol w:w="1697"/>
        <w:gridCol w:w="2403"/>
      </w:tblGrid>
      <w:tr>
        <w:trPr/>
        <w:tc>
          <w:tcPr>
            <w:tcW w:w="1929" w:type="dxa"/>
            <w:tcBorders/>
            <w:vAlign w:val="center"/>
          </w:tcPr>
          <w:p>
            <w:pPr>
              <w:pStyle w:val="TableContents"/>
              <w:bidi w:val="0"/>
              <w:spacing w:before="0" w:after="283"/>
              <w:jc w:val="left"/>
              <w:rPr>
                <w:sz w:val="4"/>
                <w:szCs w:val="4"/>
              </w:rPr>
            </w:pPr>
            <w:r>
              <w:rPr>
                <w:sz w:val="4"/>
                <w:szCs w:val="4"/>
              </w:rPr>
            </w:r>
          </w:p>
        </w:tc>
        <w:tc>
          <w:tcPr>
            <w:tcW w:w="1697" w:type="dxa"/>
            <w:tcBorders/>
            <w:vAlign w:val="center"/>
          </w:tcPr>
          <w:p>
            <w:pPr>
              <w:pStyle w:val="TableContents"/>
              <w:bidi w:val="0"/>
              <w:spacing w:before="0" w:after="283"/>
              <w:jc w:val="left"/>
              <w:rPr>
                <w:sz w:val="4"/>
                <w:szCs w:val="4"/>
              </w:rPr>
            </w:pPr>
            <w:r>
              <w:rPr>
                <w:sz w:val="4"/>
                <w:szCs w:val="4"/>
              </w:rPr>
            </w:r>
          </w:p>
        </w:tc>
        <w:tc>
          <w:tcPr>
            <w:tcW w:w="2403" w:type="dxa"/>
            <w:tcBorders/>
            <w:vAlign w:val="center"/>
          </w:tcPr>
          <w:p>
            <w:pPr>
              <w:pStyle w:val="TableContents"/>
              <w:bidi w:val="0"/>
              <w:spacing w:before="0" w:after="283"/>
              <w:jc w:val="left"/>
              <w:rPr>
                <w:sz w:val="4"/>
                <w:szCs w:val="4"/>
              </w:rPr>
            </w:pPr>
            <w:r>
              <w:rPr>
                <w:sz w:val="4"/>
                <w:szCs w:val="4"/>
              </w:rPr>
            </w:r>
          </w:p>
        </w:tc>
      </w:tr>
      <w:tr>
        <w:trPr/>
        <w:tc>
          <w:tcPr>
            <w:tcW w:w="602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left"/>
              <w:rPr>
                <w:rFonts w:ascii="Times New Roman;sans-serif" w:hAnsi="Times New Roman;sans-serif"/>
                <w:b/>
                <w:color w:val="000000"/>
                <w:sz w:val="24"/>
              </w:rPr>
            </w:pPr>
            <w:r>
              <w:rPr>
                <w:rFonts w:ascii="Times New Roman;sans-serif" w:hAnsi="Times New Roman;sans-serif"/>
                <w:b/>
                <w:color w:val="000000"/>
                <w:sz w:val="24"/>
              </w:rPr>
              <w:t>Nautilus Biotechnology, Inc.</w:t>
            </w:r>
          </w:p>
          <w:p>
            <w:pPr>
              <w:pStyle w:val="TableContents"/>
              <w:bidi w:val="0"/>
              <w:spacing w:lineRule="auto" w:line="288" w:before="0" w:after="0"/>
              <w:jc w:val="left"/>
              <w:rPr>
                <w:rFonts w:ascii="Times New Roman;sans-serif" w:hAnsi="Times New Roman;sans-serif"/>
                <w:b/>
                <w:color w:val="000000"/>
                <w:sz w:val="24"/>
              </w:rPr>
            </w:pPr>
            <w:r>
              <w:rPr>
                <w:rFonts w:ascii="Times New Roman;sans-serif" w:hAnsi="Times New Roman;sans-serif"/>
                <w:b/>
                <w:color w:val="000000"/>
                <w:sz w:val="24"/>
              </w:rPr>
              <w:t>Notes to Consolidated Financial Statements—(Continued)</w:t>
            </w:r>
          </w:p>
        </w:tc>
      </w:tr>
    </w:tbl>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Accrued Expenses and Other Liabilities</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Accrued expenses and other liabilities consisted of the following:</w:t>
      </w:r>
    </w:p>
    <w:tbl>
      <w:tblPr>
        <w:tblW w:w="6819" w:type="dxa"/>
        <w:jc w:val="left"/>
        <w:tblInd w:w="0" w:type="dxa"/>
        <w:tblLayout w:type="fixed"/>
        <w:tblCellMar>
          <w:top w:w="28" w:type="dxa"/>
          <w:left w:w="28" w:type="dxa"/>
          <w:bottom w:w="28" w:type="dxa"/>
          <w:right w:w="28" w:type="dxa"/>
        </w:tblCellMar>
      </w:tblPr>
      <w:tblGrid>
        <w:gridCol w:w="1248"/>
        <w:gridCol w:w="1096"/>
        <w:gridCol w:w="1105"/>
        <w:gridCol w:w="338"/>
        <w:gridCol w:w="987"/>
        <w:gridCol w:w="174"/>
        <w:gridCol w:w="109"/>
        <w:gridCol w:w="109"/>
        <w:gridCol w:w="109"/>
        <w:gridCol w:w="332"/>
        <w:gridCol w:w="970"/>
        <w:gridCol w:w="242"/>
      </w:tblGrid>
      <w:tr>
        <w:trPr/>
        <w:tc>
          <w:tcPr>
            <w:tcW w:w="1248"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105"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4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Employee compensation</w:t>
            </w:r>
          </w:p>
        </w:tc>
        <w:tc>
          <w:tcPr>
            <w:tcW w:w="3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1,343 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2,590 </w:t>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research and development</w:t>
            </w:r>
          </w:p>
        </w:tc>
        <w:tc>
          <w:tcPr>
            <w:tcW w:w="13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468 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731 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professional and consulting fees</w:t>
            </w:r>
          </w:p>
        </w:tc>
        <w:tc>
          <w:tcPr>
            <w:tcW w:w="13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3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518 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2,548 </w:t>
            </w:r>
          </w:p>
        </w:tc>
        <w:tc>
          <w:tcPr>
            <w:tcW w:w="1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3,945 </w:t>
            </w:r>
          </w:p>
        </w:tc>
        <w:tc>
          <w:tcPr>
            <w:tcW w:w="2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Cash, Cash Equivalents and Restricted Cash</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Cash, cash equivalents and restricted cash consisted of the following:</w:t>
      </w:r>
    </w:p>
    <w:tbl>
      <w:tblPr>
        <w:tblW w:w="7511" w:type="dxa"/>
        <w:jc w:val="left"/>
        <w:tblInd w:w="0" w:type="dxa"/>
        <w:tblLayout w:type="fixed"/>
        <w:tblCellMar>
          <w:top w:w="28" w:type="dxa"/>
          <w:left w:w="28" w:type="dxa"/>
          <w:bottom w:w="28" w:type="dxa"/>
          <w:right w:w="28" w:type="dxa"/>
        </w:tblCellMar>
      </w:tblPr>
      <w:tblGrid>
        <w:gridCol w:w="1499"/>
        <w:gridCol w:w="1318"/>
        <w:gridCol w:w="1322"/>
        <w:gridCol w:w="304"/>
        <w:gridCol w:w="1039"/>
        <w:gridCol w:w="157"/>
        <w:gridCol w:w="109"/>
        <w:gridCol w:w="109"/>
        <w:gridCol w:w="109"/>
        <w:gridCol w:w="300"/>
        <w:gridCol w:w="1026"/>
        <w:gridCol w:w="219"/>
      </w:tblGrid>
      <w:tr>
        <w:trPr/>
        <w:tc>
          <w:tcPr>
            <w:tcW w:w="1499" w:type="dxa"/>
            <w:tcBorders/>
            <w:vAlign w:val="center"/>
          </w:tcPr>
          <w:p>
            <w:pPr>
              <w:pStyle w:val="TableContents"/>
              <w:bidi w:val="0"/>
              <w:spacing w:before="0" w:after="283"/>
              <w:jc w:val="left"/>
              <w:rPr>
                <w:sz w:val="4"/>
                <w:szCs w:val="4"/>
              </w:rPr>
            </w:pPr>
            <w:r>
              <w:rPr>
                <w:sz w:val="4"/>
                <w:szCs w:val="4"/>
              </w:rPr>
            </w:r>
          </w:p>
        </w:tc>
        <w:tc>
          <w:tcPr>
            <w:tcW w:w="1318" w:type="dxa"/>
            <w:tcBorders/>
            <w:vAlign w:val="center"/>
          </w:tcPr>
          <w:p>
            <w:pPr>
              <w:pStyle w:val="TableContents"/>
              <w:bidi w:val="0"/>
              <w:spacing w:before="0" w:after="283"/>
              <w:jc w:val="left"/>
              <w:rPr>
                <w:sz w:val="4"/>
                <w:szCs w:val="4"/>
              </w:rPr>
            </w:pPr>
            <w:r>
              <w:rPr>
                <w:sz w:val="4"/>
                <w:szCs w:val="4"/>
              </w:rPr>
            </w:r>
          </w:p>
        </w:tc>
        <w:tc>
          <w:tcPr>
            <w:tcW w:w="1322"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4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4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3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27,646 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19,397 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 included in other long-term assets</w:t>
            </w:r>
          </w:p>
        </w:tc>
        <w:tc>
          <w:tcPr>
            <w:tcW w:w="13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1,002 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28,648 </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20,399 </w:t>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assets consisted of $1.0 million of restricted cash and $0.2 million of deposits as of December 31, 2024 and December 31,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5.     Common Stock</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There were 126,106,176 shares issued and outstanding as of December 31, 2024.</w:t>
      </w:r>
    </w:p>
    <w:p>
      <w:pPr>
        <w:pStyle w:val="TextBody"/>
        <w:bidi w:val="0"/>
        <w:spacing w:lineRule="auto" w:line="288"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Common Stock Reserved for Future Issuance</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Shares of common stock reserved for future issuance on an as-if converted basis, were as follows:</w:t>
      </w:r>
    </w:p>
    <w:tbl>
      <w:tblPr>
        <w:tblW w:w="9027" w:type="dxa"/>
        <w:jc w:val="left"/>
        <w:tblInd w:w="0" w:type="dxa"/>
        <w:tblLayout w:type="fixed"/>
        <w:tblCellMar>
          <w:top w:w="28" w:type="dxa"/>
          <w:left w:w="28" w:type="dxa"/>
          <w:bottom w:w="28" w:type="dxa"/>
          <w:right w:w="28" w:type="dxa"/>
        </w:tblCellMar>
      </w:tblPr>
      <w:tblGrid>
        <w:gridCol w:w="2065"/>
        <w:gridCol w:w="1814"/>
        <w:gridCol w:w="1821"/>
        <w:gridCol w:w="540"/>
        <w:gridCol w:w="541"/>
        <w:gridCol w:w="366"/>
        <w:gridCol w:w="109"/>
        <w:gridCol w:w="109"/>
        <w:gridCol w:w="109"/>
        <w:gridCol w:w="540"/>
        <w:gridCol w:w="541"/>
        <w:gridCol w:w="472"/>
      </w:tblGrid>
      <w:tr>
        <w:trPr/>
        <w:tc>
          <w:tcPr>
            <w:tcW w:w="2065" w:type="dxa"/>
            <w:tcBorders/>
            <w:vAlign w:val="center"/>
          </w:tcPr>
          <w:p>
            <w:pPr>
              <w:pStyle w:val="TableContents"/>
              <w:bidi w:val="0"/>
              <w:spacing w:before="0" w:after="283"/>
              <w:jc w:val="left"/>
              <w:rPr>
                <w:sz w:val="4"/>
                <w:szCs w:val="4"/>
              </w:rPr>
            </w:pPr>
            <w:r>
              <w:rPr>
                <w:sz w:val="4"/>
                <w:szCs w:val="4"/>
              </w:rPr>
            </w:r>
          </w:p>
        </w:tc>
        <w:tc>
          <w:tcPr>
            <w:tcW w:w="1814" w:type="dxa"/>
            <w:tcBorders/>
            <w:vAlign w:val="center"/>
          </w:tcPr>
          <w:p>
            <w:pPr>
              <w:pStyle w:val="TableContents"/>
              <w:bidi w:val="0"/>
              <w:spacing w:before="0" w:after="283"/>
              <w:jc w:val="left"/>
              <w:rPr>
                <w:sz w:val="4"/>
                <w:szCs w:val="4"/>
              </w:rPr>
            </w:pPr>
            <w:r>
              <w:rPr>
                <w:sz w:val="4"/>
                <w:szCs w:val="4"/>
              </w:rPr>
            </w:r>
          </w:p>
        </w:tc>
        <w:tc>
          <w:tcPr>
            <w:tcW w:w="1821"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r>
      <w:tr>
        <w:trPr/>
        <w:tc>
          <w:tcPr>
            <w:tcW w:w="5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2023</w:t>
            </w:r>
          </w:p>
        </w:tc>
      </w:tr>
      <w:tr>
        <w:trPr/>
        <w:tc>
          <w:tcPr>
            <w:tcW w:w="5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 available for grant under 2021 Equity Incentive Plan</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23,784,439 </w:t>
            </w:r>
          </w:p>
        </w:tc>
        <w:tc>
          <w:tcPr>
            <w:tcW w:w="3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20,279,560 </w:t>
            </w:r>
          </w:p>
        </w:tc>
        <w:tc>
          <w:tcPr>
            <w:tcW w:w="4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options issued and outstanding</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16,634,775 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14,676,335 </w:t>
            </w:r>
          </w:p>
        </w:tc>
        <w:tc>
          <w:tcPr>
            <w:tcW w:w="4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 available for grant under 2021 Employee Stock Purchase Plan</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4,508,360 </w:t>
            </w:r>
          </w:p>
        </w:tc>
        <w:tc>
          <w:tcPr>
            <w:tcW w:w="3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3,505,138 </w:t>
            </w:r>
          </w:p>
        </w:tc>
        <w:tc>
          <w:tcPr>
            <w:tcW w:w="4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shares of common stock reserved</w:t>
            </w:r>
          </w:p>
        </w:tc>
        <w:tc>
          <w:tcPr>
            <w:tcW w:w="10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44,927,574 </w:t>
            </w:r>
          </w:p>
        </w:tc>
        <w:tc>
          <w:tcPr>
            <w:tcW w:w="3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38,461,033 </w:t>
            </w:r>
          </w:p>
        </w:tc>
        <w:tc>
          <w:tcPr>
            <w:tcW w:w="4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 xml:space="preserve">6.     Income Taxes </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is liable for income taxes in the United States. For the years ended December 31, 2024 and 2023, the Company did not have any income for income tax purposes and therefore, no tax liability or expense has been recorded in these financial statements. The difference between the tax at the statutory federal tax rate and no tax provision recorded by the Company is primarily due to the Company’s full valuation allowance against its deferred tax assets.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131445"/>
                <wp:effectExtent l="0" t="0" r="0" b="0"/>
                <wp:wrapNone/>
                <wp:docPr id="118" name="Frame100"/>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100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100</w:t>
                      </w:r>
                    </w:p>
                  </w:txbxContent>
                </v:textbox>
                <w10:wrap type="none"/>
              </v:rect>
            </w:pict>
          </mc:Fallback>
        </mc:AlternateContent>
      </w:r>
    </w:p>
    <w:tbl>
      <w:tblPr>
        <w:tblW w:w="6029" w:type="dxa"/>
        <w:jc w:val="left"/>
        <w:tblInd w:w="0" w:type="dxa"/>
        <w:tblLayout w:type="fixed"/>
        <w:tblCellMar>
          <w:top w:w="28" w:type="dxa"/>
          <w:left w:w="28" w:type="dxa"/>
          <w:bottom w:w="28" w:type="dxa"/>
          <w:right w:w="28" w:type="dxa"/>
        </w:tblCellMar>
      </w:tblPr>
      <w:tblGrid>
        <w:gridCol w:w="1929"/>
        <w:gridCol w:w="1697"/>
        <w:gridCol w:w="2403"/>
      </w:tblGrid>
      <w:tr>
        <w:trPr/>
        <w:tc>
          <w:tcPr>
            <w:tcW w:w="1929" w:type="dxa"/>
            <w:tcBorders/>
            <w:vAlign w:val="center"/>
          </w:tcPr>
          <w:p>
            <w:pPr>
              <w:pStyle w:val="TableContents"/>
              <w:bidi w:val="0"/>
              <w:spacing w:before="0" w:after="283"/>
              <w:jc w:val="left"/>
              <w:rPr>
                <w:sz w:val="4"/>
                <w:szCs w:val="4"/>
              </w:rPr>
            </w:pPr>
            <w:r>
              <w:rPr>
                <w:sz w:val="4"/>
                <w:szCs w:val="4"/>
              </w:rPr>
            </w:r>
          </w:p>
        </w:tc>
        <w:tc>
          <w:tcPr>
            <w:tcW w:w="1697" w:type="dxa"/>
            <w:tcBorders/>
            <w:vAlign w:val="center"/>
          </w:tcPr>
          <w:p>
            <w:pPr>
              <w:pStyle w:val="TableContents"/>
              <w:bidi w:val="0"/>
              <w:spacing w:before="0" w:after="283"/>
              <w:jc w:val="left"/>
              <w:rPr>
                <w:sz w:val="4"/>
                <w:szCs w:val="4"/>
              </w:rPr>
            </w:pPr>
            <w:r>
              <w:rPr>
                <w:sz w:val="4"/>
                <w:szCs w:val="4"/>
              </w:rPr>
            </w:r>
          </w:p>
        </w:tc>
        <w:tc>
          <w:tcPr>
            <w:tcW w:w="2403" w:type="dxa"/>
            <w:tcBorders/>
            <w:vAlign w:val="center"/>
          </w:tcPr>
          <w:p>
            <w:pPr>
              <w:pStyle w:val="TableContents"/>
              <w:bidi w:val="0"/>
              <w:spacing w:before="0" w:after="283"/>
              <w:jc w:val="left"/>
              <w:rPr>
                <w:sz w:val="4"/>
                <w:szCs w:val="4"/>
              </w:rPr>
            </w:pPr>
            <w:r>
              <w:rPr>
                <w:sz w:val="4"/>
                <w:szCs w:val="4"/>
              </w:rPr>
            </w:r>
          </w:p>
        </w:tc>
      </w:tr>
      <w:tr>
        <w:trPr/>
        <w:tc>
          <w:tcPr>
            <w:tcW w:w="602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left"/>
              <w:rPr>
                <w:rFonts w:ascii="Times New Roman;sans-serif" w:hAnsi="Times New Roman;sans-serif"/>
                <w:b/>
                <w:color w:val="000000"/>
                <w:sz w:val="24"/>
              </w:rPr>
            </w:pPr>
            <w:r>
              <w:rPr>
                <w:rFonts w:ascii="Times New Roman;sans-serif" w:hAnsi="Times New Roman;sans-serif"/>
                <w:b/>
                <w:color w:val="000000"/>
                <w:sz w:val="24"/>
              </w:rPr>
              <w:t>Nautilus Biotechnology, Inc.</w:t>
            </w:r>
          </w:p>
          <w:p>
            <w:pPr>
              <w:pStyle w:val="TableContents"/>
              <w:bidi w:val="0"/>
              <w:spacing w:lineRule="auto" w:line="288" w:before="0" w:after="0"/>
              <w:jc w:val="left"/>
              <w:rPr>
                <w:rFonts w:ascii="Times New Roman;sans-serif" w:hAnsi="Times New Roman;sans-serif"/>
                <w:b/>
                <w:color w:val="000000"/>
                <w:sz w:val="24"/>
              </w:rPr>
            </w:pPr>
            <w:r>
              <w:rPr>
                <w:rFonts w:ascii="Times New Roman;sans-serif" w:hAnsi="Times New Roman;sans-serif"/>
                <w:b/>
                <w:color w:val="000000"/>
                <w:sz w:val="24"/>
              </w:rPr>
              <w:t>Notes to Consolidated Financial Statements—(Continued)</w:t>
            </w:r>
          </w:p>
        </w:tc>
      </w:tr>
    </w:tbl>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 reconciliation between the expected income tax provision at the federal statutory rate and the reported income tax provision is approximately as follows:</w:t>
      </w:r>
    </w:p>
    <w:tbl>
      <w:tblPr>
        <w:tblW w:w="8627" w:type="dxa"/>
        <w:jc w:val="left"/>
        <w:tblInd w:w="0" w:type="dxa"/>
        <w:tblLayout w:type="fixed"/>
        <w:tblCellMar>
          <w:top w:w="28" w:type="dxa"/>
          <w:left w:w="28" w:type="dxa"/>
          <w:bottom w:w="28" w:type="dxa"/>
          <w:right w:w="28" w:type="dxa"/>
        </w:tblCellMar>
      </w:tblPr>
      <w:tblGrid>
        <w:gridCol w:w="1173"/>
        <w:gridCol w:w="1032"/>
        <w:gridCol w:w="1034"/>
        <w:gridCol w:w="453"/>
        <w:gridCol w:w="1712"/>
        <w:gridCol w:w="234"/>
        <w:gridCol w:w="109"/>
        <w:gridCol w:w="109"/>
        <w:gridCol w:w="109"/>
        <w:gridCol w:w="453"/>
        <w:gridCol w:w="1712"/>
        <w:gridCol w:w="234"/>
        <w:gridCol w:w="109"/>
        <w:gridCol w:w="154"/>
      </w:tblGrid>
      <w:tr>
        <w:trPr/>
        <w:tc>
          <w:tcPr>
            <w:tcW w:w="1173"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jc w:val="left"/>
              <w:rPr>
                <w:sz w:val="4"/>
                <w:szCs w:val="4"/>
              </w:rPr>
            </w:pPr>
            <w:r>
              <w:rPr>
                <w:sz w:val="4"/>
                <w:szCs w:val="4"/>
              </w:rPr>
            </w:r>
          </w:p>
        </w:tc>
        <w:tc>
          <w:tcPr>
            <w:tcW w:w="1034"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171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171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23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 2023</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Federal income tax at statutory rate</w:t>
            </w:r>
          </w:p>
        </w:tc>
        <w:tc>
          <w:tcPr>
            <w:tcW w:w="4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(14,864)</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(13,372)</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 income tax, net of federal benefit</w:t>
            </w:r>
          </w:p>
        </w:tc>
        <w:tc>
          <w:tcPr>
            <w:tcW w:w="21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(4,816)</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(4,027)</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Equity-based Compensation</w:t>
            </w:r>
          </w:p>
        </w:tc>
        <w:tc>
          <w:tcPr>
            <w:tcW w:w="21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1,566 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2,423 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39" w:type="dxa"/>
            <w:gridSpan w:val="3"/>
            <w:tcBorders/>
            <w:vAlign w:val="center"/>
          </w:tcPr>
          <w:p>
            <w:pPr>
              <w:pStyle w:val="TableContents"/>
              <w:bidi w:val="0"/>
              <w:spacing w:before="0" w:after="283"/>
              <w:jc w:val="left"/>
              <w:rPr>
                <w:sz w:val="4"/>
                <w:szCs w:val="4"/>
              </w:rPr>
            </w:pPr>
            <w:r>
              <w:rPr>
                <w:sz w:val="4"/>
                <w:szCs w:val="4"/>
              </w:rPr>
            </w:r>
          </w:p>
        </w:tc>
        <w:tc>
          <w:tcPr>
            <w:tcW w:w="23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 credits generated in current year</w:t>
            </w:r>
          </w:p>
        </w:tc>
        <w:tc>
          <w:tcPr>
            <w:tcW w:w="21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(2,091)</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(2,075)</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Valuation allowance change</w:t>
            </w:r>
          </w:p>
        </w:tc>
        <w:tc>
          <w:tcPr>
            <w:tcW w:w="21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20,167 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17,011 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21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4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2024, the Company had federal net operating loss carryforwards of $0.5 million that begin to expire in 2037 and federal net operating loss carryforwards of $105.1 million that arose after the 2017 tax year that will carryforward indefinitely and will be subject to the 80% of taxable income limitation. The Company has state net operating loss carryforwards of $150.4 million that will begin to expire in 2037.</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December 31, 2024, the Company had research and development tax credit carryover of $9.4 million and $6.3 million for federal and state tax purposes, respectively. If not utilized, the federal carryforward will expire in various amounts beginning in 2039. The California credits can be carried forward indefinitely. </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has evaluated the positive and negative evidence bearing upon its ability to realize the deferred tax assets. Management has considered the Company’s history of cumulative net losses incurred since inception and its lack of revenue since inception and has concluded that it is more likely than not that the Company will not realize the benefits of the deferred tax assets. Accordingly, the Company has provided a full valuation allowance against the net deferred tax assets. The valuation allowance increased by $20.2 million during the year ended December 31, 2024. Management reevaluates the positive and negative evidence at each reporting period. </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taxes reflect the net tax effects of loss and credit carryforwards and temporary differences between the carrying amounts of assets and liabilities for financial reporting purposes and the amounts used for income tax purposes. Components of the Company’s deferred tax assets are as follows:</w:t>
      </w:r>
    </w:p>
    <w:tbl>
      <w:tblPr>
        <w:tblW w:w="7689" w:type="dxa"/>
        <w:jc w:val="left"/>
        <w:tblInd w:w="0" w:type="dxa"/>
        <w:tblLayout w:type="fixed"/>
        <w:tblCellMar>
          <w:top w:w="28" w:type="dxa"/>
          <w:left w:w="28" w:type="dxa"/>
          <w:bottom w:w="28" w:type="dxa"/>
          <w:right w:w="28" w:type="dxa"/>
        </w:tblCellMar>
      </w:tblPr>
      <w:tblGrid>
        <w:gridCol w:w="1564"/>
        <w:gridCol w:w="1377"/>
        <w:gridCol w:w="1378"/>
        <w:gridCol w:w="338"/>
        <w:gridCol w:w="987"/>
        <w:gridCol w:w="174"/>
        <w:gridCol w:w="109"/>
        <w:gridCol w:w="109"/>
        <w:gridCol w:w="109"/>
        <w:gridCol w:w="332"/>
        <w:gridCol w:w="970"/>
        <w:gridCol w:w="242"/>
      </w:tblGrid>
      <w:tr>
        <w:trPr/>
        <w:tc>
          <w:tcPr>
            <w:tcW w:w="1564" w:type="dxa"/>
            <w:tcBorders/>
            <w:vAlign w:val="center"/>
          </w:tcPr>
          <w:p>
            <w:pPr>
              <w:pStyle w:val="TableContents"/>
              <w:bidi w:val="0"/>
              <w:spacing w:before="0" w:after="283"/>
              <w:jc w:val="left"/>
              <w:rPr>
                <w:sz w:val="4"/>
                <w:szCs w:val="4"/>
              </w:rPr>
            </w:pPr>
            <w:r>
              <w:rPr>
                <w:sz w:val="4"/>
                <w:szCs w:val="4"/>
              </w:rPr>
            </w:r>
          </w:p>
        </w:tc>
        <w:tc>
          <w:tcPr>
            <w:tcW w:w="1377" w:type="dxa"/>
            <w:tcBorders/>
            <w:vAlign w:val="center"/>
          </w:tcPr>
          <w:p>
            <w:pPr>
              <w:pStyle w:val="TableContents"/>
              <w:bidi w:val="0"/>
              <w:spacing w:before="0" w:after="283"/>
              <w:jc w:val="left"/>
              <w:rPr>
                <w:sz w:val="4"/>
                <w:szCs w:val="4"/>
              </w:rPr>
            </w:pPr>
            <w:r>
              <w:rPr>
                <w:sz w:val="4"/>
                <w:szCs w:val="4"/>
              </w:rPr>
            </w:r>
          </w:p>
        </w:tc>
        <w:tc>
          <w:tcPr>
            <w:tcW w:w="137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r>
      <w:tr>
        <w:trPr/>
        <w:tc>
          <w:tcPr>
            <w:tcW w:w="43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4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assets</w:t>
            </w:r>
          </w:p>
        </w:tc>
        <w:tc>
          <w:tcPr>
            <w:tcW w:w="14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3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4,287 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6,508 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Capitalized research and development</w:t>
            </w:r>
          </w:p>
        </w:tc>
        <w:tc>
          <w:tcPr>
            <w:tcW w:w="13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23,844 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16,502 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carryforwards</w:t>
            </w:r>
          </w:p>
        </w:tc>
        <w:tc>
          <w:tcPr>
            <w:tcW w:w="13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32,740 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21,617 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liabilities</w:t>
            </w:r>
          </w:p>
        </w:tc>
        <w:tc>
          <w:tcPr>
            <w:tcW w:w="13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8,158 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9,213 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 credit carryforwards</w:t>
            </w:r>
          </w:p>
        </w:tc>
        <w:tc>
          <w:tcPr>
            <w:tcW w:w="13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11,526 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8,438 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Equity-based compensation</w:t>
            </w:r>
          </w:p>
        </w:tc>
        <w:tc>
          <w:tcPr>
            <w:tcW w:w="13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5,330 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4,196 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accruals and reserves</w:t>
            </w:r>
          </w:p>
        </w:tc>
        <w:tc>
          <w:tcPr>
            <w:tcW w:w="13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deferred tax assets</w:t>
            </w:r>
          </w:p>
        </w:tc>
        <w:tc>
          <w:tcPr>
            <w:tcW w:w="132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85,944 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66,898 </w:t>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Valuation allowance for deferred tax assets</w:t>
            </w:r>
          </w:p>
        </w:tc>
        <w:tc>
          <w:tcPr>
            <w:tcW w:w="13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(78,381)</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(58,215)</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deferred tax assets, net of valuation allowance</w:t>
            </w:r>
          </w:p>
        </w:tc>
        <w:tc>
          <w:tcPr>
            <w:tcW w:w="3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7,563 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8,683 </w:t>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liability</w:t>
            </w:r>
          </w:p>
        </w:tc>
        <w:tc>
          <w:tcPr>
            <w:tcW w:w="14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Right-of-use assets</w:t>
            </w:r>
          </w:p>
        </w:tc>
        <w:tc>
          <w:tcPr>
            <w:tcW w:w="13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(7,563)</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(8,683)</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deferred tax assets (liability)</w:t>
            </w:r>
          </w:p>
        </w:tc>
        <w:tc>
          <w:tcPr>
            <w:tcW w:w="3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131445"/>
                <wp:effectExtent l="0" t="0" r="0" b="0"/>
                <wp:wrapNone/>
                <wp:docPr id="119" name="Frame101"/>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101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101</w:t>
                      </w:r>
                    </w:p>
                  </w:txbxContent>
                </v:textbox>
                <w10:wrap type="none"/>
              </v:rect>
            </w:pict>
          </mc:Fallback>
        </mc:AlternateContent>
      </w:r>
    </w:p>
    <w:tbl>
      <w:tblPr>
        <w:tblW w:w="6029" w:type="dxa"/>
        <w:jc w:val="left"/>
        <w:tblInd w:w="0" w:type="dxa"/>
        <w:tblLayout w:type="fixed"/>
        <w:tblCellMar>
          <w:top w:w="28" w:type="dxa"/>
          <w:left w:w="28" w:type="dxa"/>
          <w:bottom w:w="28" w:type="dxa"/>
          <w:right w:w="28" w:type="dxa"/>
        </w:tblCellMar>
      </w:tblPr>
      <w:tblGrid>
        <w:gridCol w:w="1929"/>
        <w:gridCol w:w="1697"/>
        <w:gridCol w:w="2403"/>
      </w:tblGrid>
      <w:tr>
        <w:trPr/>
        <w:tc>
          <w:tcPr>
            <w:tcW w:w="1929" w:type="dxa"/>
            <w:tcBorders/>
            <w:vAlign w:val="center"/>
          </w:tcPr>
          <w:p>
            <w:pPr>
              <w:pStyle w:val="TableContents"/>
              <w:bidi w:val="0"/>
              <w:spacing w:before="0" w:after="283"/>
              <w:jc w:val="left"/>
              <w:rPr>
                <w:sz w:val="4"/>
                <w:szCs w:val="4"/>
              </w:rPr>
            </w:pPr>
            <w:r>
              <w:rPr>
                <w:sz w:val="4"/>
                <w:szCs w:val="4"/>
              </w:rPr>
            </w:r>
          </w:p>
        </w:tc>
        <w:tc>
          <w:tcPr>
            <w:tcW w:w="1697" w:type="dxa"/>
            <w:tcBorders/>
            <w:vAlign w:val="center"/>
          </w:tcPr>
          <w:p>
            <w:pPr>
              <w:pStyle w:val="TableContents"/>
              <w:bidi w:val="0"/>
              <w:spacing w:before="0" w:after="283"/>
              <w:jc w:val="left"/>
              <w:rPr>
                <w:sz w:val="4"/>
                <w:szCs w:val="4"/>
              </w:rPr>
            </w:pPr>
            <w:r>
              <w:rPr>
                <w:sz w:val="4"/>
                <w:szCs w:val="4"/>
              </w:rPr>
            </w:r>
          </w:p>
        </w:tc>
        <w:tc>
          <w:tcPr>
            <w:tcW w:w="2403" w:type="dxa"/>
            <w:tcBorders/>
            <w:vAlign w:val="center"/>
          </w:tcPr>
          <w:p>
            <w:pPr>
              <w:pStyle w:val="TableContents"/>
              <w:bidi w:val="0"/>
              <w:spacing w:before="0" w:after="283"/>
              <w:jc w:val="left"/>
              <w:rPr>
                <w:sz w:val="4"/>
                <w:szCs w:val="4"/>
              </w:rPr>
            </w:pPr>
            <w:r>
              <w:rPr>
                <w:sz w:val="4"/>
                <w:szCs w:val="4"/>
              </w:rPr>
            </w:r>
          </w:p>
        </w:tc>
      </w:tr>
      <w:tr>
        <w:trPr/>
        <w:tc>
          <w:tcPr>
            <w:tcW w:w="602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left"/>
              <w:rPr>
                <w:rFonts w:ascii="Times New Roman;sans-serif" w:hAnsi="Times New Roman;sans-serif"/>
                <w:b/>
                <w:color w:val="000000"/>
                <w:sz w:val="24"/>
              </w:rPr>
            </w:pPr>
            <w:r>
              <w:rPr>
                <w:rFonts w:ascii="Times New Roman;sans-serif" w:hAnsi="Times New Roman;sans-serif"/>
                <w:b/>
                <w:color w:val="000000"/>
                <w:sz w:val="24"/>
              </w:rPr>
              <w:t>Nautilus Biotechnology, Inc.</w:t>
            </w:r>
          </w:p>
          <w:p>
            <w:pPr>
              <w:pStyle w:val="TableContents"/>
              <w:bidi w:val="0"/>
              <w:spacing w:lineRule="auto" w:line="288" w:before="0" w:after="0"/>
              <w:jc w:val="left"/>
              <w:rPr>
                <w:rFonts w:ascii="Times New Roman;sans-serif" w:hAnsi="Times New Roman;sans-serif"/>
                <w:b/>
                <w:color w:val="000000"/>
                <w:sz w:val="24"/>
              </w:rPr>
            </w:pPr>
            <w:r>
              <w:rPr>
                <w:rFonts w:ascii="Times New Roman;sans-serif" w:hAnsi="Times New Roman;sans-serif"/>
                <w:b/>
                <w:color w:val="000000"/>
                <w:sz w:val="24"/>
              </w:rPr>
              <w:t>Notes to Consolidated Financial Statements—(Continued)</w:t>
            </w:r>
          </w:p>
        </w:tc>
      </w:tr>
    </w:tbl>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began to file income tax returns in the United States in 2017. All tax years are open to examination.</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 valuation allowance of $78.4 million and $58.2 million at December 31, 2024 and 2023, respectively, has been recognized to offset net deferred tax assets where realization of such net deferred tax assets is determined to be more likely than not to not be realized. The valuation allowance increased by $20.2 million in 2024 and increased by $17.0 million in 2023, which was primarily due to changes in our deferred tax asset balances. The increases in the valuation allowance in 2024 and 2023 was primarily due to the net operating loss and tax credit generation, capitalized research and development expense and stock-based compensation. </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had an unrecognized tax benefit balance of $3.1 million and $2.4 million related to research and development credits and California net operating loss carryforward as of December 31, 2024 and 2023, respectively. No amount of unrecognized tax benefits as of December 31, 2024, if recognized, would reduce the Company’s effective tax rate because the benefits would be in the form of tax credit carryforwards, which would be reduced to $0 by a full valuation allowance. There are no provisions for which it is reasonably possible that the total amounts of unrecognized tax benefits will significantly increase or decrease within 12 months of the reporting date. Because the statute of limitations does not expire until after the net operating loss and credit carryforwards are actually used, the statutes are still open on calendars years ending 2017 forward for federal and state purposes.</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 reconciliation of the beginning and ending amount of the liability for uncertain tax positions, excluding potential interest and penalties, is as follows:</w:t>
      </w:r>
    </w:p>
    <w:tbl>
      <w:tblPr>
        <w:tblW w:w="7194" w:type="dxa"/>
        <w:jc w:val="left"/>
        <w:tblInd w:w="0" w:type="dxa"/>
        <w:tblLayout w:type="fixed"/>
        <w:tblCellMar>
          <w:top w:w="28" w:type="dxa"/>
          <w:left w:w="28" w:type="dxa"/>
          <w:bottom w:w="28" w:type="dxa"/>
          <w:right w:w="28" w:type="dxa"/>
        </w:tblCellMar>
      </w:tblPr>
      <w:tblGrid>
        <w:gridCol w:w="1385"/>
        <w:gridCol w:w="1217"/>
        <w:gridCol w:w="1222"/>
        <w:gridCol w:w="338"/>
        <w:gridCol w:w="987"/>
        <w:gridCol w:w="174"/>
        <w:gridCol w:w="109"/>
        <w:gridCol w:w="109"/>
        <w:gridCol w:w="109"/>
        <w:gridCol w:w="332"/>
        <w:gridCol w:w="970"/>
        <w:gridCol w:w="242"/>
      </w:tblGrid>
      <w:tr>
        <w:trPr/>
        <w:tc>
          <w:tcPr>
            <w:tcW w:w="1385" w:type="dxa"/>
            <w:tcBorders/>
            <w:vAlign w:val="center"/>
          </w:tcPr>
          <w:p>
            <w:pPr>
              <w:pStyle w:val="TableContents"/>
              <w:bidi w:val="0"/>
              <w:spacing w:before="0" w:after="283"/>
              <w:jc w:val="left"/>
              <w:rPr>
                <w:sz w:val="4"/>
                <w:szCs w:val="4"/>
              </w:rPr>
            </w:pPr>
            <w:r>
              <w:rPr>
                <w:sz w:val="4"/>
                <w:szCs w:val="4"/>
              </w:rPr>
            </w:r>
          </w:p>
        </w:tc>
        <w:tc>
          <w:tcPr>
            <w:tcW w:w="1217" w:type="dxa"/>
            <w:tcBorders/>
            <w:vAlign w:val="center"/>
          </w:tcPr>
          <w:p>
            <w:pPr>
              <w:pStyle w:val="TableContents"/>
              <w:bidi w:val="0"/>
              <w:spacing w:before="0" w:after="283"/>
              <w:jc w:val="left"/>
              <w:rPr>
                <w:sz w:val="4"/>
                <w:szCs w:val="4"/>
              </w:rPr>
            </w:pPr>
            <w:r>
              <w:rPr>
                <w:sz w:val="4"/>
                <w:szCs w:val="4"/>
              </w:rPr>
            </w:r>
          </w:p>
        </w:tc>
        <w:tc>
          <w:tcPr>
            <w:tcW w:w="1222"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r>
      <w:tr>
        <w:trPr/>
        <w:tc>
          <w:tcPr>
            <w:tcW w:w="3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4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Beginning balance</w:t>
            </w:r>
          </w:p>
        </w:tc>
        <w:tc>
          <w:tcPr>
            <w:tcW w:w="3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2,365 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1,544 </w:t>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Increase based on current year tax positions</w:t>
            </w:r>
          </w:p>
        </w:tc>
        <w:tc>
          <w:tcPr>
            <w:tcW w:w="13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838 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812 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Increase (decrease) for prior year tax positions</w:t>
            </w:r>
          </w:p>
        </w:tc>
        <w:tc>
          <w:tcPr>
            <w:tcW w:w="13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Ending balance</w:t>
            </w:r>
          </w:p>
        </w:tc>
        <w:tc>
          <w:tcPr>
            <w:tcW w:w="3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3,146 </w:t>
            </w:r>
          </w:p>
        </w:tc>
        <w:tc>
          <w:tcPr>
            <w:tcW w:w="1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2,365 </w:t>
            </w:r>
          </w:p>
        </w:tc>
        <w:tc>
          <w:tcPr>
            <w:tcW w:w="2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Net operating loss and tax credit carry-forwards are subject to review and possible adjustment by the Internal Revenue Service (the “IRS”) and may become subject to an annual limitation in the event of certain cumulative changes in the ownership interest of significant stockholders over a three-year period in excess of 50% as defined under Sections 382 and 383 in the Code, which could limit the amount of tax attributes that can be utilized annually to offset future taxable income or tax liabilities. The amount of the annual limitation is determined based on the Company’s value immediately prior to the ownership change. Subsequent ownership changes may further affect the limitation in future years. The Company has not, as yet, conducted a study to determine if any such changes have occurred that could limit its ability to use the net operating loss and tax credit carryforwards.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7.     Equity Incentive Plans and Stock-based Compensation</w:t>
      </w:r>
    </w:p>
    <w:p>
      <w:pPr>
        <w:pStyle w:val="TextBody"/>
        <w:bidi w:val="0"/>
        <w:spacing w:lineRule="auto" w:line="288" w:before="0" w:after="180"/>
        <w:ind w:left="0" w:right="0" w:firstLine="360"/>
        <w:jc w:val="left"/>
        <w:rPr/>
      </w:pPr>
      <w:r>
        <w:rPr>
          <w:rFonts w:ascii="Times New Roman;sans-serif" w:hAnsi="Times New Roman;sans-serif"/>
          <w:b w:val="false"/>
          <w:color w:val="000000"/>
          <w:sz w:val="20"/>
        </w:rPr>
        <w:t>On June 8, 2021, the stockholders of the Company approved the 2021 Equity Incentive Plan (“2021 Plan”) and the 2021 Employee Stock Purchase Plan (</w:t>
      </w:r>
      <w:r>
        <w:rPr>
          <w:color w:val="000000"/>
          <w:shd w:fill="FFFFFF" w:val="clear"/>
        </w:rPr>
        <w:t>“</w:t>
      </w:r>
      <w:r>
        <w:rPr>
          <w:rFonts w:ascii="Times New Roman;sans-serif" w:hAnsi="Times New Roman;sans-serif"/>
          <w:b w:val="false"/>
          <w:color w:val="000000"/>
          <w:sz w:val="20"/>
          <w:shd w:fill="FFFFFF" w:val="clear"/>
        </w:rPr>
        <w:t>2021 ESPP”). As of December 31, 2024</w:t>
      </w:r>
      <w:r>
        <w:rPr>
          <w:rFonts w:ascii="Times New Roman;sans-serif" w:hAnsi="Times New Roman;sans-serif"/>
          <w:b w:val="false"/>
          <w:color w:val="000000"/>
          <w:sz w:val="20"/>
        </w:rPr>
        <w:t xml:space="preserve">, 23,784,439 and 4,508,360 </w:t>
      </w:r>
      <w:r>
        <w:rPr>
          <w:rFonts w:ascii="Times New Roman;sans-serif" w:hAnsi="Times New Roman;sans-serif"/>
          <w:b w:val="false"/>
          <w:color w:val="000000"/>
          <w:sz w:val="20"/>
          <w:shd w:fill="FFFFFF" w:val="clear"/>
        </w:rPr>
        <w:t xml:space="preserve">shares were available for grant under the 2021 Plan and 2021 ESPP, respectively. </w:t>
      </w:r>
    </w:p>
    <w:p>
      <w:pPr>
        <w:pStyle w:val="TextBody"/>
        <w:bidi w:val="0"/>
        <w:spacing w:lineRule="auto" w:line="288"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2021 Employee Stock Purchase Plan</w:t>
      </w:r>
    </w:p>
    <w:p>
      <w:pPr>
        <w:pStyle w:val="TextBody"/>
        <w:bidi w:val="0"/>
        <w:spacing w:lineRule="auto" w:line="288" w:before="0" w:after="180"/>
        <w:ind w:left="0" w:right="0" w:firstLine="36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Under the 2021 ESPP, participants are permitted to purchase shares of Common Stock, up to the IRS allowable limit, through contributions (in the form of payroll deductions or otherwise to the extent permitted by the administrator of the 2021 ESPP) of up to 15% of their eligible compensation. Participants are permitted to purchase shares of the Company’s Common Stock at 85% of the lower of the fair market value of the Company’s Common Stock on the first trading day of an offering period or on the last trading date in each purchase period. The Company offers a six-month purchase period. Participants may end their participation at any time during an offering and will be paid their accrued contributions that have not yet been used to purchase shares. Participation ends automatically upon termination of employment with the Company. The number of shares of common stock available for issuance under the 2021 ESPP will be increased on the first day of each fiscal year, in an amount equal to the least of (i)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131445"/>
                <wp:effectExtent l="0" t="0" r="0" b="0"/>
                <wp:wrapNone/>
                <wp:docPr id="120" name="Frame10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102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102</w:t>
                      </w:r>
                    </w:p>
                  </w:txbxContent>
                </v:textbox>
                <w10:wrap type="none"/>
              </v:rect>
            </w:pict>
          </mc:Fallback>
        </mc:AlternateContent>
      </w:r>
    </w:p>
    <w:tbl>
      <w:tblPr>
        <w:tblW w:w="6029" w:type="dxa"/>
        <w:jc w:val="left"/>
        <w:tblInd w:w="0" w:type="dxa"/>
        <w:tblLayout w:type="fixed"/>
        <w:tblCellMar>
          <w:top w:w="28" w:type="dxa"/>
          <w:left w:w="28" w:type="dxa"/>
          <w:bottom w:w="28" w:type="dxa"/>
          <w:right w:w="28" w:type="dxa"/>
        </w:tblCellMar>
      </w:tblPr>
      <w:tblGrid>
        <w:gridCol w:w="1929"/>
        <w:gridCol w:w="1697"/>
        <w:gridCol w:w="2403"/>
      </w:tblGrid>
      <w:tr>
        <w:trPr/>
        <w:tc>
          <w:tcPr>
            <w:tcW w:w="1929" w:type="dxa"/>
            <w:tcBorders/>
            <w:vAlign w:val="center"/>
          </w:tcPr>
          <w:p>
            <w:pPr>
              <w:pStyle w:val="TableContents"/>
              <w:bidi w:val="0"/>
              <w:spacing w:before="0" w:after="283"/>
              <w:jc w:val="left"/>
              <w:rPr>
                <w:sz w:val="4"/>
                <w:szCs w:val="4"/>
              </w:rPr>
            </w:pPr>
            <w:r>
              <w:rPr>
                <w:sz w:val="4"/>
                <w:szCs w:val="4"/>
              </w:rPr>
            </w:r>
          </w:p>
        </w:tc>
        <w:tc>
          <w:tcPr>
            <w:tcW w:w="1697" w:type="dxa"/>
            <w:tcBorders/>
            <w:vAlign w:val="center"/>
          </w:tcPr>
          <w:p>
            <w:pPr>
              <w:pStyle w:val="TableContents"/>
              <w:bidi w:val="0"/>
              <w:spacing w:before="0" w:after="283"/>
              <w:jc w:val="left"/>
              <w:rPr>
                <w:sz w:val="4"/>
                <w:szCs w:val="4"/>
              </w:rPr>
            </w:pPr>
            <w:r>
              <w:rPr>
                <w:sz w:val="4"/>
                <w:szCs w:val="4"/>
              </w:rPr>
            </w:r>
          </w:p>
        </w:tc>
        <w:tc>
          <w:tcPr>
            <w:tcW w:w="2403" w:type="dxa"/>
            <w:tcBorders/>
            <w:vAlign w:val="center"/>
          </w:tcPr>
          <w:p>
            <w:pPr>
              <w:pStyle w:val="TableContents"/>
              <w:bidi w:val="0"/>
              <w:spacing w:before="0" w:after="283"/>
              <w:jc w:val="left"/>
              <w:rPr>
                <w:sz w:val="4"/>
                <w:szCs w:val="4"/>
              </w:rPr>
            </w:pPr>
            <w:r>
              <w:rPr>
                <w:sz w:val="4"/>
                <w:szCs w:val="4"/>
              </w:rPr>
            </w:r>
          </w:p>
        </w:tc>
      </w:tr>
      <w:tr>
        <w:trPr/>
        <w:tc>
          <w:tcPr>
            <w:tcW w:w="602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left"/>
              <w:rPr>
                <w:rFonts w:ascii="Times New Roman;sans-serif" w:hAnsi="Times New Roman;sans-serif"/>
                <w:b/>
                <w:color w:val="000000"/>
                <w:sz w:val="24"/>
              </w:rPr>
            </w:pPr>
            <w:r>
              <w:rPr>
                <w:rFonts w:ascii="Times New Roman;sans-serif" w:hAnsi="Times New Roman;sans-serif"/>
                <w:b/>
                <w:color w:val="000000"/>
                <w:sz w:val="24"/>
              </w:rPr>
              <w:t>Nautilus Biotechnology, Inc.</w:t>
            </w:r>
          </w:p>
          <w:p>
            <w:pPr>
              <w:pStyle w:val="TableContents"/>
              <w:bidi w:val="0"/>
              <w:spacing w:lineRule="auto" w:line="288" w:before="0" w:after="0"/>
              <w:jc w:val="left"/>
              <w:rPr>
                <w:rFonts w:ascii="Times New Roman;sans-serif" w:hAnsi="Times New Roman;sans-serif"/>
                <w:b/>
                <w:color w:val="000000"/>
                <w:sz w:val="24"/>
              </w:rPr>
            </w:pPr>
            <w:r>
              <w:rPr>
                <w:rFonts w:ascii="Times New Roman;sans-serif" w:hAnsi="Times New Roman;sans-serif"/>
                <w:b/>
                <w:color w:val="000000"/>
                <w:sz w:val="24"/>
              </w:rPr>
              <w:t>Notes to Consolidated Financial Statements—(Continued)</w:t>
            </w:r>
          </w:p>
        </w:tc>
      </w:tr>
    </w:tbl>
    <w:p>
      <w:pPr>
        <w:pStyle w:val="TextBody"/>
        <w:bidi w:val="0"/>
        <w:spacing w:lineRule="auto" w:line="288" w:before="0" w:after="180"/>
        <w:jc w:val="left"/>
        <w:rPr/>
      </w:pPr>
      <w:r>
        <w:rPr>
          <w:rFonts w:ascii="Times New Roman;sans-serif" w:hAnsi="Times New Roman;sans-serif"/>
          <w:b w:val="false"/>
          <w:color w:val="000000"/>
          <w:sz w:val="20"/>
          <w:shd w:fill="FFFFFF" w:val="clear"/>
        </w:rPr>
        <w:t>3,734,500 shares of common stock, (ii) a number of s</w:t>
      </w:r>
      <w:r>
        <w:rPr>
          <w:rFonts w:ascii="Times New Roman;sans-serif" w:hAnsi="Times New Roman;sans-serif"/>
          <w:b w:val="false"/>
          <w:color w:val="000000"/>
          <w:sz w:val="20"/>
        </w:rPr>
        <w:t>hares of common stock equal to one percent (1%) of the total number of shares of all classes of common stock of the Company on the last day of the immediately preceding fiscal year, or (iii) such number of shares determined by the Administrator no later than the last day of the immediately preceding fiscal year.</w:t>
      </w:r>
    </w:p>
    <w:p>
      <w:pPr>
        <w:pStyle w:val="TextBody"/>
        <w:bidi w:val="0"/>
        <w:spacing w:lineRule="auto" w:line="288"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2021 Equity Incentive Plan</w:t>
      </w:r>
    </w:p>
    <w:p>
      <w:pPr>
        <w:pStyle w:val="TextBody"/>
        <w:bidi w:val="0"/>
        <w:spacing w:lineRule="auto" w:line="288" w:before="0" w:after="180"/>
        <w:ind w:left="0" w:right="0" w:firstLine="360"/>
        <w:jc w:val="left"/>
        <w:rPr/>
      </w:pPr>
      <w:r>
        <w:rPr>
          <w:rFonts w:ascii="Times New Roman;sans-serif" w:hAnsi="Times New Roman;sans-serif"/>
          <w:b w:val="false"/>
          <w:color w:val="000000"/>
          <w:sz w:val="20"/>
        </w:rPr>
        <w:t>Under the 2021 Plan, the Company can grant incentive stock options, nonstatutory stock options, stock appreciation rig</w:t>
      </w:r>
      <w:r>
        <w:rPr>
          <w:rFonts w:ascii="Times New Roman;sans-serif" w:hAnsi="Times New Roman;sans-serif"/>
          <w:b w:val="false"/>
          <w:color w:val="000000"/>
          <w:sz w:val="20"/>
          <w:shd w:fill="FFFFFF" w:val="clear"/>
        </w:rPr>
        <w:t xml:space="preserve">hts, restricted stock, restricted stock units and performance awards to employees, non-employee directors and consultants. </w:t>
      </w:r>
      <w:r>
        <w:rPr>
          <w:rFonts w:ascii="Times New Roman;sans-serif" w:hAnsi="Times New Roman;sans-serif"/>
          <w:b w:val="false"/>
          <w:color w:val="000000"/>
          <w:sz w:val="20"/>
        </w:rPr>
        <w:t xml:space="preserve">Options generally expire ten years after the date of grant. </w:t>
      </w:r>
      <w:r>
        <w:rPr>
          <w:rFonts w:ascii="Times New Roman;sans-serif" w:hAnsi="Times New Roman;sans-serif"/>
          <w:b w:val="false"/>
          <w:color w:val="000000"/>
          <w:sz w:val="20"/>
          <w:shd w:fill="FFFFFF" w:val="clear"/>
        </w:rPr>
        <w:t xml:space="preserve">The number of shares available for issuance under the 2021 Plan will be increased on the first day of each fiscal year, in an amount equal to the least of (i) 18,672,200 shares, (ii) a number of shares equal to five percent (5%) of the total number of shares of all classes of common stock of the Company outstanding on the last day of the immediately preceding fiscal year, or (iii) such number of shares determined by the Administrator no later than the last day of the immediately preceding </w:t>
      </w:r>
      <w:r>
        <w:rPr>
          <w:rFonts w:ascii="Times New Roman;sans-serif" w:hAnsi="Times New Roman;sans-serif"/>
          <w:b w:val="false"/>
          <w:color w:val="000000"/>
          <w:sz w:val="20"/>
        </w:rPr>
        <w:t xml:space="preserve">fiscal year. </w:t>
      </w:r>
    </w:p>
    <w:p>
      <w:pPr>
        <w:pStyle w:val="TextBody"/>
        <w:bidi w:val="0"/>
        <w:spacing w:lineRule="auto" w:line="288"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2017 Equity Incentive Plan</w:t>
      </w:r>
    </w:p>
    <w:p>
      <w:pPr>
        <w:pStyle w:val="TextBody"/>
        <w:bidi w:val="0"/>
        <w:spacing w:lineRule="auto" w:line="288" w:before="0" w:after="180"/>
        <w:ind w:left="0" w:right="0" w:firstLine="36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At the time of adoption of the 2021 Plan and the 2021 ESPP, no further awards will be granted under the 2017 Equity Incentive Plan (“2017 Plan”). Stock-based awards forfeited or cancelled from the 2017 Plan are returned to the pool of shares of Common Stock available for issuance under the 2021 Plan.</w:t>
      </w:r>
    </w:p>
    <w:p>
      <w:pPr>
        <w:pStyle w:val="TextBody"/>
        <w:bidi w:val="0"/>
        <w:spacing w:lineRule="auto" w:line="288"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Grant Date Fair Value of Stock Options</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 determining the compensation cost of the option awards, the fair value for each option award has been estimated using the Black Scholes model. The significant assumptions used in these calculations are summarized as follows:</w:t>
      </w:r>
    </w:p>
    <w:tbl>
      <w:tblPr>
        <w:tblW w:w="7474" w:type="dxa"/>
        <w:jc w:val="left"/>
        <w:tblInd w:w="0" w:type="dxa"/>
        <w:tblLayout w:type="fixed"/>
        <w:tblCellMar>
          <w:top w:w="28" w:type="dxa"/>
          <w:left w:w="28" w:type="dxa"/>
          <w:bottom w:w="28" w:type="dxa"/>
          <w:right w:w="28" w:type="dxa"/>
        </w:tblCellMar>
      </w:tblPr>
      <w:tblGrid>
        <w:gridCol w:w="755"/>
        <w:gridCol w:w="663"/>
        <w:gridCol w:w="666"/>
        <w:gridCol w:w="799"/>
        <w:gridCol w:w="799"/>
        <w:gridCol w:w="802"/>
        <w:gridCol w:w="109"/>
        <w:gridCol w:w="109"/>
        <w:gridCol w:w="109"/>
        <w:gridCol w:w="799"/>
        <w:gridCol w:w="799"/>
        <w:gridCol w:w="802"/>
        <w:gridCol w:w="109"/>
        <w:gridCol w:w="154"/>
      </w:tblGrid>
      <w:tr>
        <w:trPr/>
        <w:tc>
          <w:tcPr>
            <w:tcW w:w="755"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 2023</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term (in years)</w:t>
            </w:r>
          </w:p>
        </w:tc>
        <w:tc>
          <w:tcPr>
            <w:tcW w:w="240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5.3 - 6.1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5.3 - 6.4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volatility</w:t>
            </w:r>
          </w:p>
        </w:tc>
        <w:tc>
          <w:tcPr>
            <w:tcW w:w="24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99.7% - 101.6%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102.7% - 107.5%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dividend rate</w:t>
            </w:r>
          </w:p>
        </w:tc>
        <w:tc>
          <w:tcPr>
            <w:tcW w:w="24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0.0%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 free interest rate</w:t>
            </w:r>
          </w:p>
        </w:tc>
        <w:tc>
          <w:tcPr>
            <w:tcW w:w="24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3.4% - 4.6%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3.5% - 4.8%</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84" w:type="dxa"/>
            <w:gridSpan w:val="3"/>
            <w:tcBorders/>
            <w:vAlign w:val="center"/>
          </w:tcPr>
          <w:p>
            <w:pPr>
              <w:pStyle w:val="TableContents"/>
              <w:bidi w:val="0"/>
              <w:spacing w:before="0" w:after="283"/>
              <w:jc w:val="left"/>
              <w:rPr>
                <w:sz w:val="4"/>
                <w:szCs w:val="4"/>
              </w:rPr>
            </w:pPr>
            <w:r>
              <w:rPr>
                <w:sz w:val="4"/>
                <w:szCs w:val="4"/>
              </w:rPr>
            </w:r>
          </w:p>
        </w:tc>
        <w:tc>
          <w:tcPr>
            <w:tcW w:w="24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Expected term: The expected term of stock options represents the weighted-average period the stock options are expected to remain outstanding. The Company does not have sufficient historical exercise and post-vesting termination activity to provide accurate data for estimating the expected term of options and has opted to use the “simplified method,” whereby the expected term equals the arithmetic average of the vesting term and the original contractual term of the option.</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Expected volatility: Historically, the Company has been a private company and lacked company</w:t>
        <w:noBreakHyphen/>
        <w:t>specific historical and implied volatility information for its common stock. Therefore, the expected volatility of the Company’s common stock was determined by using an average of historical volatilities of selected industry peers deemed to be comparable to the Company’s business corresponding to the expected term of the awards and the Company expects to continue to do so until such time as the Company has adequate historical data regarding the volatility of its traded common stock price.</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Expected dividend yield: The expected dividend rate is zero as the Company has no history or expectation of declaring dividends on its common stock.</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Risk-free interest rate: The risk-free interest rate is based on the U.S. Treasury yield curve in effect at the time of grant for zero-coupon U.S. Treasury notes with maturities corresponding to the expected term of the awards.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131445"/>
                <wp:effectExtent l="0" t="0" r="0" b="0"/>
                <wp:wrapNone/>
                <wp:docPr id="121" name="Frame10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103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103</w:t>
                      </w:r>
                    </w:p>
                  </w:txbxContent>
                </v:textbox>
                <w10:wrap type="none"/>
              </v:rect>
            </w:pict>
          </mc:Fallback>
        </mc:AlternateContent>
      </w:r>
    </w:p>
    <w:tbl>
      <w:tblPr>
        <w:tblW w:w="6029" w:type="dxa"/>
        <w:jc w:val="left"/>
        <w:tblInd w:w="0" w:type="dxa"/>
        <w:tblLayout w:type="fixed"/>
        <w:tblCellMar>
          <w:top w:w="28" w:type="dxa"/>
          <w:left w:w="28" w:type="dxa"/>
          <w:bottom w:w="28" w:type="dxa"/>
          <w:right w:w="28" w:type="dxa"/>
        </w:tblCellMar>
      </w:tblPr>
      <w:tblGrid>
        <w:gridCol w:w="1929"/>
        <w:gridCol w:w="1697"/>
        <w:gridCol w:w="2403"/>
      </w:tblGrid>
      <w:tr>
        <w:trPr/>
        <w:tc>
          <w:tcPr>
            <w:tcW w:w="1929" w:type="dxa"/>
            <w:tcBorders/>
            <w:vAlign w:val="center"/>
          </w:tcPr>
          <w:p>
            <w:pPr>
              <w:pStyle w:val="TableContents"/>
              <w:bidi w:val="0"/>
              <w:spacing w:before="0" w:after="283"/>
              <w:jc w:val="left"/>
              <w:rPr>
                <w:sz w:val="4"/>
                <w:szCs w:val="4"/>
              </w:rPr>
            </w:pPr>
            <w:r>
              <w:rPr>
                <w:sz w:val="4"/>
                <w:szCs w:val="4"/>
              </w:rPr>
            </w:r>
          </w:p>
        </w:tc>
        <w:tc>
          <w:tcPr>
            <w:tcW w:w="1697" w:type="dxa"/>
            <w:tcBorders/>
            <w:vAlign w:val="center"/>
          </w:tcPr>
          <w:p>
            <w:pPr>
              <w:pStyle w:val="TableContents"/>
              <w:bidi w:val="0"/>
              <w:spacing w:before="0" w:after="283"/>
              <w:jc w:val="left"/>
              <w:rPr>
                <w:sz w:val="4"/>
                <w:szCs w:val="4"/>
              </w:rPr>
            </w:pPr>
            <w:r>
              <w:rPr>
                <w:sz w:val="4"/>
                <w:szCs w:val="4"/>
              </w:rPr>
            </w:r>
          </w:p>
        </w:tc>
        <w:tc>
          <w:tcPr>
            <w:tcW w:w="2403" w:type="dxa"/>
            <w:tcBorders/>
            <w:vAlign w:val="center"/>
          </w:tcPr>
          <w:p>
            <w:pPr>
              <w:pStyle w:val="TableContents"/>
              <w:bidi w:val="0"/>
              <w:spacing w:before="0" w:after="283"/>
              <w:jc w:val="left"/>
              <w:rPr>
                <w:sz w:val="4"/>
                <w:szCs w:val="4"/>
              </w:rPr>
            </w:pPr>
            <w:r>
              <w:rPr>
                <w:sz w:val="4"/>
                <w:szCs w:val="4"/>
              </w:rPr>
            </w:r>
          </w:p>
        </w:tc>
      </w:tr>
      <w:tr>
        <w:trPr/>
        <w:tc>
          <w:tcPr>
            <w:tcW w:w="602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left"/>
              <w:rPr>
                <w:rFonts w:ascii="Times New Roman;sans-serif" w:hAnsi="Times New Roman;sans-serif"/>
                <w:b/>
                <w:color w:val="000000"/>
                <w:sz w:val="24"/>
              </w:rPr>
            </w:pPr>
            <w:r>
              <w:rPr>
                <w:rFonts w:ascii="Times New Roman;sans-serif" w:hAnsi="Times New Roman;sans-serif"/>
                <w:b/>
                <w:color w:val="000000"/>
                <w:sz w:val="24"/>
              </w:rPr>
              <w:t>Nautilus Biotechnology, Inc.</w:t>
            </w:r>
          </w:p>
          <w:p>
            <w:pPr>
              <w:pStyle w:val="TableContents"/>
              <w:bidi w:val="0"/>
              <w:spacing w:lineRule="auto" w:line="288" w:before="0" w:after="0"/>
              <w:jc w:val="left"/>
              <w:rPr>
                <w:rFonts w:ascii="Times New Roman;sans-serif" w:hAnsi="Times New Roman;sans-serif"/>
                <w:b/>
                <w:color w:val="000000"/>
                <w:sz w:val="24"/>
              </w:rPr>
            </w:pPr>
            <w:r>
              <w:rPr>
                <w:rFonts w:ascii="Times New Roman;sans-serif" w:hAnsi="Times New Roman;sans-serif"/>
                <w:b/>
                <w:color w:val="000000"/>
                <w:sz w:val="24"/>
              </w:rPr>
              <w:t>Notes to Consolidated Financial Statements—(Continued)</w:t>
            </w:r>
          </w:p>
        </w:tc>
      </w:tr>
    </w:tbl>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option award activity during the year ended December 31, 2024:</w:t>
      </w:r>
    </w:p>
    <w:tbl>
      <w:tblPr>
        <w:tblW w:w="10205" w:type="dxa"/>
        <w:jc w:val="left"/>
        <w:tblInd w:w="0" w:type="dxa"/>
        <w:tblLayout w:type="fixed"/>
        <w:tblCellMar>
          <w:top w:w="28" w:type="dxa"/>
          <w:left w:w="28" w:type="dxa"/>
          <w:bottom w:w="28" w:type="dxa"/>
          <w:right w:w="28" w:type="dxa"/>
        </w:tblCellMar>
      </w:tblPr>
      <w:tblGrid>
        <w:gridCol w:w="1017"/>
        <w:gridCol w:w="790"/>
        <w:gridCol w:w="795"/>
        <w:gridCol w:w="829"/>
        <w:gridCol w:w="457"/>
        <w:gridCol w:w="444"/>
        <w:gridCol w:w="109"/>
        <w:gridCol w:w="109"/>
        <w:gridCol w:w="109"/>
        <w:gridCol w:w="363"/>
        <w:gridCol w:w="880"/>
        <w:gridCol w:w="187"/>
        <w:gridCol w:w="109"/>
        <w:gridCol w:w="109"/>
        <w:gridCol w:w="109"/>
        <w:gridCol w:w="701"/>
        <w:gridCol w:w="701"/>
        <w:gridCol w:w="703"/>
        <w:gridCol w:w="109"/>
        <w:gridCol w:w="109"/>
        <w:gridCol w:w="109"/>
        <w:gridCol w:w="290"/>
        <w:gridCol w:w="849"/>
        <w:gridCol w:w="218"/>
      </w:tblGrid>
      <w:tr>
        <w:trPr/>
        <w:tc>
          <w:tcPr>
            <w:tcW w:w="1017"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r>
      <w:tr>
        <w:trPr/>
        <w:tc>
          <w:tcPr>
            <w:tcW w:w="26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Number of Stock Option Awards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 Average Exercise 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 Average Remaining Contractual Life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Aggregate Intrinsic Value</w:t>
              <w:br/>
              <w:t>(in thousands)</w:t>
            </w:r>
          </w:p>
        </w:tc>
      </w:tr>
      <w:tr>
        <w:trPr/>
        <w:tc>
          <w:tcPr>
            <w:tcW w:w="2602" w:type="dxa"/>
            <w:gridSpan w:val="3"/>
            <w:tcBorders/>
            <w:vAlign w:val="center"/>
          </w:tcPr>
          <w:p>
            <w:pPr>
              <w:pStyle w:val="TableContents"/>
              <w:bidi w:val="0"/>
              <w:spacing w:before="0" w:after="283"/>
              <w:jc w:val="left"/>
              <w:rPr>
                <w:sz w:val="4"/>
                <w:szCs w:val="4"/>
              </w:rPr>
            </w:pPr>
            <w:r>
              <w:rPr>
                <w:sz w:val="4"/>
                <w:szCs w:val="4"/>
              </w:rPr>
            </w:r>
          </w:p>
        </w:tc>
        <w:tc>
          <w:tcPr>
            <w:tcW w:w="17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7" w:type="dxa"/>
            <w:gridSpan w:val="3"/>
            <w:tcBorders/>
            <w:vAlign w:val="center"/>
          </w:tcPr>
          <w:p>
            <w:pPr>
              <w:pStyle w:val="TableContents"/>
              <w:bidi w:val="0"/>
              <w:spacing w:before="0" w:after="283"/>
              <w:jc w:val="left"/>
              <w:rPr>
                <w:sz w:val="4"/>
                <w:szCs w:val="4"/>
              </w:rPr>
            </w:pPr>
            <w:r>
              <w:rPr>
                <w:sz w:val="4"/>
                <w:szCs w:val="4"/>
              </w:rPr>
            </w:r>
          </w:p>
        </w:tc>
      </w:tr>
      <w:tr>
        <w:trPr/>
        <w:tc>
          <w:tcPr>
            <w:tcW w:w="2602" w:type="dxa"/>
            <w:gridSpan w:val="3"/>
            <w:tcBorders/>
            <w:vAlign w:val="center"/>
          </w:tcPr>
          <w:p>
            <w:pPr>
              <w:pStyle w:val="TableContents"/>
              <w:bidi w:val="0"/>
              <w:spacing w:before="0" w:after="283"/>
              <w:jc w:val="left"/>
              <w:rPr>
                <w:sz w:val="4"/>
                <w:szCs w:val="4"/>
              </w:rPr>
            </w:pPr>
            <w:r>
              <w:rPr>
                <w:sz w:val="4"/>
                <w:szCs w:val="4"/>
              </w:rPr>
            </w:r>
          </w:p>
        </w:tc>
        <w:tc>
          <w:tcPr>
            <w:tcW w:w="17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7" w:type="dxa"/>
            <w:gridSpan w:val="3"/>
            <w:tcBorders/>
            <w:vAlign w:val="center"/>
          </w:tcPr>
          <w:p>
            <w:pPr>
              <w:pStyle w:val="TableContents"/>
              <w:bidi w:val="0"/>
              <w:spacing w:before="0" w:after="283"/>
              <w:jc w:val="left"/>
              <w:rPr>
                <w:sz w:val="4"/>
                <w:szCs w:val="4"/>
              </w:rPr>
            </w:pPr>
            <w:r>
              <w:rPr>
                <w:sz w:val="4"/>
                <w:szCs w:val="4"/>
              </w:rPr>
            </w:r>
          </w:p>
        </w:tc>
      </w:tr>
      <w:tr>
        <w:trPr/>
        <w:tc>
          <w:tcPr>
            <w:tcW w:w="2602" w:type="dxa"/>
            <w:gridSpan w:val="3"/>
            <w:tcBorders/>
            <w:vAlign w:val="center"/>
          </w:tcPr>
          <w:p>
            <w:pPr>
              <w:pStyle w:val="TableContents"/>
              <w:bidi w:val="0"/>
              <w:spacing w:before="0" w:after="283"/>
              <w:jc w:val="left"/>
              <w:rPr>
                <w:sz w:val="4"/>
                <w:szCs w:val="4"/>
              </w:rPr>
            </w:pPr>
            <w:r>
              <w:rPr>
                <w:sz w:val="4"/>
                <w:szCs w:val="4"/>
              </w:rPr>
            </w:r>
          </w:p>
        </w:tc>
        <w:tc>
          <w:tcPr>
            <w:tcW w:w="17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7" w:type="dxa"/>
            <w:gridSpan w:val="3"/>
            <w:tcBorders/>
            <w:vAlign w:val="center"/>
          </w:tcPr>
          <w:p>
            <w:pPr>
              <w:pStyle w:val="TableContents"/>
              <w:bidi w:val="0"/>
              <w:spacing w:before="0" w:after="283"/>
              <w:jc w:val="left"/>
              <w:rPr>
                <w:sz w:val="4"/>
                <w:szCs w:val="4"/>
              </w:rPr>
            </w:pPr>
            <w:r>
              <w:rPr>
                <w:sz w:val="4"/>
                <w:szCs w:val="4"/>
              </w:rPr>
            </w:r>
          </w:p>
        </w:tc>
      </w:tr>
      <w:tr>
        <w:trPr/>
        <w:tc>
          <w:tcPr>
            <w:tcW w:w="2602" w:type="dxa"/>
            <w:gridSpan w:val="3"/>
            <w:tcBorders/>
            <w:vAlign w:val="center"/>
          </w:tcPr>
          <w:p>
            <w:pPr>
              <w:pStyle w:val="TableContents"/>
              <w:bidi w:val="0"/>
              <w:spacing w:before="0" w:after="283"/>
              <w:jc w:val="left"/>
              <w:rPr>
                <w:sz w:val="4"/>
                <w:szCs w:val="4"/>
              </w:rPr>
            </w:pPr>
            <w:r>
              <w:rPr>
                <w:sz w:val="4"/>
                <w:szCs w:val="4"/>
              </w:rPr>
            </w:r>
          </w:p>
        </w:tc>
        <w:tc>
          <w:tcPr>
            <w:tcW w:w="17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7" w:type="dxa"/>
            <w:gridSpan w:val="3"/>
            <w:tcBorders/>
            <w:vAlign w:val="center"/>
          </w:tcPr>
          <w:p>
            <w:pPr>
              <w:pStyle w:val="TableContents"/>
              <w:bidi w:val="0"/>
              <w:spacing w:before="0" w:after="283"/>
              <w:jc w:val="left"/>
              <w:rPr>
                <w:sz w:val="4"/>
                <w:szCs w:val="4"/>
              </w:rPr>
            </w:pPr>
            <w:r>
              <w:rPr>
                <w:sz w:val="4"/>
                <w:szCs w:val="4"/>
              </w:rPr>
            </w:r>
          </w:p>
        </w:tc>
      </w:tr>
      <w:tr>
        <w:trPr/>
        <w:tc>
          <w:tcPr>
            <w:tcW w:w="2602" w:type="dxa"/>
            <w:gridSpan w:val="3"/>
            <w:tcBorders/>
            <w:vAlign w:val="center"/>
          </w:tcPr>
          <w:p>
            <w:pPr>
              <w:pStyle w:val="TableContents"/>
              <w:bidi w:val="0"/>
              <w:spacing w:before="0" w:after="283"/>
              <w:jc w:val="left"/>
              <w:rPr>
                <w:sz w:val="4"/>
                <w:szCs w:val="4"/>
              </w:rPr>
            </w:pPr>
            <w:r>
              <w:rPr>
                <w:sz w:val="4"/>
                <w:szCs w:val="4"/>
              </w:rPr>
            </w:r>
          </w:p>
        </w:tc>
        <w:tc>
          <w:tcPr>
            <w:tcW w:w="17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7" w:type="dxa"/>
            <w:gridSpan w:val="3"/>
            <w:tcBorders/>
            <w:vAlign w:val="center"/>
          </w:tcPr>
          <w:p>
            <w:pPr>
              <w:pStyle w:val="TableContents"/>
              <w:bidi w:val="0"/>
              <w:spacing w:before="0" w:after="283"/>
              <w:jc w:val="left"/>
              <w:rPr>
                <w:sz w:val="4"/>
                <w:szCs w:val="4"/>
              </w:rPr>
            </w:pPr>
            <w:r>
              <w:rPr>
                <w:sz w:val="4"/>
                <w:szCs w:val="4"/>
              </w:rPr>
            </w:r>
          </w:p>
        </w:tc>
      </w:tr>
      <w:tr>
        <w:trPr/>
        <w:tc>
          <w:tcPr>
            <w:tcW w:w="2602" w:type="dxa"/>
            <w:gridSpan w:val="3"/>
            <w:tcBorders/>
            <w:vAlign w:val="center"/>
          </w:tcPr>
          <w:p>
            <w:pPr>
              <w:pStyle w:val="TableContents"/>
              <w:bidi w:val="0"/>
              <w:spacing w:before="0" w:after="283"/>
              <w:jc w:val="left"/>
              <w:rPr>
                <w:sz w:val="4"/>
                <w:szCs w:val="4"/>
              </w:rPr>
            </w:pPr>
            <w:r>
              <w:rPr>
                <w:sz w:val="4"/>
                <w:szCs w:val="4"/>
              </w:rPr>
            </w:r>
          </w:p>
        </w:tc>
        <w:tc>
          <w:tcPr>
            <w:tcW w:w="17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7" w:type="dxa"/>
            <w:gridSpan w:val="3"/>
            <w:tcBorders/>
            <w:vAlign w:val="center"/>
          </w:tcPr>
          <w:p>
            <w:pPr>
              <w:pStyle w:val="TableContents"/>
              <w:bidi w:val="0"/>
              <w:spacing w:before="0" w:after="283"/>
              <w:jc w:val="left"/>
              <w:rPr>
                <w:sz w:val="4"/>
                <w:szCs w:val="4"/>
              </w:rPr>
            </w:pPr>
            <w:r>
              <w:rPr>
                <w:sz w:val="4"/>
                <w:szCs w:val="4"/>
              </w:rPr>
            </w:r>
          </w:p>
        </w:tc>
      </w:tr>
      <w:tr>
        <w:trPr/>
        <w:tc>
          <w:tcPr>
            <w:tcW w:w="2602" w:type="dxa"/>
            <w:gridSpan w:val="3"/>
            <w:tcBorders/>
            <w:vAlign w:val="center"/>
          </w:tcPr>
          <w:p>
            <w:pPr>
              <w:pStyle w:val="TableContents"/>
              <w:bidi w:val="0"/>
              <w:spacing w:before="0" w:after="283"/>
              <w:jc w:val="left"/>
              <w:rPr>
                <w:sz w:val="4"/>
                <w:szCs w:val="4"/>
              </w:rPr>
            </w:pPr>
            <w:r>
              <w:rPr>
                <w:sz w:val="4"/>
                <w:szCs w:val="4"/>
              </w:rPr>
            </w:r>
          </w:p>
        </w:tc>
        <w:tc>
          <w:tcPr>
            <w:tcW w:w="17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7" w:type="dxa"/>
            <w:gridSpan w:val="3"/>
            <w:tcBorders/>
            <w:vAlign w:val="center"/>
          </w:tcPr>
          <w:p>
            <w:pPr>
              <w:pStyle w:val="TableContents"/>
              <w:bidi w:val="0"/>
              <w:spacing w:before="0" w:after="283"/>
              <w:jc w:val="left"/>
              <w:rPr>
                <w:sz w:val="4"/>
                <w:szCs w:val="4"/>
              </w:rPr>
            </w:pPr>
            <w:r>
              <w:rPr>
                <w:sz w:val="4"/>
                <w:szCs w:val="4"/>
              </w:rPr>
            </w:r>
          </w:p>
        </w:tc>
      </w:tr>
      <w:tr>
        <w:trPr/>
        <w:tc>
          <w:tcPr>
            <w:tcW w:w="2602" w:type="dxa"/>
            <w:gridSpan w:val="3"/>
            <w:tcBorders/>
            <w:vAlign w:val="center"/>
          </w:tcPr>
          <w:p>
            <w:pPr>
              <w:pStyle w:val="TableContents"/>
              <w:bidi w:val="0"/>
              <w:spacing w:before="0" w:after="283"/>
              <w:jc w:val="left"/>
              <w:rPr>
                <w:sz w:val="4"/>
                <w:szCs w:val="4"/>
              </w:rPr>
            </w:pPr>
            <w:r>
              <w:rPr>
                <w:sz w:val="4"/>
                <w:szCs w:val="4"/>
              </w:rPr>
            </w:r>
          </w:p>
        </w:tc>
        <w:tc>
          <w:tcPr>
            <w:tcW w:w="17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7" w:type="dxa"/>
            <w:gridSpan w:val="3"/>
            <w:tcBorders/>
            <w:vAlign w:val="center"/>
          </w:tcPr>
          <w:p>
            <w:pPr>
              <w:pStyle w:val="TableContents"/>
              <w:bidi w:val="0"/>
              <w:spacing w:before="0" w:after="283"/>
              <w:jc w:val="left"/>
              <w:rPr>
                <w:sz w:val="4"/>
                <w:szCs w:val="4"/>
              </w:rPr>
            </w:pPr>
            <w:r>
              <w:rPr>
                <w:sz w:val="4"/>
                <w:szCs w:val="4"/>
              </w:rPr>
            </w:r>
          </w:p>
        </w:tc>
      </w:tr>
      <w:tr>
        <w:trPr/>
        <w:tc>
          <w:tcPr>
            <w:tcW w:w="2602" w:type="dxa"/>
            <w:gridSpan w:val="3"/>
            <w:tcBorders/>
            <w:vAlign w:val="center"/>
          </w:tcPr>
          <w:p>
            <w:pPr>
              <w:pStyle w:val="TableContents"/>
              <w:bidi w:val="0"/>
              <w:spacing w:before="0" w:after="283"/>
              <w:jc w:val="left"/>
              <w:rPr>
                <w:sz w:val="4"/>
                <w:szCs w:val="4"/>
              </w:rPr>
            </w:pPr>
            <w:r>
              <w:rPr>
                <w:sz w:val="4"/>
                <w:szCs w:val="4"/>
              </w:rPr>
            </w:r>
          </w:p>
        </w:tc>
        <w:tc>
          <w:tcPr>
            <w:tcW w:w="17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7" w:type="dxa"/>
            <w:gridSpan w:val="3"/>
            <w:tcBorders/>
            <w:vAlign w:val="center"/>
          </w:tcPr>
          <w:p>
            <w:pPr>
              <w:pStyle w:val="TableContents"/>
              <w:bidi w:val="0"/>
              <w:spacing w:before="0" w:after="283"/>
              <w:jc w:val="left"/>
              <w:rPr>
                <w:sz w:val="4"/>
                <w:szCs w:val="4"/>
              </w:rPr>
            </w:pPr>
            <w:r>
              <w:rPr>
                <w:sz w:val="4"/>
                <w:szCs w:val="4"/>
              </w:rPr>
            </w:r>
          </w:p>
        </w:tc>
      </w:tr>
      <w:tr>
        <w:trPr/>
        <w:tc>
          <w:tcPr>
            <w:tcW w:w="2602" w:type="dxa"/>
            <w:gridSpan w:val="3"/>
            <w:tcBorders/>
            <w:vAlign w:val="center"/>
          </w:tcPr>
          <w:p>
            <w:pPr>
              <w:pStyle w:val="TableContents"/>
              <w:bidi w:val="0"/>
              <w:spacing w:before="0" w:after="283"/>
              <w:jc w:val="left"/>
              <w:rPr>
                <w:sz w:val="4"/>
                <w:szCs w:val="4"/>
              </w:rPr>
            </w:pPr>
            <w:r>
              <w:rPr>
                <w:sz w:val="4"/>
                <w:szCs w:val="4"/>
              </w:rPr>
            </w:r>
          </w:p>
        </w:tc>
        <w:tc>
          <w:tcPr>
            <w:tcW w:w="17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7" w:type="dxa"/>
            <w:gridSpan w:val="3"/>
            <w:tcBorders/>
            <w:vAlign w:val="center"/>
          </w:tcPr>
          <w:p>
            <w:pPr>
              <w:pStyle w:val="TableContents"/>
              <w:bidi w:val="0"/>
              <w:spacing w:before="0" w:after="283"/>
              <w:jc w:val="left"/>
              <w:rPr>
                <w:sz w:val="4"/>
                <w:szCs w:val="4"/>
              </w:rPr>
            </w:pPr>
            <w:r>
              <w:rPr>
                <w:sz w:val="4"/>
                <w:szCs w:val="4"/>
              </w:rPr>
            </w:r>
          </w:p>
        </w:tc>
      </w:tr>
      <w:tr>
        <w:trPr/>
        <w:tc>
          <w:tcPr>
            <w:tcW w:w="2602" w:type="dxa"/>
            <w:gridSpan w:val="3"/>
            <w:tcBorders/>
            <w:vAlign w:val="center"/>
          </w:tcPr>
          <w:p>
            <w:pPr>
              <w:pStyle w:val="TableContents"/>
              <w:bidi w:val="0"/>
              <w:spacing w:before="0" w:after="283"/>
              <w:jc w:val="left"/>
              <w:rPr>
                <w:sz w:val="4"/>
                <w:szCs w:val="4"/>
              </w:rPr>
            </w:pPr>
            <w:r>
              <w:rPr>
                <w:sz w:val="4"/>
                <w:szCs w:val="4"/>
              </w:rPr>
            </w:r>
          </w:p>
        </w:tc>
        <w:tc>
          <w:tcPr>
            <w:tcW w:w="17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7" w:type="dxa"/>
            <w:gridSpan w:val="3"/>
            <w:tcBorders/>
            <w:vAlign w:val="center"/>
          </w:tcPr>
          <w:p>
            <w:pPr>
              <w:pStyle w:val="TableContents"/>
              <w:bidi w:val="0"/>
              <w:spacing w:before="0" w:after="283"/>
              <w:jc w:val="left"/>
              <w:rPr>
                <w:sz w:val="4"/>
                <w:szCs w:val="4"/>
              </w:rPr>
            </w:pPr>
            <w:r>
              <w:rPr>
                <w:sz w:val="4"/>
                <w:szCs w:val="4"/>
              </w:rPr>
            </w:r>
          </w:p>
        </w:tc>
      </w:tr>
      <w:tr>
        <w:trPr/>
        <w:tc>
          <w:tcPr>
            <w:tcW w:w="2602" w:type="dxa"/>
            <w:gridSpan w:val="3"/>
            <w:tcBorders/>
            <w:vAlign w:val="center"/>
          </w:tcPr>
          <w:p>
            <w:pPr>
              <w:pStyle w:val="TableContents"/>
              <w:bidi w:val="0"/>
              <w:spacing w:before="0" w:after="283"/>
              <w:jc w:val="left"/>
              <w:rPr>
                <w:sz w:val="4"/>
                <w:szCs w:val="4"/>
              </w:rPr>
            </w:pPr>
            <w:r>
              <w:rPr>
                <w:sz w:val="4"/>
                <w:szCs w:val="4"/>
              </w:rPr>
            </w:r>
          </w:p>
        </w:tc>
        <w:tc>
          <w:tcPr>
            <w:tcW w:w="17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7" w:type="dxa"/>
            <w:gridSpan w:val="3"/>
            <w:tcBorders/>
            <w:vAlign w:val="center"/>
          </w:tcPr>
          <w:p>
            <w:pPr>
              <w:pStyle w:val="TableContents"/>
              <w:bidi w:val="0"/>
              <w:spacing w:before="0" w:after="283"/>
              <w:jc w:val="left"/>
              <w:rPr>
                <w:sz w:val="4"/>
                <w:szCs w:val="4"/>
              </w:rPr>
            </w:pPr>
            <w:r>
              <w:rPr>
                <w:sz w:val="4"/>
                <w:szCs w:val="4"/>
              </w:rPr>
            </w:r>
          </w:p>
        </w:tc>
      </w:tr>
      <w:tr>
        <w:trPr/>
        <w:tc>
          <w:tcPr>
            <w:tcW w:w="260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as of December 31, 2023</w:t>
            </w:r>
          </w:p>
        </w:tc>
        <w:tc>
          <w:tcPr>
            <w:tcW w:w="12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14,676,335 </w:t>
            </w:r>
          </w:p>
        </w:tc>
        <w:tc>
          <w:tcPr>
            <w:tcW w:w="4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3.63 </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2" w:type="dxa"/>
            <w:gridSpan w:val="3"/>
            <w:tcBorders/>
            <w:vAlign w:val="center"/>
          </w:tcPr>
          <w:p>
            <w:pPr>
              <w:pStyle w:val="TableContents"/>
              <w:bidi w:val="0"/>
              <w:spacing w:before="0" w:after="283"/>
              <w:jc w:val="left"/>
              <w:rPr>
                <w:sz w:val="4"/>
                <w:szCs w:val="4"/>
              </w:rPr>
            </w:pPr>
            <w:r>
              <w:rPr>
                <w:sz w:val="4"/>
                <w:szCs w:val="4"/>
              </w:rPr>
            </w:r>
          </w:p>
        </w:tc>
        <w:tc>
          <w:tcPr>
            <w:tcW w:w="17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7" w:type="dxa"/>
            <w:gridSpan w:val="3"/>
            <w:tcBorders/>
            <w:vAlign w:val="center"/>
          </w:tcPr>
          <w:p>
            <w:pPr>
              <w:pStyle w:val="TableContents"/>
              <w:bidi w:val="0"/>
              <w:spacing w:before="0" w:after="283"/>
              <w:jc w:val="left"/>
              <w:rPr>
                <w:sz w:val="4"/>
                <w:szCs w:val="4"/>
              </w:rPr>
            </w:pPr>
            <w:r>
              <w:rPr>
                <w:sz w:val="4"/>
                <w:szCs w:val="4"/>
              </w:rPr>
            </w:r>
          </w:p>
        </w:tc>
      </w:tr>
      <w:tr>
        <w:trPr/>
        <w:tc>
          <w:tcPr>
            <w:tcW w:w="2602" w:type="dxa"/>
            <w:gridSpan w:val="3"/>
            <w:tcBorders/>
            <w:vAlign w:val="center"/>
          </w:tcPr>
          <w:p>
            <w:pPr>
              <w:pStyle w:val="TableContents"/>
              <w:bidi w:val="0"/>
              <w:spacing w:before="0" w:after="283"/>
              <w:jc w:val="left"/>
              <w:rPr>
                <w:sz w:val="4"/>
                <w:szCs w:val="4"/>
              </w:rPr>
            </w:pPr>
            <w:r>
              <w:rPr>
                <w:sz w:val="4"/>
                <w:szCs w:val="4"/>
              </w:rPr>
            </w:r>
          </w:p>
        </w:tc>
        <w:tc>
          <w:tcPr>
            <w:tcW w:w="17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7"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26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12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4,108,900 </w:t>
            </w:r>
          </w:p>
        </w:tc>
        <w:tc>
          <w:tcPr>
            <w:tcW w:w="4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6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Exercised</w:t>
            </w:r>
          </w:p>
        </w:tc>
        <w:tc>
          <w:tcPr>
            <w:tcW w:w="12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(790,111)</w:t>
            </w:r>
          </w:p>
        </w:tc>
        <w:tc>
          <w:tcPr>
            <w:tcW w:w="4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0.78 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6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12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(1,360,349)</w:t>
            </w:r>
          </w:p>
        </w:tc>
        <w:tc>
          <w:tcPr>
            <w:tcW w:w="4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as of December 31, 2024</w:t>
            </w:r>
          </w:p>
        </w:tc>
        <w:tc>
          <w:tcPr>
            <w:tcW w:w="12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16,634,775 </w:t>
            </w:r>
          </w:p>
        </w:tc>
        <w:tc>
          <w:tcPr>
            <w:tcW w:w="4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2,389 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Options vested and expected to vest as of December 31, 2024</w:t>
            </w:r>
          </w:p>
        </w:tc>
        <w:tc>
          <w:tcPr>
            <w:tcW w:w="128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16,634,775 </w:t>
            </w:r>
          </w:p>
        </w:tc>
        <w:tc>
          <w:tcPr>
            <w:tcW w:w="44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Vested and exercisable at December 31, 2024</w:t>
            </w:r>
          </w:p>
        </w:tc>
        <w:tc>
          <w:tcPr>
            <w:tcW w:w="1286"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10,169,730 </w:t>
            </w:r>
          </w:p>
        </w:tc>
        <w:tc>
          <w:tcPr>
            <w:tcW w:w="444"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2,371 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December 31, 2024, there was $13.2 million of total unrecognized compensation expense expected to be recognized over a weighted average-period of 2.3 years. The total intrinsic value of options exercised during the years ended December 31, 2024 and 2023 was $1.3 million and $0.1 million, respectively. Aggregate intrinsic value represents the difference between the fair market value of the common stock and the exercise price of outstanding, in-the-money options. </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weighted-average grant-date fair value of options granted during the years ended December 31, 2024 and 2023 was $2.16 and $1.98 per share, respectively.</w:t>
      </w:r>
    </w:p>
    <w:p>
      <w:pPr>
        <w:pStyle w:val="TextBody"/>
        <w:bidi w:val="0"/>
        <w:spacing w:lineRule="auto" w:line="288"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Stock-based Compensation Expense</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sets forth the total stock-based compensation expense for the Company’s stock options and ESPP included in the Company’s consolidated statements of operations:</w:t>
      </w:r>
    </w:p>
    <w:tbl>
      <w:tblPr>
        <w:tblW w:w="8837" w:type="dxa"/>
        <w:jc w:val="left"/>
        <w:tblInd w:w="0" w:type="dxa"/>
        <w:tblLayout w:type="fixed"/>
        <w:tblCellMar>
          <w:top w:w="28" w:type="dxa"/>
          <w:left w:w="28" w:type="dxa"/>
          <w:bottom w:w="28" w:type="dxa"/>
          <w:right w:w="28" w:type="dxa"/>
        </w:tblCellMar>
      </w:tblPr>
      <w:tblGrid>
        <w:gridCol w:w="1247"/>
        <w:gridCol w:w="1097"/>
        <w:gridCol w:w="1105"/>
        <w:gridCol w:w="486"/>
        <w:gridCol w:w="1662"/>
        <w:gridCol w:w="251"/>
        <w:gridCol w:w="109"/>
        <w:gridCol w:w="109"/>
        <w:gridCol w:w="109"/>
        <w:gridCol w:w="486"/>
        <w:gridCol w:w="1662"/>
        <w:gridCol w:w="251"/>
        <w:gridCol w:w="109"/>
        <w:gridCol w:w="154"/>
      </w:tblGrid>
      <w:tr>
        <w:trPr/>
        <w:tc>
          <w:tcPr>
            <w:tcW w:w="1247"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1105"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662"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662"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23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 2023</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4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4,626 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4,199 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21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8,075 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7,938 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stock-based compensation expense</w:t>
            </w:r>
          </w:p>
        </w:tc>
        <w:tc>
          <w:tcPr>
            <w:tcW w:w="4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12,701 </w:t>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12,137 </w:t>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 xml:space="preserve">8.     Commitments and Contingencies </w:t>
      </w:r>
    </w:p>
    <w:p>
      <w:pPr>
        <w:pStyle w:val="TextBody"/>
        <w:bidi w:val="0"/>
        <w:spacing w:lineRule="auto" w:line="288"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Purchase Commitments</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Open purchase commitments are for the purchase of goods and services related to, but not limited to, research and development, facilities, and professional services under non-cancellable contracts. They were not recorded as liabilities on the consolidated balance sheet as of December 31, 2024 as the Company had not yet received the related goods or services. As of December 31, 2024, the Company had open purchase commitments for goods and services of $1.7 million, of which $1.3 million are expected to be received through the next 12 months.</w:t>
      </w:r>
    </w:p>
    <w:p>
      <w:pPr>
        <w:pStyle w:val="TextBody"/>
        <w:bidi w:val="0"/>
        <w:spacing w:lineRule="auto" w:line="288"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Legal Proceedings</w:t>
      </w:r>
    </w:p>
    <w:p>
      <w:pPr>
        <w:pStyle w:val="TextBody"/>
        <w:bidi w:val="0"/>
        <w:spacing w:lineRule="auto" w:line="288" w:before="0" w:after="180"/>
        <w:ind w:left="0" w:right="0" w:firstLine="360"/>
        <w:jc w:val="left"/>
        <w:rPr>
          <w:rFonts w:ascii="Times New Roman;sans-serif" w:hAnsi="Times New Roman;sans-serif"/>
          <w:b w:val="false"/>
          <w:i/>
          <w:color w:val="000000"/>
          <w:sz w:val="20"/>
        </w:rPr>
      </w:pPr>
      <w:r>
        <w:rPr>
          <w:rFonts w:ascii="Times New Roman;sans-serif" w:hAnsi="Times New Roman;sans-serif"/>
          <w:b w:val="false"/>
          <w:i/>
          <w:color w:val="000000"/>
          <w:sz w:val="20"/>
        </w:rPr>
        <w:t>U.S. District Court Proceedings</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December 14, 2023, we filed suit in the United States District Court for the Northern District of California (the “Court”) against Somalogic, Inc. (Somalogic) which recently merged with and is now part of “Standard Biotools, Inc.,” and the California Institute of Technology. This suit sought declaratory judgment that Nautilus does not infringe any claims of US Patent No. 7,842,793 related to DNA origami structures (the ‘793 Patent), which Somalogic had allegedly licensed from the California Institute of Technology through its purchase of Palamedrix,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131445"/>
                <wp:effectExtent l="0" t="0" r="0" b="0"/>
                <wp:wrapNone/>
                <wp:docPr id="122" name="Frame10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104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104</w:t>
                      </w:r>
                    </w:p>
                  </w:txbxContent>
                </v:textbox>
                <w10:wrap type="none"/>
              </v:rect>
            </w:pict>
          </mc:Fallback>
        </mc:AlternateContent>
      </w:r>
    </w:p>
    <w:tbl>
      <w:tblPr>
        <w:tblW w:w="6029" w:type="dxa"/>
        <w:jc w:val="left"/>
        <w:tblInd w:w="0" w:type="dxa"/>
        <w:tblLayout w:type="fixed"/>
        <w:tblCellMar>
          <w:top w:w="28" w:type="dxa"/>
          <w:left w:w="28" w:type="dxa"/>
          <w:bottom w:w="28" w:type="dxa"/>
          <w:right w:w="28" w:type="dxa"/>
        </w:tblCellMar>
      </w:tblPr>
      <w:tblGrid>
        <w:gridCol w:w="1929"/>
        <w:gridCol w:w="1697"/>
        <w:gridCol w:w="2403"/>
      </w:tblGrid>
      <w:tr>
        <w:trPr/>
        <w:tc>
          <w:tcPr>
            <w:tcW w:w="1929" w:type="dxa"/>
            <w:tcBorders/>
            <w:vAlign w:val="center"/>
          </w:tcPr>
          <w:p>
            <w:pPr>
              <w:pStyle w:val="TableContents"/>
              <w:bidi w:val="0"/>
              <w:spacing w:before="0" w:after="283"/>
              <w:jc w:val="left"/>
              <w:rPr>
                <w:sz w:val="4"/>
                <w:szCs w:val="4"/>
              </w:rPr>
            </w:pPr>
            <w:r>
              <w:rPr>
                <w:sz w:val="4"/>
                <w:szCs w:val="4"/>
              </w:rPr>
            </w:r>
          </w:p>
        </w:tc>
        <w:tc>
          <w:tcPr>
            <w:tcW w:w="1697" w:type="dxa"/>
            <w:tcBorders/>
            <w:vAlign w:val="center"/>
          </w:tcPr>
          <w:p>
            <w:pPr>
              <w:pStyle w:val="TableContents"/>
              <w:bidi w:val="0"/>
              <w:spacing w:before="0" w:after="283"/>
              <w:jc w:val="left"/>
              <w:rPr>
                <w:sz w:val="4"/>
                <w:szCs w:val="4"/>
              </w:rPr>
            </w:pPr>
            <w:r>
              <w:rPr>
                <w:sz w:val="4"/>
                <w:szCs w:val="4"/>
              </w:rPr>
            </w:r>
          </w:p>
        </w:tc>
        <w:tc>
          <w:tcPr>
            <w:tcW w:w="2403" w:type="dxa"/>
            <w:tcBorders/>
            <w:vAlign w:val="center"/>
          </w:tcPr>
          <w:p>
            <w:pPr>
              <w:pStyle w:val="TableContents"/>
              <w:bidi w:val="0"/>
              <w:spacing w:before="0" w:after="283"/>
              <w:jc w:val="left"/>
              <w:rPr>
                <w:sz w:val="4"/>
                <w:szCs w:val="4"/>
              </w:rPr>
            </w:pPr>
            <w:r>
              <w:rPr>
                <w:sz w:val="4"/>
                <w:szCs w:val="4"/>
              </w:rPr>
            </w:r>
          </w:p>
        </w:tc>
      </w:tr>
      <w:tr>
        <w:trPr/>
        <w:tc>
          <w:tcPr>
            <w:tcW w:w="602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left"/>
              <w:rPr>
                <w:rFonts w:ascii="Times New Roman;sans-serif" w:hAnsi="Times New Roman;sans-serif"/>
                <w:b/>
                <w:color w:val="000000"/>
                <w:sz w:val="24"/>
              </w:rPr>
            </w:pPr>
            <w:r>
              <w:rPr>
                <w:rFonts w:ascii="Times New Roman;sans-serif" w:hAnsi="Times New Roman;sans-serif"/>
                <w:b/>
                <w:color w:val="000000"/>
                <w:sz w:val="24"/>
              </w:rPr>
              <w:t>Nautilus Biotechnology, Inc.</w:t>
            </w:r>
          </w:p>
          <w:p>
            <w:pPr>
              <w:pStyle w:val="TableContents"/>
              <w:bidi w:val="0"/>
              <w:spacing w:lineRule="auto" w:line="288" w:before="0" w:after="0"/>
              <w:jc w:val="left"/>
              <w:rPr>
                <w:rFonts w:ascii="Times New Roman;sans-serif" w:hAnsi="Times New Roman;sans-serif"/>
                <w:b/>
                <w:color w:val="000000"/>
                <w:sz w:val="24"/>
              </w:rPr>
            </w:pPr>
            <w:r>
              <w:rPr>
                <w:rFonts w:ascii="Times New Roman;sans-serif" w:hAnsi="Times New Roman;sans-serif"/>
                <w:b/>
                <w:color w:val="000000"/>
                <w:sz w:val="24"/>
              </w:rPr>
              <w:t>Notes to Consolidated Financial Statements—(Continued)</w:t>
            </w:r>
          </w:p>
        </w:tc>
      </w:tr>
    </w:tbl>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Inc. On November 19, 2024, the Company, Standard Biotools, Inc., and the California Institute of Technology agreed to dismiss the suit and settle any and all disputes and/or claims related to the suit.</w:t>
      </w:r>
    </w:p>
    <w:p>
      <w:pPr>
        <w:pStyle w:val="TextBody"/>
        <w:bidi w:val="0"/>
        <w:spacing w:lineRule="auto" w:line="288"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Leases</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is obligated under certain non-cancellable operating leases for office space and laboratory space. This space includes operating leases in Seattle, Washington, San Carlos, California, and San Diego, California. </w:t>
      </w:r>
    </w:p>
    <w:p>
      <w:pPr>
        <w:pStyle w:val="TextBody"/>
        <w:bidi w:val="0"/>
        <w:spacing w:lineRule="auto" w:line="288" w:before="0" w:after="180"/>
        <w:ind w:left="0" w:right="0" w:firstLine="360"/>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Seattle Lease </w:t>
      </w:r>
    </w:p>
    <w:p>
      <w:pPr>
        <w:pStyle w:val="TextBody"/>
        <w:bidi w:val="0"/>
        <w:spacing w:lineRule="auto" w:line="288" w:before="0" w:after="180"/>
        <w:ind w:left="0" w:right="0" w:firstLine="360"/>
        <w:jc w:val="left"/>
        <w:rPr/>
      </w:pPr>
      <w:r>
        <w:rPr>
          <w:rFonts w:ascii="Times New Roman;sans-serif" w:hAnsi="Times New Roman;sans-serif"/>
          <w:b w:val="false"/>
          <w:color w:val="000000"/>
          <w:sz w:val="20"/>
          <w:shd w:fill="FFFFFF" w:val="clear"/>
        </w:rPr>
        <w:t xml:space="preserve">In July 2021, the </w:t>
      </w:r>
      <w:r>
        <w:rPr>
          <w:rFonts w:ascii="Times New Roman;sans-serif" w:hAnsi="Times New Roman;sans-serif"/>
          <w:b w:val="false"/>
          <w:color w:val="000000"/>
          <w:sz w:val="20"/>
        </w:rPr>
        <w:t xml:space="preserve">Company entered into a 7-year non-cancellable operating lease, which commenced in August 2021, for office space in Seattle, Washington. Total non-cancellable payments under this lease aggregate $4.5 million through June 2028. </w:t>
      </w:r>
    </w:p>
    <w:p>
      <w:pPr>
        <w:pStyle w:val="TextBody"/>
        <w:bidi w:val="0"/>
        <w:spacing w:lineRule="auto" w:line="288" w:before="0" w:after="180"/>
        <w:ind w:left="0" w:right="0" w:firstLine="360"/>
        <w:jc w:val="left"/>
        <w:rPr>
          <w:rFonts w:ascii="Times New Roman;sans-serif" w:hAnsi="Times New Roman;sans-serif"/>
          <w:b w:val="false"/>
          <w:i/>
          <w:color w:val="000000"/>
          <w:sz w:val="20"/>
        </w:rPr>
      </w:pPr>
      <w:r>
        <w:rPr>
          <w:rFonts w:ascii="Times New Roman;sans-serif" w:hAnsi="Times New Roman;sans-serif"/>
          <w:b w:val="false"/>
          <w:i/>
          <w:color w:val="000000"/>
          <w:sz w:val="20"/>
        </w:rPr>
        <w:t>San Carlos Leases</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December 2020, the Company entered into a new lease in San Carlos, California for ten years which commenced in October 2021 and expiring in October 2031 with total minimum lease payments of $40.7 million. </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 December 2021, the Company entered into another lease in San Carlos, California for nine years commencing in March 2023. The Company can terminate this lease after five years from the commencement date without bearing any significant termination penalties and therefore the Company concluded that the lease term is five years with total minimum lease payments of $7.2 million. The Company utilized $2.0 million from the landlord with an interest rate of 7% to finance its tenant improvements. The principal and interest payments are included in the payments used to measure the lease liability.</w:t>
      </w:r>
    </w:p>
    <w:p>
      <w:pPr>
        <w:pStyle w:val="TextBody"/>
        <w:bidi w:val="0"/>
        <w:spacing w:lineRule="auto" w:line="288" w:before="0" w:after="180"/>
        <w:ind w:left="0" w:right="0" w:firstLine="360"/>
        <w:jc w:val="left"/>
        <w:rPr>
          <w:rFonts w:ascii="Times New Roman;sans-serif" w:hAnsi="Times New Roman;sans-serif"/>
          <w:b w:val="false"/>
          <w:i/>
          <w:color w:val="000000"/>
          <w:sz w:val="20"/>
        </w:rPr>
      </w:pPr>
      <w:r>
        <w:rPr>
          <w:rFonts w:ascii="Times New Roman;sans-serif" w:hAnsi="Times New Roman;sans-serif"/>
          <w:b w:val="false"/>
          <w:i/>
          <w:color w:val="000000"/>
          <w:sz w:val="20"/>
        </w:rPr>
        <w:t>San Diego Lease</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November 2022, the Company entered into a lease in San Diego, California for 39 months commencing in December 2022. Total non-cancellable payments under this lease aggregate $2.1 million through March 2026. </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components of lease costs which were included in operating expenses in the consolidated statements of operations were as follows:</w:t>
      </w:r>
    </w:p>
    <w:tbl>
      <w:tblPr>
        <w:tblW w:w="7705" w:type="dxa"/>
        <w:jc w:val="left"/>
        <w:tblInd w:w="0" w:type="dxa"/>
        <w:tblLayout w:type="fixed"/>
        <w:tblCellMar>
          <w:top w:w="28" w:type="dxa"/>
          <w:left w:w="28" w:type="dxa"/>
          <w:bottom w:w="28" w:type="dxa"/>
          <w:right w:w="28" w:type="dxa"/>
        </w:tblCellMar>
      </w:tblPr>
      <w:tblGrid>
        <w:gridCol w:w="917"/>
        <w:gridCol w:w="808"/>
        <w:gridCol w:w="810"/>
        <w:gridCol w:w="486"/>
        <w:gridCol w:w="1662"/>
        <w:gridCol w:w="251"/>
        <w:gridCol w:w="109"/>
        <w:gridCol w:w="109"/>
        <w:gridCol w:w="109"/>
        <w:gridCol w:w="526"/>
        <w:gridCol w:w="1535"/>
        <w:gridCol w:w="383"/>
      </w:tblGrid>
      <w:tr>
        <w:trPr/>
        <w:tc>
          <w:tcPr>
            <w:tcW w:w="917"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662"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r>
      <w:tr>
        <w:trPr/>
        <w:tc>
          <w:tcPr>
            <w:tcW w:w="25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23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 2023</w:t>
            </w:r>
          </w:p>
        </w:tc>
      </w:tr>
      <w:tr>
        <w:trPr/>
        <w:tc>
          <w:tcPr>
            <w:tcW w:w="2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 operating lease costs</w:t>
            </w:r>
          </w:p>
        </w:tc>
        <w:tc>
          <w:tcPr>
            <w:tcW w:w="4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7,233 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6,893 </w:t>
            </w:r>
          </w:p>
        </w:tc>
        <w:tc>
          <w:tcPr>
            <w:tcW w:w="3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Variable operating lease costs</w:t>
            </w:r>
          </w:p>
        </w:tc>
        <w:tc>
          <w:tcPr>
            <w:tcW w:w="21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2,904 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2,432 </w:t>
            </w:r>
          </w:p>
        </w:tc>
        <w:tc>
          <w:tcPr>
            <w:tcW w:w="3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costs</w:t>
            </w:r>
          </w:p>
        </w:tc>
        <w:tc>
          <w:tcPr>
            <w:tcW w:w="4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10,137 </w:t>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9,325 </w:t>
            </w:r>
          </w:p>
        </w:tc>
        <w:tc>
          <w:tcPr>
            <w:tcW w:w="3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131445"/>
                <wp:effectExtent l="0" t="0" r="0" b="0"/>
                <wp:wrapNone/>
                <wp:docPr id="123" name="Frame10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105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105</w:t>
                      </w:r>
                    </w:p>
                  </w:txbxContent>
                </v:textbox>
                <w10:wrap type="none"/>
              </v:rect>
            </w:pict>
          </mc:Fallback>
        </mc:AlternateContent>
      </w:r>
    </w:p>
    <w:tbl>
      <w:tblPr>
        <w:tblW w:w="6029" w:type="dxa"/>
        <w:jc w:val="left"/>
        <w:tblInd w:w="0" w:type="dxa"/>
        <w:tblLayout w:type="fixed"/>
        <w:tblCellMar>
          <w:top w:w="28" w:type="dxa"/>
          <w:left w:w="28" w:type="dxa"/>
          <w:bottom w:w="28" w:type="dxa"/>
          <w:right w:w="28" w:type="dxa"/>
        </w:tblCellMar>
      </w:tblPr>
      <w:tblGrid>
        <w:gridCol w:w="1929"/>
        <w:gridCol w:w="1697"/>
        <w:gridCol w:w="2403"/>
      </w:tblGrid>
      <w:tr>
        <w:trPr/>
        <w:tc>
          <w:tcPr>
            <w:tcW w:w="1929" w:type="dxa"/>
            <w:tcBorders/>
            <w:vAlign w:val="center"/>
          </w:tcPr>
          <w:p>
            <w:pPr>
              <w:pStyle w:val="TableContents"/>
              <w:bidi w:val="0"/>
              <w:spacing w:before="0" w:after="283"/>
              <w:jc w:val="left"/>
              <w:rPr>
                <w:sz w:val="4"/>
                <w:szCs w:val="4"/>
              </w:rPr>
            </w:pPr>
            <w:r>
              <w:rPr>
                <w:sz w:val="4"/>
                <w:szCs w:val="4"/>
              </w:rPr>
            </w:r>
          </w:p>
        </w:tc>
        <w:tc>
          <w:tcPr>
            <w:tcW w:w="1697" w:type="dxa"/>
            <w:tcBorders/>
            <w:vAlign w:val="center"/>
          </w:tcPr>
          <w:p>
            <w:pPr>
              <w:pStyle w:val="TableContents"/>
              <w:bidi w:val="0"/>
              <w:spacing w:before="0" w:after="283"/>
              <w:jc w:val="left"/>
              <w:rPr>
                <w:sz w:val="4"/>
                <w:szCs w:val="4"/>
              </w:rPr>
            </w:pPr>
            <w:r>
              <w:rPr>
                <w:sz w:val="4"/>
                <w:szCs w:val="4"/>
              </w:rPr>
            </w:r>
          </w:p>
        </w:tc>
        <w:tc>
          <w:tcPr>
            <w:tcW w:w="2403" w:type="dxa"/>
            <w:tcBorders/>
            <w:vAlign w:val="center"/>
          </w:tcPr>
          <w:p>
            <w:pPr>
              <w:pStyle w:val="TableContents"/>
              <w:bidi w:val="0"/>
              <w:spacing w:before="0" w:after="283"/>
              <w:jc w:val="left"/>
              <w:rPr>
                <w:sz w:val="4"/>
                <w:szCs w:val="4"/>
              </w:rPr>
            </w:pPr>
            <w:r>
              <w:rPr>
                <w:sz w:val="4"/>
                <w:szCs w:val="4"/>
              </w:rPr>
            </w:r>
          </w:p>
        </w:tc>
      </w:tr>
      <w:tr>
        <w:trPr/>
        <w:tc>
          <w:tcPr>
            <w:tcW w:w="602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left"/>
              <w:rPr>
                <w:rFonts w:ascii="Times New Roman;sans-serif" w:hAnsi="Times New Roman;sans-serif"/>
                <w:b/>
                <w:color w:val="000000"/>
                <w:sz w:val="24"/>
              </w:rPr>
            </w:pPr>
            <w:r>
              <w:rPr>
                <w:rFonts w:ascii="Times New Roman;sans-serif" w:hAnsi="Times New Roman;sans-serif"/>
                <w:b/>
                <w:color w:val="000000"/>
                <w:sz w:val="24"/>
              </w:rPr>
              <w:t>Nautilus Biotechnology, Inc.</w:t>
            </w:r>
          </w:p>
          <w:p>
            <w:pPr>
              <w:pStyle w:val="TableContents"/>
              <w:bidi w:val="0"/>
              <w:spacing w:lineRule="auto" w:line="288" w:before="0" w:after="0"/>
              <w:jc w:val="left"/>
              <w:rPr>
                <w:rFonts w:ascii="Times New Roman;sans-serif" w:hAnsi="Times New Roman;sans-serif"/>
                <w:b/>
                <w:color w:val="000000"/>
                <w:sz w:val="24"/>
              </w:rPr>
            </w:pPr>
            <w:r>
              <w:rPr>
                <w:rFonts w:ascii="Times New Roman;sans-serif" w:hAnsi="Times New Roman;sans-serif"/>
                <w:b/>
                <w:color w:val="000000"/>
                <w:sz w:val="24"/>
              </w:rPr>
              <w:t>Notes to Consolidated Financial Statements—(Continued)</w:t>
            </w:r>
          </w:p>
        </w:tc>
      </w:tr>
    </w:tbl>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For the years ended December 31, 2024 and 2023, cash paid for amounts included in the measurement of operating lease liabilities included in cash flows used in operating activities was $7.0 million and $6.2 million, respectively.</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2024, the weighted-average remaining lease term and weighted-average discount rate for operating leases was 5.8 years and 9.1%, respectively.</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Company's future principal contractual obligations for operating lease commitments as of December 31, 2024:</w:t>
      </w:r>
    </w:p>
    <w:tbl>
      <w:tblPr>
        <w:tblW w:w="4619" w:type="dxa"/>
        <w:jc w:val="left"/>
        <w:tblInd w:w="0" w:type="dxa"/>
        <w:tblLayout w:type="fixed"/>
        <w:tblCellMar>
          <w:top w:w="28" w:type="dxa"/>
          <w:left w:w="28" w:type="dxa"/>
          <w:bottom w:w="28" w:type="dxa"/>
          <w:right w:w="28" w:type="dxa"/>
        </w:tblCellMar>
      </w:tblPr>
      <w:tblGrid>
        <w:gridCol w:w="1152"/>
        <w:gridCol w:w="1012"/>
        <w:gridCol w:w="1016"/>
        <w:gridCol w:w="279"/>
        <w:gridCol w:w="956"/>
        <w:gridCol w:w="204"/>
      </w:tblGrid>
      <w:tr>
        <w:trPr/>
        <w:tc>
          <w:tcPr>
            <w:tcW w:w="1152"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r>
      <w:tr>
        <w:trPr/>
        <w:tc>
          <w:tcPr>
            <w:tcW w:w="3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Year Ended December 31,</w:t>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Lease Obligations</w:t>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27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6,588 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6,874 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12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6,889 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5,816 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2029 and thereafter</w:t>
            </w:r>
          </w:p>
        </w:tc>
        <w:tc>
          <w:tcPr>
            <w:tcW w:w="12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13,208 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future minimum lease payments</w:t>
            </w:r>
          </w:p>
        </w:tc>
        <w:tc>
          <w:tcPr>
            <w:tcW w:w="123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39,375 </w:t>
            </w:r>
          </w:p>
        </w:tc>
        <w:tc>
          <w:tcPr>
            <w:tcW w:w="20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Imputed interest</w:t>
            </w:r>
          </w:p>
        </w:tc>
        <w:tc>
          <w:tcPr>
            <w:tcW w:w="12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(8,897)</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lease liabilities</w:t>
            </w:r>
          </w:p>
        </w:tc>
        <w:tc>
          <w:tcPr>
            <w:tcW w:w="2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30,478 </w:t>
            </w:r>
          </w:p>
        </w:tc>
        <w:tc>
          <w:tcPr>
            <w:tcW w:w="2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Indemnification Agreements</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the ordinary course of business, the Company enters into agreements that may include indemnification provisions. Pursuant to such agreements, the Company may indemnify, hold harmless and defend an indemnified party for losses suffered or incurred by the indemnified party. Some of the provisions will limit losses to those arising from third-party actions. In some cases, the indemnifications will continue after the termination of the agreement. The maximum potential amount of future payments the Company could be required to make under these provisions is not determinable. The Company has never incurred material costs to defend lawsuits or settle claims related to these indemnification provisions. </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has also agreed to indemnify its directors and executive officers for costs associated with any fees, expenses, judgments, fines and settlement amounts incurred by them in any action or proceeding to which any of them are, or are threatened to be, made a party by reason of their service as a director or officer. The Company maintains director and officer insurance coverage that would generally enable it to recover a portion of any future amounts paid. The Company may be subject to indemnification obligation by law with respect to the actions of its employees under certain circumstances and in certain jurisdictions.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9.     Basic and Diluted Net Loss per Share</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tables set forth the computation of the Company’s basic and diluted net loss per share attributable to common stockholders for the years ended December 31, 2024 and 2023:</w:t>
      </w:r>
    </w:p>
    <w:tbl>
      <w:tblPr>
        <w:tblW w:w="10205" w:type="dxa"/>
        <w:jc w:val="left"/>
        <w:tblInd w:w="0" w:type="dxa"/>
        <w:tblLayout w:type="fixed"/>
        <w:tblCellMar>
          <w:top w:w="28" w:type="dxa"/>
          <w:left w:w="28" w:type="dxa"/>
          <w:bottom w:w="28" w:type="dxa"/>
          <w:right w:w="28" w:type="dxa"/>
        </w:tblCellMar>
      </w:tblPr>
      <w:tblGrid>
        <w:gridCol w:w="2234"/>
        <w:gridCol w:w="1838"/>
        <w:gridCol w:w="1850"/>
        <w:gridCol w:w="383"/>
        <w:gridCol w:w="1282"/>
        <w:gridCol w:w="179"/>
        <w:gridCol w:w="109"/>
        <w:gridCol w:w="109"/>
        <w:gridCol w:w="109"/>
        <w:gridCol w:w="383"/>
        <w:gridCol w:w="1282"/>
        <w:gridCol w:w="179"/>
        <w:gridCol w:w="109"/>
        <w:gridCol w:w="159"/>
      </w:tblGrid>
      <w:tr>
        <w:trPr/>
        <w:tc>
          <w:tcPr>
            <w:tcW w:w="2234" w:type="dxa"/>
            <w:tcBorders/>
            <w:vAlign w:val="center"/>
          </w:tcPr>
          <w:p>
            <w:pPr>
              <w:pStyle w:val="TableContents"/>
              <w:bidi w:val="0"/>
              <w:spacing w:before="0" w:after="283"/>
              <w:jc w:val="left"/>
              <w:rPr>
                <w:sz w:val="4"/>
                <w:szCs w:val="4"/>
              </w:rPr>
            </w:pPr>
            <w:r>
              <w:rPr>
                <w:sz w:val="4"/>
                <w:szCs w:val="4"/>
              </w:rPr>
            </w:r>
          </w:p>
        </w:tc>
        <w:tc>
          <w:tcPr>
            <w:tcW w:w="1838" w:type="dxa"/>
            <w:tcBorders/>
            <w:vAlign w:val="center"/>
          </w:tcPr>
          <w:p>
            <w:pPr>
              <w:pStyle w:val="TableContents"/>
              <w:bidi w:val="0"/>
              <w:spacing w:before="0" w:after="283"/>
              <w:jc w:val="left"/>
              <w:rPr>
                <w:sz w:val="4"/>
                <w:szCs w:val="4"/>
              </w:rPr>
            </w:pPr>
            <w:r>
              <w:rPr>
                <w:sz w:val="4"/>
                <w:szCs w:val="4"/>
              </w:rPr>
            </w:r>
          </w:p>
        </w:tc>
        <w:tc>
          <w:tcPr>
            <w:tcW w:w="1850"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282"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282"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9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 except share and per share data)</w:t>
            </w:r>
          </w:p>
        </w:tc>
        <w:tc>
          <w:tcPr>
            <w:tcW w:w="18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 2023</w:t>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9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Numerator:</w:t>
            </w:r>
          </w:p>
        </w:tc>
        <w:tc>
          <w:tcPr>
            <w:tcW w:w="18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9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attributable to common stockholders</w:t>
            </w:r>
          </w:p>
        </w:tc>
        <w:tc>
          <w:tcPr>
            <w:tcW w:w="38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(70,780)</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(63,675)</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9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Denominator:</w:t>
            </w:r>
          </w:p>
        </w:tc>
        <w:tc>
          <w:tcPr>
            <w:tcW w:w="18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922" w:type="dxa"/>
            <w:gridSpan w:val="3"/>
            <w:tcBorders/>
            <w:vAlign w:val="center"/>
          </w:tcPr>
          <w:p>
            <w:pPr>
              <w:pStyle w:val="TableContents"/>
              <w:bidi w:val="0"/>
              <w:spacing w:before="0" w:after="283"/>
              <w:jc w:val="left"/>
              <w:rPr>
                <w:sz w:val="4"/>
                <w:szCs w:val="4"/>
              </w:rPr>
            </w:pPr>
            <w:r>
              <w:rPr>
                <w:sz w:val="4"/>
                <w:szCs w:val="4"/>
              </w:rPr>
            </w:r>
          </w:p>
        </w:tc>
        <w:tc>
          <w:tcPr>
            <w:tcW w:w="18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4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922" w:type="dxa"/>
            <w:gridSpan w:val="3"/>
            <w:tcBorders/>
            <w:vAlign w:val="center"/>
          </w:tcPr>
          <w:p>
            <w:pPr>
              <w:pStyle w:val="TableContents"/>
              <w:bidi w:val="0"/>
              <w:spacing w:before="0" w:after="283"/>
              <w:jc w:val="left"/>
              <w:rPr>
                <w:sz w:val="4"/>
                <w:szCs w:val="4"/>
              </w:rPr>
            </w:pPr>
            <w:r>
              <w:rPr>
                <w:sz w:val="4"/>
                <w:szCs w:val="4"/>
              </w:rPr>
            </w:r>
          </w:p>
        </w:tc>
        <w:tc>
          <w:tcPr>
            <w:tcW w:w="18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4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ind w:left="0" w:right="0" w:hanging="180"/>
              <w:jc w:val="left"/>
              <w:rPr>
                <w:sz w:val="4"/>
                <w:szCs w:val="4"/>
              </w:rPr>
            </w:pPr>
            <w:r>
              <w:rPr>
                <w:sz w:val="4"/>
                <w:szCs w:val="4"/>
              </w:rPr>
            </w:r>
          </w:p>
        </w:tc>
      </w:tr>
      <w:tr>
        <w:trPr/>
        <w:tc>
          <w:tcPr>
            <w:tcW w:w="59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shares used in computing net loss per share attributable to common stockholders, basic and diluted</w:t>
            </w:r>
          </w:p>
        </w:tc>
        <w:tc>
          <w:tcPr>
            <w:tcW w:w="18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125,426,509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124,919,144</w:t>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9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per share attributable to common stockholders, basic and diluted:</w:t>
            </w:r>
          </w:p>
        </w:tc>
        <w:tc>
          <w:tcPr>
            <w:tcW w:w="3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(0.56)</w:t>
            </w:r>
          </w:p>
        </w:tc>
        <w:tc>
          <w:tcPr>
            <w:tcW w:w="1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(0.51)</w:t>
            </w:r>
          </w:p>
        </w:tc>
        <w:tc>
          <w:tcPr>
            <w:tcW w:w="1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131445"/>
                <wp:effectExtent l="0" t="0" r="0" b="0"/>
                <wp:wrapNone/>
                <wp:docPr id="124" name="Frame10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106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106</w:t>
                      </w:r>
                    </w:p>
                  </w:txbxContent>
                </v:textbox>
                <w10:wrap type="none"/>
              </v:rect>
            </w:pict>
          </mc:Fallback>
        </mc:AlternateContent>
      </w:r>
    </w:p>
    <w:tbl>
      <w:tblPr>
        <w:tblW w:w="6029" w:type="dxa"/>
        <w:jc w:val="left"/>
        <w:tblInd w:w="0" w:type="dxa"/>
        <w:tblLayout w:type="fixed"/>
        <w:tblCellMar>
          <w:top w:w="28" w:type="dxa"/>
          <w:left w:w="28" w:type="dxa"/>
          <w:bottom w:w="28" w:type="dxa"/>
          <w:right w:w="28" w:type="dxa"/>
        </w:tblCellMar>
      </w:tblPr>
      <w:tblGrid>
        <w:gridCol w:w="1929"/>
        <w:gridCol w:w="1697"/>
        <w:gridCol w:w="2403"/>
      </w:tblGrid>
      <w:tr>
        <w:trPr/>
        <w:tc>
          <w:tcPr>
            <w:tcW w:w="1929" w:type="dxa"/>
            <w:tcBorders/>
            <w:vAlign w:val="center"/>
          </w:tcPr>
          <w:p>
            <w:pPr>
              <w:pStyle w:val="TableContents"/>
              <w:bidi w:val="0"/>
              <w:spacing w:before="0" w:after="283"/>
              <w:jc w:val="left"/>
              <w:rPr>
                <w:sz w:val="4"/>
                <w:szCs w:val="4"/>
              </w:rPr>
            </w:pPr>
            <w:r>
              <w:rPr>
                <w:sz w:val="4"/>
                <w:szCs w:val="4"/>
              </w:rPr>
            </w:r>
          </w:p>
        </w:tc>
        <w:tc>
          <w:tcPr>
            <w:tcW w:w="1697" w:type="dxa"/>
            <w:tcBorders/>
            <w:vAlign w:val="center"/>
          </w:tcPr>
          <w:p>
            <w:pPr>
              <w:pStyle w:val="TableContents"/>
              <w:bidi w:val="0"/>
              <w:spacing w:before="0" w:after="283"/>
              <w:jc w:val="left"/>
              <w:rPr>
                <w:sz w:val="4"/>
                <w:szCs w:val="4"/>
              </w:rPr>
            </w:pPr>
            <w:r>
              <w:rPr>
                <w:sz w:val="4"/>
                <w:szCs w:val="4"/>
              </w:rPr>
            </w:r>
          </w:p>
        </w:tc>
        <w:tc>
          <w:tcPr>
            <w:tcW w:w="2403" w:type="dxa"/>
            <w:tcBorders/>
            <w:vAlign w:val="center"/>
          </w:tcPr>
          <w:p>
            <w:pPr>
              <w:pStyle w:val="TableContents"/>
              <w:bidi w:val="0"/>
              <w:spacing w:before="0" w:after="283"/>
              <w:jc w:val="left"/>
              <w:rPr>
                <w:sz w:val="4"/>
                <w:szCs w:val="4"/>
              </w:rPr>
            </w:pPr>
            <w:r>
              <w:rPr>
                <w:sz w:val="4"/>
                <w:szCs w:val="4"/>
              </w:rPr>
            </w:r>
          </w:p>
        </w:tc>
      </w:tr>
      <w:tr>
        <w:trPr/>
        <w:tc>
          <w:tcPr>
            <w:tcW w:w="602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left"/>
              <w:rPr>
                <w:rFonts w:ascii="Times New Roman;sans-serif" w:hAnsi="Times New Roman;sans-serif"/>
                <w:b/>
                <w:color w:val="000000"/>
                <w:sz w:val="24"/>
              </w:rPr>
            </w:pPr>
            <w:r>
              <w:rPr>
                <w:rFonts w:ascii="Times New Roman;sans-serif" w:hAnsi="Times New Roman;sans-serif"/>
                <w:b/>
                <w:color w:val="000000"/>
                <w:sz w:val="24"/>
              </w:rPr>
              <w:t>Nautilus Biotechnology, Inc.</w:t>
            </w:r>
          </w:p>
          <w:p>
            <w:pPr>
              <w:pStyle w:val="TableContents"/>
              <w:bidi w:val="0"/>
              <w:spacing w:lineRule="auto" w:line="288" w:before="0" w:after="0"/>
              <w:jc w:val="left"/>
              <w:rPr>
                <w:rFonts w:ascii="Times New Roman;sans-serif" w:hAnsi="Times New Roman;sans-serif"/>
                <w:b/>
                <w:color w:val="000000"/>
                <w:sz w:val="24"/>
              </w:rPr>
            </w:pPr>
            <w:r>
              <w:rPr>
                <w:rFonts w:ascii="Times New Roman;sans-serif" w:hAnsi="Times New Roman;sans-serif"/>
                <w:b/>
                <w:color w:val="000000"/>
                <w:sz w:val="24"/>
              </w:rPr>
              <w:t>Notes to Consolidated Financial Statements—(Continued)</w:t>
            </w:r>
          </w:p>
        </w:tc>
      </w:tr>
    </w:tbl>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potential shares of common stock that were excluded from the computation of diluted net loss per share attributable to common stockholders for the periods presented because including them would have had an antidilutive effect were as follows:</w:t>
      </w:r>
    </w:p>
    <w:tbl>
      <w:tblPr>
        <w:tblW w:w="9784" w:type="dxa"/>
        <w:jc w:val="left"/>
        <w:tblInd w:w="0" w:type="dxa"/>
        <w:tblLayout w:type="fixed"/>
        <w:tblCellMar>
          <w:top w:w="28" w:type="dxa"/>
          <w:left w:w="28" w:type="dxa"/>
          <w:bottom w:w="28" w:type="dxa"/>
          <w:right w:w="28" w:type="dxa"/>
        </w:tblCellMar>
      </w:tblPr>
      <w:tblGrid>
        <w:gridCol w:w="1588"/>
        <w:gridCol w:w="1400"/>
        <w:gridCol w:w="1406"/>
        <w:gridCol w:w="799"/>
        <w:gridCol w:w="799"/>
        <w:gridCol w:w="802"/>
        <w:gridCol w:w="109"/>
        <w:gridCol w:w="109"/>
        <w:gridCol w:w="109"/>
        <w:gridCol w:w="799"/>
        <w:gridCol w:w="799"/>
        <w:gridCol w:w="802"/>
        <w:gridCol w:w="109"/>
        <w:gridCol w:w="154"/>
      </w:tblGrid>
      <w:tr>
        <w:trPr/>
        <w:tc>
          <w:tcPr>
            <w:tcW w:w="1588" w:type="dxa"/>
            <w:tcBorders/>
            <w:vAlign w:val="center"/>
          </w:tcPr>
          <w:p>
            <w:pPr>
              <w:pStyle w:val="TableContents"/>
              <w:bidi w:val="0"/>
              <w:spacing w:before="0" w:after="283"/>
              <w:jc w:val="left"/>
              <w:rPr>
                <w:sz w:val="4"/>
                <w:szCs w:val="4"/>
              </w:rPr>
            </w:pPr>
            <w:r>
              <w:rPr>
                <w:sz w:val="4"/>
                <w:szCs w:val="4"/>
              </w:rPr>
            </w:r>
          </w:p>
        </w:tc>
        <w:tc>
          <w:tcPr>
            <w:tcW w:w="1400" w:type="dxa"/>
            <w:tcBorders/>
            <w:vAlign w:val="center"/>
          </w:tcPr>
          <w:p>
            <w:pPr>
              <w:pStyle w:val="TableContents"/>
              <w:bidi w:val="0"/>
              <w:spacing w:before="0" w:after="283"/>
              <w:jc w:val="left"/>
              <w:rPr>
                <w:sz w:val="4"/>
                <w:szCs w:val="4"/>
              </w:rPr>
            </w:pPr>
            <w:r>
              <w:rPr>
                <w:sz w:val="4"/>
                <w:szCs w:val="4"/>
              </w:rPr>
            </w:r>
          </w:p>
        </w:tc>
        <w:tc>
          <w:tcPr>
            <w:tcW w:w="1406"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 2023</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Options to purchase common stock</w:t>
            </w:r>
          </w:p>
        </w:tc>
        <w:tc>
          <w:tcPr>
            <w:tcW w:w="240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16,634,775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14,676,335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Employee stock purchase plan</w:t>
            </w:r>
          </w:p>
        </w:tc>
        <w:tc>
          <w:tcPr>
            <w:tcW w:w="2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144,928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141,720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potentially dilutive common share equivalents</w:t>
            </w:r>
          </w:p>
        </w:tc>
        <w:tc>
          <w:tcPr>
            <w:tcW w:w="2400"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16,779,703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0"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14,818,055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10.     Segment Information</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Chief Executive Officer is its CODM. The Company’s CODM uses GAAP net loss in assessing operating decisions, allocating resources and evaluating financial performance. The Company identified the following significant segment expenses for its single reportable segment:</w:t>
      </w:r>
    </w:p>
    <w:tbl>
      <w:tblPr>
        <w:tblW w:w="8980" w:type="dxa"/>
        <w:jc w:val="left"/>
        <w:tblInd w:w="0" w:type="dxa"/>
        <w:tblLayout w:type="fixed"/>
        <w:tblCellMar>
          <w:top w:w="28" w:type="dxa"/>
          <w:left w:w="28" w:type="dxa"/>
          <w:bottom w:w="28" w:type="dxa"/>
          <w:right w:w="28" w:type="dxa"/>
        </w:tblCellMar>
      </w:tblPr>
      <w:tblGrid>
        <w:gridCol w:w="1380"/>
        <w:gridCol w:w="1214"/>
        <w:gridCol w:w="1216"/>
        <w:gridCol w:w="486"/>
        <w:gridCol w:w="1662"/>
        <w:gridCol w:w="251"/>
        <w:gridCol w:w="109"/>
        <w:gridCol w:w="109"/>
        <w:gridCol w:w="109"/>
        <w:gridCol w:w="475"/>
        <w:gridCol w:w="1623"/>
        <w:gridCol w:w="346"/>
      </w:tblGrid>
      <w:tr>
        <w:trPr/>
        <w:tc>
          <w:tcPr>
            <w:tcW w:w="1380" w:type="dxa"/>
            <w:tcBorders/>
            <w:vAlign w:val="center"/>
          </w:tcPr>
          <w:p>
            <w:pPr>
              <w:pStyle w:val="TableContents"/>
              <w:bidi w:val="0"/>
              <w:spacing w:before="0" w:after="283"/>
              <w:jc w:val="left"/>
              <w:rPr>
                <w:sz w:val="4"/>
                <w:szCs w:val="4"/>
              </w:rPr>
            </w:pPr>
            <w:r>
              <w:rPr>
                <w:sz w:val="4"/>
                <w:szCs w:val="4"/>
              </w:rPr>
            </w:r>
          </w:p>
        </w:tc>
        <w:tc>
          <w:tcPr>
            <w:tcW w:w="1214"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662"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1623"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r>
      <w:tr>
        <w:trPr/>
        <w:tc>
          <w:tcPr>
            <w:tcW w:w="381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23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 2023</w:t>
            </w:r>
          </w:p>
        </w:tc>
      </w:tr>
      <w:tr>
        <w:trPr/>
        <w:tc>
          <w:tcPr>
            <w:tcW w:w="3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Significant Segment Expenses:</w:t>
            </w:r>
          </w:p>
        </w:tc>
        <w:tc>
          <w:tcPr>
            <w:tcW w:w="23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Payroll-related expenses</w:t>
            </w:r>
          </w:p>
        </w:tc>
        <w:tc>
          <w:tcPr>
            <w:tcW w:w="48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33,502 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31,609 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Professional services and laboratory expenses</w:t>
            </w:r>
          </w:p>
        </w:tc>
        <w:tc>
          <w:tcPr>
            <w:tcW w:w="21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17,716 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16,397 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expense</w:t>
            </w:r>
          </w:p>
        </w:tc>
        <w:tc>
          <w:tcPr>
            <w:tcW w:w="21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12,701 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12,137 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Facilities expenses</w:t>
            </w:r>
          </w:p>
        </w:tc>
        <w:tc>
          <w:tcPr>
            <w:tcW w:w="21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10,902 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10,285 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Other segment items </w:t>
            </w:r>
            <w:r>
              <w:rPr>
                <w:rFonts w:ascii="Times New Roman;sans-serif" w:hAnsi="Times New Roman;sans-serif"/>
                <w:b w:val="false"/>
                <w:color w:val="000000"/>
                <w:sz w:val="13"/>
              </w:rPr>
              <w:t>(1)</w:t>
            </w:r>
          </w:p>
        </w:tc>
        <w:tc>
          <w:tcPr>
            <w:tcW w:w="21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6,655 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5,724 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Segment Expenses</w:t>
            </w:r>
          </w:p>
        </w:tc>
        <w:tc>
          <w:tcPr>
            <w:tcW w:w="21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81,476 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76,152 </w:t>
            </w:r>
          </w:p>
        </w:tc>
        <w:tc>
          <w:tcPr>
            <w:tcW w:w="3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Reconciliation to net loss:</w:t>
            </w:r>
          </w:p>
        </w:tc>
        <w:tc>
          <w:tcPr>
            <w:tcW w:w="2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21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(10,780)</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(12,550)</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w:t>
            </w:r>
          </w:p>
        </w:tc>
        <w:tc>
          <w:tcPr>
            <w:tcW w:w="21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4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70,780 </w:t>
            </w:r>
          </w:p>
        </w:tc>
        <w:tc>
          <w:tcPr>
            <w:tcW w:w="2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63,675 </w:t>
            </w:r>
          </w:p>
        </w:tc>
        <w:tc>
          <w:tcPr>
            <w:tcW w:w="3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50"/>
        <w:gridCol w:w="131"/>
        <w:gridCol w:w="131"/>
        <w:gridCol w:w="2848"/>
        <w:gridCol w:w="2848"/>
        <w:gridCol w:w="4097"/>
      </w:tblGrid>
      <w:tr>
        <w:trPr/>
        <w:tc>
          <w:tcPr>
            <w:tcW w:w="150"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848" w:type="dxa"/>
            <w:tcBorders/>
            <w:vAlign w:val="center"/>
          </w:tcPr>
          <w:p>
            <w:pPr>
              <w:pStyle w:val="TableContents"/>
              <w:bidi w:val="0"/>
              <w:spacing w:before="0" w:after="283"/>
              <w:jc w:val="left"/>
              <w:rPr>
                <w:sz w:val="4"/>
                <w:szCs w:val="4"/>
              </w:rPr>
            </w:pPr>
            <w:r>
              <w:rPr>
                <w:sz w:val="4"/>
                <w:szCs w:val="4"/>
              </w:rPr>
            </w:r>
          </w:p>
        </w:tc>
        <w:tc>
          <w:tcPr>
            <w:tcW w:w="2848" w:type="dxa"/>
            <w:tcBorders/>
            <w:vAlign w:val="center"/>
          </w:tcPr>
          <w:p>
            <w:pPr>
              <w:pStyle w:val="TableContents"/>
              <w:bidi w:val="0"/>
              <w:spacing w:before="0" w:after="283"/>
              <w:jc w:val="left"/>
              <w:rPr>
                <w:sz w:val="4"/>
                <w:szCs w:val="4"/>
              </w:rPr>
            </w:pPr>
            <w:r>
              <w:rPr>
                <w:sz w:val="4"/>
                <w:szCs w:val="4"/>
              </w:rPr>
            </w:r>
          </w:p>
        </w:tc>
        <w:tc>
          <w:tcPr>
            <w:tcW w:w="4097" w:type="dxa"/>
            <w:tcBorders/>
            <w:vAlign w:val="center"/>
          </w:tcPr>
          <w:p>
            <w:pPr>
              <w:pStyle w:val="TableContents"/>
              <w:bidi w:val="0"/>
              <w:spacing w:before="0" w:after="283"/>
              <w:jc w:val="left"/>
              <w:rPr>
                <w:sz w:val="4"/>
                <w:szCs w:val="4"/>
              </w:rPr>
            </w:pPr>
            <w:r>
              <w:rPr>
                <w:sz w:val="4"/>
                <w:szCs w:val="4"/>
              </w:rPr>
            </w:r>
          </w:p>
        </w:tc>
      </w:tr>
      <w:tr>
        <w:trPr/>
        <w:tc>
          <w:tcPr>
            <w:tcW w:w="10205" w:type="dxa"/>
            <w:gridSpan w:val="6"/>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Footnotes:</w:t>
            </w:r>
          </w:p>
        </w:tc>
      </w:tr>
      <w:tr>
        <w:trPr/>
        <w:tc>
          <w:tcPr>
            <w:tcW w:w="4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w:t>
            </w:r>
          </w:p>
        </w:tc>
        <w:tc>
          <w:tcPr>
            <w:tcW w:w="979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Other segment items for the Company’s single reportable segment include travel and entertainment, insurance, tax, expensed computer hardware and software, depreciation, and other miscellaneous expenses.</w:t>
            </w:r>
          </w:p>
        </w:tc>
      </w:tr>
    </w:tbl>
    <w:p>
      <w:pPr>
        <w:pStyle w:val="TextBody"/>
        <w:bidi w:val="0"/>
        <w:spacing w:before="0" w:after="180"/>
        <w:ind w:left="0" w:right="0" w:firstLine="360"/>
        <w:jc w:val="left"/>
        <w:rPr/>
      </w:pPr>
      <w:r>
        <w:rPr/>
      </w:r>
    </w:p>
    <w:p>
      <w:pPr>
        <w:pStyle w:val="TextBody"/>
        <w:bidi w:val="0"/>
        <w:spacing w:before="0" w:after="180"/>
        <w:ind w:left="0" w:right="0" w:firstLine="360"/>
        <w:jc w:val="left"/>
        <w:rPr/>
      </w:pPr>
      <w:r>
        <w:rPr/>
      </w:r>
    </w:p>
    <w:p>
      <w:pPr>
        <w:pStyle w:val="TextBody"/>
        <w:bidi w:val="0"/>
        <w:spacing w:before="0" w:after="18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131445"/>
                <wp:effectExtent l="0" t="0" r="0" b="0"/>
                <wp:wrapNone/>
                <wp:docPr id="125" name="Frame10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107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107</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pPr>
      <w:r>
        <w:rPr>
          <w:rFonts w:ascii="Times New Roman;sans-serif" w:hAnsi="Times New Roman;sans-serif"/>
          <w:b/>
          <w:color w:val="000000"/>
          <w:sz w:val="20"/>
        </w:rPr>
        <w:t>Item 9. Changes in and Disagreements With Accountants on Accounting and Financial Disclosures</w:t>
      </w:r>
      <w:r>
        <w:rPr>
          <w:color w:val="000000"/>
        </w:rPr>
        <w:t> </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None.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Item 9A. Controls and Procedures </w:t>
      </w:r>
    </w:p>
    <w:p>
      <w:pPr>
        <w:pStyle w:val="TextBody"/>
        <w:bidi w:val="0"/>
        <w:spacing w:lineRule="auto" w:line="288" w:before="0" w:after="180"/>
        <w:ind w:left="0" w:right="0" w:firstLine="360"/>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Evaluation of Disclosure Controls and Procedures</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maintain disclosure controls and procedures that are designed to ensure that information required to be disclosed in our reports filed or submitted under the Securities Exchange Act of 1934 is recorded, processed, summarized and reported within the time period specified in the SEC's rules and forms, and that such information is accumulated and communicated to management including our Chief Executive Officer and Chief Financial Officer, as appropriate, to allow timely decisions regarding required disclosure. </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Our management, with the participation and supervision of our Chief Executive Officer and our Chief Financial Officer, have evaluated the effectiveness of our disclosure controls and procedures (as defined in Rules 13a-15(e) and 15d-15(e) under the Exchange Act) as of the end of the period covered by this Annual Report on Form 10-K. Based on such evaluation, our Chief Executive Officer and Chief Financial Officer have concluded that as of such date, our disclosure controls and procedures were, in design and operation, effective at a reasonable assurance level.</w:t>
      </w:r>
    </w:p>
    <w:p>
      <w:pPr>
        <w:pStyle w:val="TextBody"/>
        <w:bidi w:val="0"/>
        <w:spacing w:lineRule="auto" w:line="288" w:before="0" w:after="180"/>
        <w:ind w:left="0" w:right="0" w:firstLine="360"/>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Management’s Report on Internal Control Over Financial Reporting</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Our management is responsible for establishing and maintaining adequate internal control over financial reporting (as defined in Rule 13a-15(f) under the Exchange Act). Under the supervision of and with the participation of our principal executive officer and principal financial officer, our management assessed the effectiveness of our internal control over financial reporting as of December 31, 2024 based on the criteria set forth by the Committee of Sponsoring Organizations of the Treadway Commission in “Internal Control-Integrated Framework” (2013). Based on this assessment, management concluded that our internal control over financial reporting was effective as of December 31, 2024.</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This Annual Report on Form 10-K does not include an attestation report of our independent registered public accounting firm on our internal control over financial reporting due to an exemption established by the JOBS Act for “emerging growth companies.”</w:t>
      </w:r>
    </w:p>
    <w:p>
      <w:pPr>
        <w:pStyle w:val="TextBody"/>
        <w:bidi w:val="0"/>
        <w:spacing w:lineRule="auto" w:line="288" w:before="0" w:after="180"/>
        <w:ind w:left="0" w:right="0" w:firstLine="360"/>
        <w:jc w:val="left"/>
        <w:rPr/>
      </w:pPr>
      <w:r>
        <w:rPr>
          <w:rFonts w:ascii="Times New Roman;sans-serif" w:hAnsi="Times New Roman;sans-serif"/>
          <w:b/>
          <w:i/>
          <w:color w:val="000000"/>
          <w:sz w:val="20"/>
          <w:shd w:fill="FFFFFF" w:val="clear"/>
        </w:rPr>
        <w:t>Changes in Internal Control over Financial Reporting</w:t>
      </w:r>
      <w:r>
        <w:rPr>
          <w:color w:val="000000"/>
          <w:shd w:fill="FFFFFF" w:val="clear"/>
        </w:rPr>
        <w:t xml:space="preserve"> </w:t>
      </w:r>
    </w:p>
    <w:p>
      <w:pPr>
        <w:pStyle w:val="TextBody"/>
        <w:bidi w:val="0"/>
        <w:spacing w:lineRule="auto" w:line="288" w:before="0" w:after="180"/>
        <w:ind w:left="0" w:right="0" w:firstLine="360"/>
        <w:jc w:val="left"/>
        <w:rPr/>
      </w:pPr>
      <w:r>
        <w:rPr>
          <w:rFonts w:ascii="Times New Roman;sans-serif" w:hAnsi="Times New Roman;sans-serif"/>
          <w:b w:val="false"/>
          <w:color w:val="000000"/>
          <w:sz w:val="20"/>
          <w:shd w:fill="FFFFFF" w:val="clear"/>
        </w:rPr>
        <w:t xml:space="preserve">There was no change in our internal control over financial reporting identified in connection with the evaluation required by Rule 13a-15(d) and 15d-15(d) of the Securities Exchange Act of 1934 that occurred during the quarter ended </w:t>
      </w:r>
      <w:r>
        <w:rPr>
          <w:rFonts w:ascii="Times New Roman;sans-serif" w:hAnsi="Times New Roman;sans-serif"/>
          <w:b w:val="false"/>
          <w:color w:val="000000"/>
          <w:sz w:val="20"/>
        </w:rPr>
        <w:t>December 31, 2024,</w:t>
      </w:r>
      <w:r>
        <w:rPr>
          <w:color w:val="000000"/>
          <w:shd w:fill="FFFFFF" w:val="clear"/>
        </w:rPr>
        <w:t xml:space="preserve"> </w:t>
      </w:r>
      <w:r>
        <w:rPr>
          <w:rFonts w:ascii="Times New Roman;sans-serif" w:hAnsi="Times New Roman;sans-serif"/>
          <w:b w:val="false"/>
          <w:color w:val="000000"/>
          <w:sz w:val="20"/>
          <w:shd w:fill="FFFFFF" w:val="clear"/>
        </w:rPr>
        <w:t>that has materially affected, or is reasonably likely to materially affect, our internal control over financial reporting.</w:t>
      </w:r>
      <w:r>
        <w:rPr>
          <w:color w:val="000000"/>
        </w:rPr>
        <w:t xml:space="preserve"> </w:t>
      </w:r>
    </w:p>
    <w:p>
      <w:pPr>
        <w:pStyle w:val="TextBody"/>
        <w:bidi w:val="0"/>
        <w:spacing w:lineRule="auto" w:line="288" w:before="0" w:after="180"/>
        <w:ind w:left="0" w:right="0" w:firstLine="360"/>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Inherent Limitations on Effectiveness of Controls</w:t>
      </w:r>
    </w:p>
    <w:p>
      <w:pPr>
        <w:pStyle w:val="TextBody"/>
        <w:bidi w:val="0"/>
        <w:spacing w:lineRule="auto" w:line="288" w:before="0" w:after="180"/>
        <w:ind w:left="0" w:right="0" w:firstLine="36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effectiveness of any system of internal control over financial reporting, including ours, is subject to inherent limitations, including the exercise of judgment in designing, implementing, operating, and evaluating the controls and procedures, and the inability to eliminate misconduct completely. Accordingly, in designing and evaluating the disclosure controls and procedures, management recognizes that any system of internal control over financial reporting, including ours, no matter how well designed and operated, can only provide reasonable, not absolute assurance of achieving the desired control objectives. In addition, the design of disclosure controls and procedures must reflect the fact that there are resource constraints and that management is required to apply its judgment in evaluating the benefits of possible controls and procedures relative to their costs. Moreover, projections of any evaluation of effectiveness to future periods are subject to the risk that controls may become inadequate because of changes in conditions, or that the degree of compliance with the policies or procedures may deteriorate. We intend to continue to monitor and upgrade our internal controls as necessary or appropriate for our business but cannot assure you that such improvements will be sufficient to provide us with effective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Item 9B. Other Information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During our last fiscal quarter, none of our directors or officers, as defined in Rule 16a-1(f), adopted and/or terminated a “Rule 10b5-1 trading arrangement” or a “non-Rule 10b5-1 trading arrangement,” as defined in Regulation S-K Item 408.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Item 9C. Disclosure Regarding Foreign Jurisdictions that Prevent Inspections </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131445"/>
                <wp:effectExtent l="0" t="0" r="0" b="0"/>
                <wp:wrapNone/>
                <wp:docPr id="126" name="Frame10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108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108</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484" w:before="0" w:after="0"/>
        <w:jc w:val="center"/>
        <w:rPr>
          <w:rFonts w:ascii="Times New Roman;sans-serif" w:hAnsi="Times New Roman;sans-serif"/>
          <w:b/>
          <w:color w:val="000000"/>
          <w:sz w:val="24"/>
        </w:rPr>
      </w:pPr>
      <w:r>
        <w:rPr>
          <w:rFonts w:ascii="Times New Roman;sans-serif" w:hAnsi="Times New Roman;sans-serif"/>
          <w:b/>
          <w:color w:val="000000"/>
          <w:sz w:val="24"/>
        </w:rPr>
        <w:t>Part III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pPr>
      <w:r>
        <w:rPr>
          <w:rFonts w:ascii="Times New Roman;sans-serif" w:hAnsi="Times New Roman;sans-serif"/>
          <w:b/>
          <w:color w:val="000000"/>
          <w:sz w:val="20"/>
        </w:rPr>
        <w:t>Item 10. Directors, Executive Officers and Corporate Governance</w:t>
      </w:r>
      <w:r>
        <w:rPr>
          <w:color w:val="000000"/>
        </w:rPr>
        <w:t> </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information called for by this item will be set forth in our Proxy Statement for the Annual Meeting of Stockholders to be filed with the SEC within 120 days of the fiscal year ended December 31, 2024 (the “Proxy Statement”) and is incorporated herein by reference.</w:t>
      </w:r>
    </w:p>
    <w:p>
      <w:pPr>
        <w:pStyle w:val="TextBody"/>
        <w:bidi w:val="0"/>
        <w:spacing w:lineRule="auto" w:line="288" w:before="0" w:after="180"/>
        <w:ind w:left="0" w:right="0" w:firstLine="360"/>
        <w:jc w:val="left"/>
        <w:rPr>
          <w:rFonts w:ascii="Times New Roman;sans-serif" w:hAnsi="Times New Roman;sans-serif"/>
          <w:b w:val="false"/>
          <w:i/>
          <w:color w:val="000000"/>
          <w:sz w:val="20"/>
        </w:rPr>
      </w:pPr>
      <w:r>
        <w:rPr>
          <w:rFonts w:ascii="Times New Roman;sans-serif" w:hAnsi="Times New Roman;sans-serif"/>
          <w:b w:val="false"/>
          <w:i/>
          <w:color w:val="000000"/>
          <w:sz w:val="20"/>
        </w:rPr>
        <w:t>Code of Business Conduct and Ethics</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Our board of directors has adopted a Code of Business Conduct and Ethics applicable to all employees, officers and directors of the Company. The full text of our Code of Business Conduct and Ethics is posted on our investors relations website at http://www.https://investors.nautilus.bio/. We will post any amendments to our Code of Business Conduct and Ethics, or waivers of its requirements, on our website.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Item 11. Executive Compensation</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information required by this item will be disclosed in the Proxy Statement and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Item 12. Security Ownership of Certain Beneficial Owner and Management and Related Stockholder Matters </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information required by this item will be disclosed in the Proxy Statement and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Item 13. Certain Relationships and Related Transactions, and Director Independence </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information required by this item will be disclosed in the Proxy Statement and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Item 14. Principal Accountant Fees and Services </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information required by this item will be disclosed in the Proxy Statement and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131445"/>
                <wp:effectExtent l="0" t="0" r="0" b="0"/>
                <wp:wrapNone/>
                <wp:docPr id="127" name="Frame10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109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109</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484" w:before="0" w:after="0"/>
        <w:jc w:val="center"/>
        <w:rPr>
          <w:rFonts w:ascii="Times New Roman;sans-serif" w:hAnsi="Times New Roman;sans-serif"/>
          <w:b/>
          <w:color w:val="000000"/>
          <w:sz w:val="24"/>
        </w:rPr>
      </w:pPr>
      <w:r>
        <w:rPr>
          <w:rFonts w:ascii="Times New Roman;sans-serif" w:hAnsi="Times New Roman;sans-serif"/>
          <w:b/>
          <w:color w:val="000000"/>
          <w:sz w:val="24"/>
        </w:rPr>
        <w:t>Part IV</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Item 15. Exhibits and Financial Statement Schedules</w:t>
      </w:r>
    </w:p>
    <w:p>
      <w:pPr>
        <w:pStyle w:val="TextBody"/>
        <w:bidi w:val="0"/>
        <w:spacing w:lineRule="auto" w:line="288" w:before="0" w:after="180"/>
        <w:jc w:val="left"/>
        <w:rPr>
          <w:rFonts w:ascii="Times New Roman;sans-serif" w:hAnsi="Times New Roman;sans-serif"/>
          <w:b w:val="false"/>
          <w:i/>
          <w:color w:val="000000"/>
          <w:sz w:val="20"/>
        </w:rPr>
      </w:pPr>
      <w:r>
        <w:rPr>
          <w:rFonts w:ascii="Times New Roman;sans-serif" w:hAnsi="Times New Roman;sans-serif"/>
          <w:b w:val="false"/>
          <w:i/>
          <w:color w:val="000000"/>
          <w:sz w:val="20"/>
        </w:rPr>
        <w:t>(a) 1. Financial Statements</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See Index to consolidated financial statements in Part II, Item 8 of this Annual Report on Form 10-K, which is incorporated herein by reference.</w:t>
      </w:r>
    </w:p>
    <w:p>
      <w:pPr>
        <w:pStyle w:val="TextBody"/>
        <w:bidi w:val="0"/>
        <w:spacing w:lineRule="auto" w:line="288" w:before="0" w:after="180"/>
        <w:jc w:val="left"/>
        <w:rPr>
          <w:rFonts w:ascii="Times New Roman;sans-serif" w:hAnsi="Times New Roman;sans-serif"/>
          <w:b w:val="false"/>
          <w:i/>
          <w:color w:val="000000"/>
          <w:sz w:val="20"/>
        </w:rPr>
      </w:pPr>
      <w:r>
        <w:rPr>
          <w:rFonts w:ascii="Times New Roman;sans-serif" w:hAnsi="Times New Roman;sans-serif"/>
          <w:b w:val="false"/>
          <w:i/>
          <w:color w:val="000000"/>
          <w:sz w:val="20"/>
        </w:rPr>
        <w:t>2. Financial Statement Schedules</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All financial statement schedules have been omitted because they are either not applicable or the required information is shown in the consolidated financial statements or notes thereto.</w:t>
      </w:r>
    </w:p>
    <w:p>
      <w:pPr>
        <w:pStyle w:val="TextBody"/>
        <w:bidi w:val="0"/>
        <w:spacing w:lineRule="auto" w:line="288" w:before="0" w:after="180"/>
        <w:jc w:val="left"/>
        <w:rPr>
          <w:rFonts w:ascii="Times New Roman;sans-serif" w:hAnsi="Times New Roman;sans-serif"/>
          <w:b w:val="false"/>
          <w:i/>
          <w:color w:val="000000"/>
          <w:sz w:val="20"/>
        </w:rPr>
      </w:pPr>
      <w:r>
        <w:rPr>
          <w:rFonts w:ascii="Times New Roman;sans-serif" w:hAnsi="Times New Roman;sans-serif"/>
          <w:b w:val="false"/>
          <w:i/>
          <w:color w:val="000000"/>
          <w:sz w:val="20"/>
        </w:rPr>
        <w:t>3. Exhibits</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See the Exhibit Index which precedes the signature page of this Annual Report, which is incorporated herein by reference.</w:t>
      </w:r>
    </w:p>
    <w:p>
      <w:pPr>
        <w:pStyle w:val="TextBody"/>
        <w:bidi w:val="0"/>
        <w:spacing w:lineRule="auto" w:line="288" w:before="0" w:after="180"/>
        <w:jc w:val="left"/>
        <w:rPr>
          <w:rFonts w:ascii="Times New Roman;sans-serif" w:hAnsi="Times New Roman;sans-serif"/>
          <w:b w:val="false"/>
          <w:i/>
          <w:color w:val="000000"/>
          <w:sz w:val="20"/>
        </w:rPr>
      </w:pPr>
      <w:r>
        <w:rPr>
          <w:rFonts w:ascii="Times New Roman;sans-serif" w:hAnsi="Times New Roman;sans-serif"/>
          <w:b w:val="false"/>
          <w:i/>
          <w:color w:val="000000"/>
          <w:sz w:val="20"/>
        </w:rPr>
        <w:t>(b) Exhibits</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See Item 15(a)(3) above.</w:t>
      </w:r>
    </w:p>
    <w:p>
      <w:pPr>
        <w:pStyle w:val="TextBody"/>
        <w:bidi w:val="0"/>
        <w:spacing w:lineRule="auto" w:line="288" w:before="0" w:after="180"/>
        <w:jc w:val="left"/>
        <w:rPr>
          <w:rFonts w:ascii="Times New Roman;sans-serif" w:hAnsi="Times New Roman;sans-serif"/>
          <w:b w:val="false"/>
          <w:i/>
          <w:color w:val="000000"/>
          <w:sz w:val="20"/>
        </w:rPr>
      </w:pPr>
      <w:r>
        <w:rPr>
          <w:rFonts w:ascii="Times New Roman;sans-serif" w:hAnsi="Times New Roman;sans-serif"/>
          <w:b w:val="false"/>
          <w:i/>
          <w:color w:val="000000"/>
          <w:sz w:val="20"/>
        </w:rPr>
        <w:t>(c) Financial Statement Schedules</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See Item 15(a)(2) above.</w:t>
      </w:r>
    </w:p>
    <w:p>
      <w:pPr>
        <w:pStyle w:val="TextBody"/>
        <w:bidi w:val="0"/>
        <w:spacing w:before="0" w:after="18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131445"/>
                <wp:effectExtent l="0" t="0" r="0" b="0"/>
                <wp:wrapNone/>
                <wp:docPr id="128" name="Frame110"/>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110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110</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EXHIBITS</w:t>
      </w:r>
    </w:p>
    <w:tbl>
      <w:tblPr>
        <w:tblW w:w="10205" w:type="dxa"/>
        <w:jc w:val="left"/>
        <w:tblInd w:w="0" w:type="dxa"/>
        <w:tblLayout w:type="fixed"/>
        <w:tblCellMar>
          <w:top w:w="28" w:type="dxa"/>
          <w:left w:w="28" w:type="dxa"/>
          <w:bottom w:w="28" w:type="dxa"/>
          <w:right w:w="28" w:type="dxa"/>
        </w:tblCellMar>
      </w:tblPr>
      <w:tblGrid>
        <w:gridCol w:w="255"/>
        <w:gridCol w:w="225"/>
        <w:gridCol w:w="226"/>
        <w:gridCol w:w="109"/>
        <w:gridCol w:w="109"/>
        <w:gridCol w:w="109"/>
        <w:gridCol w:w="2675"/>
        <w:gridCol w:w="2675"/>
        <w:gridCol w:w="3822"/>
      </w:tblGrid>
      <w:tr>
        <w:trPr/>
        <w:tc>
          <w:tcPr>
            <w:tcW w:w="25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5" w:type="dxa"/>
            <w:tcBorders/>
            <w:vAlign w:val="center"/>
          </w:tcPr>
          <w:p>
            <w:pPr>
              <w:pStyle w:val="TableContents"/>
              <w:bidi w:val="0"/>
              <w:spacing w:before="0" w:after="283"/>
              <w:jc w:val="left"/>
              <w:rPr>
                <w:sz w:val="4"/>
                <w:szCs w:val="4"/>
              </w:rPr>
            </w:pPr>
            <w:r>
              <w:rPr>
                <w:sz w:val="4"/>
                <w:szCs w:val="4"/>
              </w:rPr>
            </w:r>
          </w:p>
        </w:tc>
        <w:tc>
          <w:tcPr>
            <w:tcW w:w="2675" w:type="dxa"/>
            <w:tcBorders/>
            <w:vAlign w:val="center"/>
          </w:tcPr>
          <w:p>
            <w:pPr>
              <w:pStyle w:val="TableContents"/>
              <w:bidi w:val="0"/>
              <w:spacing w:before="0" w:after="283"/>
              <w:jc w:val="left"/>
              <w:rPr>
                <w:sz w:val="4"/>
                <w:szCs w:val="4"/>
              </w:rPr>
            </w:pPr>
            <w:r>
              <w:rPr>
                <w:sz w:val="4"/>
                <w:szCs w:val="4"/>
              </w:rPr>
            </w:r>
          </w:p>
        </w:tc>
        <w:tc>
          <w:tcPr>
            <w:tcW w:w="3822"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Exhibit</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Description</w:t>
            </w:r>
          </w:p>
        </w:tc>
      </w:tr>
      <w:tr>
        <w:trPr/>
        <w:tc>
          <w:tcPr>
            <w:tcW w:w="7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hyperlink r:id="rId20">
              <w:r>
                <w:rPr>
                  <w:rStyle w:val="InternetLink"/>
                  <w:rFonts w:ascii="Times New Roman;sans-serif" w:hAnsi="Times New Roman;sans-serif"/>
                  <w:b w:val="false"/>
                  <w:color w:val="0000FF"/>
                  <w:sz w:val="20"/>
                  <w:u w:val="single"/>
                </w:rPr>
                <w:t>Business Combination Agreement, dated as of February 7, 2021, by and among ARYA Sciences Acquisition Corp III, Mako Merger Sub, Inc., and Nautilus Biotechnology, Inc. (incorporated by reference to Exhibit 2.1 to the Company’s Current Report on Form 8-K filed with the SEC on February 8, 2021).</w:t>
              </w:r>
            </w:hyperlink>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1">
              <w:r>
                <w:rPr>
                  <w:rStyle w:val="InternetLink"/>
                  <w:rFonts w:ascii="Times New Roman;sans-serif" w:hAnsi="Times New Roman;sans-serif"/>
                  <w:b w:val="false"/>
                  <w:color w:val="0000FF"/>
                  <w:sz w:val="20"/>
                  <w:u w:val="single"/>
                </w:rPr>
                <w:t>Certificate of Incorporation of Nautilus Biotechnology, Inc. (incorporated by reference to Exhibit 3.1 to the Company’s Current Report on Form 8-K filed with the SEC on June 10, 2021).</w:t>
              </w:r>
            </w:hyperlink>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2">
              <w:r>
                <w:rPr>
                  <w:rStyle w:val="InternetLink"/>
                  <w:rFonts w:ascii="Times New Roman;sans-serif" w:hAnsi="Times New Roman;sans-serif"/>
                  <w:b w:val="false"/>
                  <w:color w:val="0000FF"/>
                  <w:sz w:val="20"/>
                  <w:u w:val="single"/>
                </w:rPr>
                <w:t>Amended and Restated Bylaws of Nautilus Biotechnology, Inc. (incorporated by reference to Exhibit 3.2 to the Company’s Quarterly Report on Form 10-Q filed with the SEC on August 2, 2023).</w:t>
              </w:r>
            </w:hyperlink>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3">
              <w:r>
                <w:rPr>
                  <w:rStyle w:val="InternetLink"/>
                  <w:rFonts w:ascii="Times New Roman;sans-serif" w:hAnsi="Times New Roman;sans-serif"/>
                  <w:b w:val="false"/>
                  <w:color w:val="0000FF"/>
                  <w:sz w:val="20"/>
                  <w:u w:val="single"/>
                </w:rPr>
                <w:t>Specimen Common Stock Certificate (incorporated by reference to Exhibit 4.1 to the Company’s Current Report on Form 8-K filed with the SEC on June 10, 2021).</w:t>
              </w:r>
            </w:hyperlink>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24">
              <w:r>
                <w:rPr>
                  <w:rStyle w:val="InternetLink"/>
                  <w:rFonts w:ascii="Times New Roman;sans-serif" w:hAnsi="Times New Roman;sans-serif"/>
                  <w:b w:val="false"/>
                  <w:color w:val="0000FF"/>
                  <w:sz w:val="20"/>
                  <w:u w:val="single"/>
                </w:rPr>
                <w:t>Description of Securities (incorporated by reference to Exhibit 4.2 to the Company’s Annual Report on Form 10-K filed with the SEC on February 23, 2023).</w:t>
              </w:r>
            </w:hyperlink>
            <w:r>
              <w:rPr>
                <w:color w:val="000000"/>
              </w:rPr>
              <w:t xml:space="preserve"> </w:t>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5">
              <w:r>
                <w:rPr>
                  <w:rStyle w:val="InternetLink"/>
                  <w:rFonts w:ascii="Times New Roman;sans-serif" w:hAnsi="Times New Roman;sans-serif"/>
                  <w:b w:val="false"/>
                  <w:color w:val="0000FF"/>
                  <w:sz w:val="20"/>
                  <w:u w:val="single"/>
                </w:rPr>
                <w:t>Form of Subscription Agreement (incorporated by reference to Exhibit 10.3 to the Company’s Current Report on Form 8-K filed with the SEC on February 8, 2021).</w:t>
              </w:r>
            </w:hyperlink>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6">
              <w:r>
                <w:rPr>
                  <w:rStyle w:val="InternetLink"/>
                  <w:rFonts w:ascii="Times New Roman;sans-serif" w:hAnsi="Times New Roman;sans-serif"/>
                  <w:b w:val="false"/>
                  <w:color w:val="0000FF"/>
                  <w:sz w:val="20"/>
                  <w:u w:val="single"/>
                </w:rPr>
                <w:t>Form of Amended and Restated Registration Rights and Lock-Up Agreement (incorporated by reference to Exhibit 10.2 to the Company’s Current Report on Form 8-K filed with the SEC on February 8, 2021).</w:t>
              </w:r>
            </w:hyperlink>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7">
              <w:r>
                <w:rPr>
                  <w:rStyle w:val="InternetLink"/>
                  <w:rFonts w:ascii="Times New Roman;sans-serif" w:hAnsi="Times New Roman;sans-serif"/>
                  <w:b w:val="false"/>
                  <w:color w:val="000080"/>
                  <w:sz w:val="20"/>
                  <w:u w:val="single"/>
                </w:rPr>
                <w:t>Amendment No. 1 to Amended and Restated Registration Rights and Lock-Up Agreement</w:t>
              </w:r>
            </w:hyperlink>
            <w:hyperlink r:id="rId28">
              <w:r>
                <w:rPr>
                  <w:rStyle w:val="InternetLink"/>
                  <w:rFonts w:ascii="Times New Roman;sans-serif" w:hAnsi="Times New Roman;sans-serif"/>
                  <w:b w:val="false"/>
                  <w:color w:val="000080"/>
                  <w:sz w:val="20"/>
                  <w:u w:val="single"/>
                </w:rPr>
                <w:t xml:space="preserve"> </w:t>
              </w:r>
            </w:hyperlink>
            <w:hyperlink r:id="rId29">
              <w:r>
                <w:rPr>
                  <w:rStyle w:val="InternetLink"/>
                  <w:rFonts w:ascii="Times New Roman;sans-serif" w:hAnsi="Times New Roman;sans-serif"/>
                  <w:b w:val="false"/>
                  <w:color w:val="000080"/>
                  <w:sz w:val="20"/>
                  <w:u w:val="single"/>
                </w:rPr>
                <w:t>(incorporated by reference to Exhibit 10.3 to the Company</w:t>
              </w:r>
            </w:hyperlink>
            <w:hyperlink r:id="rId30">
              <w:r>
                <w:rPr>
                  <w:rStyle w:val="InternetLink"/>
                  <w:rFonts w:ascii="Times New Roman;sans-serif" w:hAnsi="Times New Roman;sans-serif"/>
                  <w:b w:val="false"/>
                  <w:color w:val="000080"/>
                  <w:sz w:val="20"/>
                  <w:u w:val="single"/>
                </w:rPr>
                <w:t>’</w:t>
              </w:r>
            </w:hyperlink>
            <w:hyperlink r:id="rId31">
              <w:r>
                <w:rPr>
                  <w:rStyle w:val="InternetLink"/>
                  <w:rFonts w:ascii="Times New Roman;sans-serif" w:hAnsi="Times New Roman;sans-serif"/>
                  <w:b w:val="false"/>
                  <w:color w:val="000080"/>
                  <w:sz w:val="20"/>
                  <w:u w:val="single"/>
                </w:rPr>
                <w:t>s Annual Report on Form 10-K filed with the SEC on February 28, 2024).</w:t>
              </w:r>
            </w:hyperlink>
          </w:p>
        </w:tc>
      </w:tr>
      <w:tr>
        <w:trPr/>
        <w:tc>
          <w:tcPr>
            <w:tcW w:w="706"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2">
              <w:r>
                <w:rPr>
                  <w:rStyle w:val="InternetLink"/>
                  <w:rFonts w:ascii="Times New Roman;sans-serif" w:hAnsi="Times New Roman;sans-serif"/>
                  <w:b w:val="false"/>
                  <w:color w:val="0000FF"/>
                  <w:sz w:val="20"/>
                  <w:u w:val="single"/>
                </w:rPr>
                <w:t xml:space="preserve">Nautilus Biotechnology, Inc. 2021 Equity Incentive Plan (incorporated by reference to Exhibit 10.4 to the Company’s Current Report on Form 8-K filed with the SEC on June 10, 2021). </w:t>
              </w:r>
            </w:hyperlink>
          </w:p>
        </w:tc>
      </w:tr>
      <w:tr>
        <w:trPr/>
        <w:tc>
          <w:tcPr>
            <w:tcW w:w="706"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10.5+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3">
              <w:r>
                <w:rPr>
                  <w:rStyle w:val="InternetLink"/>
                  <w:rFonts w:ascii="Times New Roman;sans-serif" w:hAnsi="Times New Roman;sans-serif"/>
                  <w:b w:val="false"/>
                  <w:color w:val="0000FF"/>
                  <w:sz w:val="20"/>
                  <w:u w:val="single"/>
                </w:rPr>
                <w:t>Nautilus Biotechnology, Inc. 2021 Employee Stock Purchase Plan (incorporated by reference to Exhibit 10.5 to the Company’s Current Report on Form 8-K filed with the SEC on June 10, 2021).</w:t>
              </w:r>
            </w:hyperlink>
          </w:p>
        </w:tc>
      </w:tr>
      <w:tr>
        <w:trPr/>
        <w:tc>
          <w:tcPr>
            <w:tcW w:w="706"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10.6+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4">
              <w:r>
                <w:rPr>
                  <w:rStyle w:val="InternetLink"/>
                  <w:rFonts w:ascii="Times New Roman;sans-serif" w:hAnsi="Times New Roman;sans-serif"/>
                  <w:b w:val="false"/>
                  <w:color w:val="0000FF"/>
                  <w:sz w:val="20"/>
                  <w:u w:val="single"/>
                </w:rPr>
                <w:t>Form of Stock Option Agreement under the Nautilus Biotechnology, Inc. 2021 Equity Incentive Plan (incorporated by reference to Exhibit 10.7 to the Company’s Form S-4 filed with the SEC on March 26, 2021).</w:t>
              </w:r>
            </w:hyperlink>
          </w:p>
        </w:tc>
      </w:tr>
      <w:tr>
        <w:trPr/>
        <w:tc>
          <w:tcPr>
            <w:tcW w:w="706"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10.7+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35">
              <w:r>
                <w:rPr>
                  <w:rStyle w:val="InternetLink"/>
                  <w:rFonts w:ascii="Times New Roman;sans-serif" w:hAnsi="Times New Roman;sans-serif"/>
                  <w:b w:val="false"/>
                  <w:color w:val="0000FF"/>
                  <w:sz w:val="20"/>
                  <w:u w:val="single"/>
                </w:rPr>
                <w:t>Form of Restricted Stock Unit Agreement under the Nautilus Biotechnology, Inc. 2021 Equity Incentive Plan (incorporated by reference to Exhibit 10.8 to the Company’s Form S-4 filed with the SEC on March 26, 2021).</w:t>
              </w:r>
            </w:hyperlink>
          </w:p>
        </w:tc>
      </w:tr>
      <w:tr>
        <w:trPr/>
        <w:tc>
          <w:tcPr>
            <w:tcW w:w="706"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10.8+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6">
              <w:r>
                <w:rPr>
                  <w:rStyle w:val="InternetLink"/>
                  <w:rFonts w:ascii="Times New Roman;sans-serif" w:hAnsi="Times New Roman;sans-serif"/>
                  <w:b w:val="false"/>
                  <w:color w:val="0000FF"/>
                  <w:sz w:val="20"/>
                  <w:u w:val="single"/>
                </w:rPr>
                <w:t>Form of Restricted Stock Award Agreement under the Nautilus Biotechnology, Inc. 2021 Equity Incentive Plan (incorporated by reference to Exhibit 10.9 to the Company’s Form S-4 filed with the SEC on March 26, 2021).</w:t>
              </w:r>
            </w:hyperlink>
          </w:p>
        </w:tc>
      </w:tr>
      <w:tr>
        <w:trPr/>
        <w:tc>
          <w:tcPr>
            <w:tcW w:w="706"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10.9+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7">
              <w:r>
                <w:rPr>
                  <w:rStyle w:val="InternetLink"/>
                  <w:rFonts w:ascii="Times New Roman;sans-serif" w:hAnsi="Times New Roman;sans-serif"/>
                  <w:b w:val="false"/>
                  <w:color w:val="0000FF"/>
                  <w:sz w:val="20"/>
                  <w:u w:val="single"/>
                </w:rPr>
                <w:t>Nautilus Biotechnology, Inc. 2017 Equity Incentive Plan and forms of agreements thereunder (incorporated by reference to Exhibit 10.11 to the Company’s Form S-4 filed with the SEC on March 26, 2021).</w:t>
              </w:r>
            </w:hyperlink>
          </w:p>
        </w:tc>
      </w:tr>
      <w:tr>
        <w:trPr/>
        <w:tc>
          <w:tcPr>
            <w:tcW w:w="706"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10.10+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8">
              <w:r>
                <w:rPr>
                  <w:rStyle w:val="InternetLink"/>
                  <w:rFonts w:ascii="Times New Roman;sans-serif" w:hAnsi="Times New Roman;sans-serif"/>
                  <w:b w:val="false"/>
                  <w:color w:val="0000FF"/>
                  <w:sz w:val="20"/>
                  <w:u w:val="single"/>
                </w:rPr>
                <w:t>Amended and Restated Confirmatory Employment Letter between Nautilus Biotechnology, Inc. and Sujal Patel, dated as of July 31, 2023 (incorporated by reference to Exhibit 10.1 to the Company’s Quarterly Report on Form 10-Q filed with the SEC on August 2, 2023)</w:t>
              </w:r>
            </w:hyperlink>
          </w:p>
        </w:tc>
      </w:tr>
      <w:tr>
        <w:trPr/>
        <w:tc>
          <w:tcPr>
            <w:tcW w:w="706"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10.11+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9">
              <w:r>
                <w:rPr>
                  <w:rStyle w:val="InternetLink"/>
                  <w:rFonts w:ascii="Times New Roman;sans-serif" w:hAnsi="Times New Roman;sans-serif"/>
                  <w:b w:val="false"/>
                  <w:color w:val="0000FF"/>
                  <w:sz w:val="20"/>
                  <w:u w:val="single"/>
                </w:rPr>
                <w:t>Amended and Restated Confirmatory Employment Letter between Nautilus Biotechnology, Inc. and Parag Mallick, dated as of July 31, 2023 (incorporated by reference to Exhibit 10.2 to the Company’s Quarterly Report on Form 10-Q filed with the SEC on August 2, 2023)</w:t>
              </w:r>
            </w:hyperlink>
          </w:p>
        </w:tc>
      </w:tr>
      <w:tr>
        <w:trPr/>
        <w:tc>
          <w:tcPr>
            <w:tcW w:w="706"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10.12+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0">
              <w:r>
                <w:rPr>
                  <w:rStyle w:val="InternetLink"/>
                  <w:rFonts w:ascii="Times New Roman;sans-serif" w:hAnsi="Times New Roman;sans-serif"/>
                  <w:b w:val="false"/>
                  <w:color w:val="0000FF"/>
                  <w:sz w:val="20"/>
                  <w:u w:val="single"/>
                </w:rPr>
                <w:t>Amended and Restated Confirmatory Employment Letter between Nautilus Biotechnology, Inc. and Anna Mowry, dated as of July 31, 2023 (incorporated by reference to Exhibit 10.3 to the Company’s Quarterly Report on Form 10-Q filed with the SEC on August 2, 2023)</w:t>
              </w:r>
            </w:hyperlink>
          </w:p>
        </w:tc>
      </w:tr>
      <w:tr>
        <w:trPr/>
        <w:tc>
          <w:tcPr>
            <w:tcW w:w="706"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10.13+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1">
              <w:r>
                <w:rPr>
                  <w:rStyle w:val="InternetLink"/>
                  <w:rFonts w:ascii="Times New Roman;sans-serif" w:hAnsi="Times New Roman;sans-serif"/>
                  <w:b w:val="false"/>
                  <w:color w:val="0000FF"/>
                  <w:sz w:val="20"/>
                  <w:u w:val="single"/>
                </w:rPr>
                <w:t>Amended and Restated Confirmatory Employment Letter between Nautilus Biotechnology, Inc. and Nick Nelson, dated of as July 31, 2023 (incorporated by reference to Exhibit 10.4 to the Company’s Quarterly Report on Form 10-Q filed with the SEC on August 2, 2023)</w:t>
              </w:r>
            </w:hyperlink>
          </w:p>
        </w:tc>
      </w:tr>
      <w:tr>
        <w:trPr/>
        <w:tc>
          <w:tcPr>
            <w:tcW w:w="706"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10.14+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2">
              <w:r>
                <w:rPr>
                  <w:rStyle w:val="InternetLink"/>
                  <w:rFonts w:ascii="Times New Roman;sans-serif" w:hAnsi="Times New Roman;sans-serif"/>
                  <w:b w:val="false"/>
                  <w:color w:val="0000FF"/>
                  <w:sz w:val="20"/>
                  <w:u w:val="single"/>
                </w:rPr>
                <w:t>Amended and Restated Confirmatory Employment Letter between Nautilus Biotechnology, Inc. and Gwen Weld, dated as of July 31, 2023 (incorporated by reference to Exhibit 10.5 to the Company’s Quarterly Report on Form 10-Q filed with the SEC on August 2, 2023)</w:t>
              </w:r>
            </w:hyperlink>
          </w:p>
        </w:tc>
      </w:tr>
      <w:tr>
        <w:trPr/>
        <w:tc>
          <w:tcPr>
            <w:tcW w:w="706"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10.15+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3">
              <w:r>
                <w:rPr>
                  <w:rStyle w:val="InternetLink"/>
                  <w:rFonts w:ascii="Times New Roman;sans-serif" w:hAnsi="Times New Roman;sans-serif"/>
                  <w:b w:val="false"/>
                  <w:color w:val="0000FF"/>
                  <w:sz w:val="20"/>
                  <w:u w:val="single"/>
                </w:rPr>
                <w:t>Amended and Restated Confirmatory Employment Letter between Nautilus Biotechnology, Inc. and Subra Sankar, dated as of July 31, 2023 (incorporated by reference to Exhibit 10.7 to the Company’s Quarterly Report on Form 10-Q filed with the SEC on August 2, 2023)</w:t>
              </w:r>
            </w:hyperlink>
          </w:p>
        </w:tc>
      </w:tr>
      <w:tr>
        <w:trPr/>
        <w:tc>
          <w:tcPr>
            <w:tcW w:w="706"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10.16+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4">
              <w:r>
                <w:rPr>
                  <w:rStyle w:val="InternetLink"/>
                  <w:rFonts w:ascii="Times New Roman;sans-serif" w:hAnsi="Times New Roman;sans-serif"/>
                  <w:b w:val="false"/>
                  <w:color w:val="0000FF"/>
                  <w:sz w:val="20"/>
                  <w:u w:val="single"/>
                </w:rPr>
                <w:t>Amended and Restated Confirmatory Employment Letter between Nautilus Biotechnology, Inc. and Matthew Murphy, dated as of July 31, 2023</w:t>
              </w:r>
            </w:hyperlink>
            <w:r>
              <w:rPr>
                <w:color w:val="000000"/>
              </w:rPr>
              <w:t xml:space="preserve"> </w:t>
            </w:r>
            <w:hyperlink r:id="rId45">
              <w:r>
                <w:rPr>
                  <w:rStyle w:val="InternetLink"/>
                  <w:rFonts w:ascii="Times New Roman;sans-serif" w:hAnsi="Times New Roman;sans-serif"/>
                  <w:b w:val="false"/>
                  <w:color w:val="0000FF"/>
                  <w:sz w:val="20"/>
                  <w:u w:val="single"/>
                </w:rPr>
                <w:t>(incorporated by reference to Exhibit 10.8 to the Company’s Quarterly Report on Form 10-Q filed with the SEC on August 2, 2023)</w:t>
              </w:r>
            </w:hyperlink>
          </w:p>
        </w:tc>
      </w:tr>
      <w:tr>
        <w:trPr/>
        <w:tc>
          <w:tcPr>
            <w:tcW w:w="706"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10.17+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6">
              <w:r>
                <w:rPr>
                  <w:rStyle w:val="InternetLink"/>
                  <w:rFonts w:ascii="Times New Roman;sans-serif" w:hAnsi="Times New Roman;sans-serif"/>
                  <w:b w:val="false"/>
                  <w:color w:val="000080"/>
                  <w:sz w:val="20"/>
                  <w:u w:val="single"/>
                </w:rPr>
                <w:t>Offer Letter betwee</w:t>
              </w:r>
            </w:hyperlink>
            <w:hyperlink r:id="rId47">
              <w:r>
                <w:rPr>
                  <w:rStyle w:val="InternetLink"/>
                  <w:rFonts w:ascii="Times New Roman;sans-serif" w:hAnsi="Times New Roman;sans-serif"/>
                  <w:b w:val="false"/>
                  <w:color w:val="000080"/>
                  <w:sz w:val="20"/>
                  <w:u w:val="single"/>
                </w:rPr>
                <w:t>n Nautilus Biotechnology, Inc. and Ken Suzuki, dated as of July 5, 2024 (incorporated by reference to Exhibit 10.1 to the Company</w:t>
              </w:r>
            </w:hyperlink>
            <w:hyperlink r:id="rId48">
              <w:r>
                <w:rPr>
                  <w:rStyle w:val="InternetLink"/>
                  <w:rFonts w:ascii="Times New Roman;sans-serif" w:hAnsi="Times New Roman;sans-serif"/>
                  <w:b w:val="false"/>
                  <w:color w:val="000080"/>
                  <w:sz w:val="20"/>
                  <w:u w:val="single"/>
                </w:rPr>
                <w:t>’</w:t>
              </w:r>
            </w:hyperlink>
            <w:hyperlink r:id="rId49">
              <w:r>
                <w:rPr>
                  <w:rStyle w:val="InternetLink"/>
                  <w:rFonts w:ascii="Times New Roman;sans-serif" w:hAnsi="Times New Roman;sans-serif"/>
                  <w:b w:val="false"/>
                  <w:color w:val="000080"/>
                  <w:sz w:val="20"/>
                  <w:u w:val="single"/>
                </w:rPr>
                <w:t>s Quarterly Report on Form 10-Q filed wit</w:t>
              </w:r>
            </w:hyperlink>
            <w:hyperlink r:id="rId50">
              <w:r>
                <w:rPr>
                  <w:rStyle w:val="InternetLink"/>
                  <w:rFonts w:ascii="Times New Roman;sans-serif" w:hAnsi="Times New Roman;sans-serif"/>
                  <w:b w:val="false"/>
                  <w:color w:val="000080"/>
                  <w:sz w:val="20"/>
                  <w:u w:val="single"/>
                </w:rPr>
                <w:t>h the SEC on Oct</w:t>
              </w:r>
            </w:hyperlink>
            <w:hyperlink r:id="rId51">
              <w:r>
                <w:rPr>
                  <w:rStyle w:val="InternetLink"/>
                  <w:rFonts w:ascii="Times New Roman;sans-serif" w:hAnsi="Times New Roman;sans-serif"/>
                  <w:b w:val="false"/>
                  <w:color w:val="000080"/>
                  <w:sz w:val="20"/>
                  <w:u w:val="single"/>
                </w:rPr>
                <w:t>o</w:t>
              </w:r>
            </w:hyperlink>
            <w:hyperlink r:id="rId52">
              <w:r>
                <w:rPr>
                  <w:rStyle w:val="InternetLink"/>
                  <w:rFonts w:ascii="Times New Roman;sans-serif" w:hAnsi="Times New Roman;sans-serif"/>
                  <w:b w:val="false"/>
                  <w:color w:val="000080"/>
                  <w:sz w:val="20"/>
                  <w:u w:val="single"/>
                </w:rPr>
                <w:t>ber 29, 2024)</w:t>
              </w:r>
            </w:hyperlink>
          </w:p>
        </w:tc>
      </w:tr>
      <w:tr>
        <w:trPr/>
        <w:tc>
          <w:tcPr>
            <w:tcW w:w="706"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10.18+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3">
              <w:r>
                <w:rPr>
                  <w:rStyle w:val="InternetLink"/>
                  <w:rFonts w:ascii="Times New Roman;sans-serif" w:hAnsi="Times New Roman;sans-serif"/>
                  <w:b w:val="false"/>
                  <w:color w:val="0000FF"/>
                  <w:sz w:val="20"/>
                  <w:u w:val="single"/>
                </w:rPr>
                <w:t>Amended and Restated Change in Control and Severance Agreement between Nautilus Biotechnology, Inc. and Sujal Patel, dated as of July 31, 2023</w:t>
              </w:r>
            </w:hyperlink>
            <w:r>
              <w:rPr>
                <w:color w:val="000000"/>
              </w:rPr>
              <w:t xml:space="preserve"> </w:t>
            </w:r>
            <w:hyperlink r:id="rId54">
              <w:r>
                <w:rPr>
                  <w:rStyle w:val="InternetLink"/>
                  <w:rFonts w:ascii="Times New Roman;sans-serif" w:hAnsi="Times New Roman;sans-serif"/>
                  <w:b w:val="false"/>
                  <w:color w:val="0000FF"/>
                  <w:sz w:val="20"/>
                  <w:u w:val="single"/>
                </w:rPr>
                <w:t>(incorporated by reference to Exhibit 10.9 to the Company’s Quarterly Report on Form 10-Q filed with the SEC on August 2, 2023)</w:t>
              </w:r>
            </w:hyperlink>
          </w:p>
        </w:tc>
      </w:tr>
      <w:tr>
        <w:trPr/>
        <w:tc>
          <w:tcPr>
            <w:tcW w:w="706"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10.19+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5">
              <w:r>
                <w:rPr>
                  <w:rStyle w:val="InternetLink"/>
                  <w:rFonts w:ascii="Times New Roman;sans-serif" w:hAnsi="Times New Roman;sans-serif"/>
                  <w:b w:val="false"/>
                  <w:color w:val="0000FF"/>
                  <w:sz w:val="20"/>
                  <w:u w:val="single"/>
                </w:rPr>
                <w:t>Amended and Restated Change in Control and Severance Agreement between Nautilus Biotechnology, Inc. and Parag Mallick, dated as of July 31, 2023</w:t>
              </w:r>
            </w:hyperlink>
            <w:r>
              <w:rPr>
                <w:color w:val="000000"/>
              </w:rPr>
              <w:t xml:space="preserve"> </w:t>
            </w:r>
            <w:hyperlink r:id="rId56">
              <w:r>
                <w:rPr>
                  <w:rStyle w:val="InternetLink"/>
                  <w:rFonts w:ascii="Times New Roman;sans-serif" w:hAnsi="Times New Roman;sans-serif"/>
                  <w:b w:val="false"/>
                  <w:color w:val="0000FF"/>
                  <w:sz w:val="20"/>
                  <w:u w:val="single"/>
                </w:rPr>
                <w:t>(incorporated by reference to Exhibit 10.10 to the Company’s Quarterly Report on Form 10-Q filed with the SEC on August 2, 2023)</w:t>
              </w:r>
            </w:hyperlink>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131445"/>
                <wp:effectExtent l="0" t="0" r="0" b="0"/>
                <wp:wrapNone/>
                <wp:docPr id="129" name="Frame111"/>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111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111</w:t>
                      </w:r>
                    </w:p>
                  </w:txbxContent>
                </v:textbox>
                <w10:wrap type="none"/>
              </v:rect>
            </w:pict>
          </mc:Fallback>
        </mc:AlternateContent>
      </w:r>
    </w:p>
    <w:p>
      <w:pPr>
        <w:pStyle w:val="TextBody"/>
        <w:bidi w:val="0"/>
        <w:spacing w:before="0" w:after="180"/>
        <w:ind w:left="0" w:right="0" w:firstLine="360"/>
        <w:jc w:val="left"/>
        <w:rPr/>
      </w:pPr>
      <w:r>
        <w:rPr/>
      </w:r>
    </w:p>
    <w:tbl>
      <w:tblPr>
        <w:tblW w:w="10205" w:type="dxa"/>
        <w:jc w:val="left"/>
        <w:tblInd w:w="0" w:type="dxa"/>
        <w:tblLayout w:type="fixed"/>
        <w:tblCellMar>
          <w:top w:w="28" w:type="dxa"/>
          <w:left w:w="28" w:type="dxa"/>
          <w:bottom w:w="28" w:type="dxa"/>
          <w:right w:w="28" w:type="dxa"/>
        </w:tblCellMar>
      </w:tblPr>
      <w:tblGrid>
        <w:gridCol w:w="224"/>
        <w:gridCol w:w="197"/>
        <w:gridCol w:w="199"/>
        <w:gridCol w:w="109"/>
        <w:gridCol w:w="109"/>
        <w:gridCol w:w="109"/>
        <w:gridCol w:w="2720"/>
        <w:gridCol w:w="2701"/>
        <w:gridCol w:w="3837"/>
      </w:tblGrid>
      <w:tr>
        <w:trPr/>
        <w:tc>
          <w:tcPr>
            <w:tcW w:w="224"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0" w:type="dxa"/>
            <w:tcBorders/>
            <w:vAlign w:val="center"/>
          </w:tcPr>
          <w:p>
            <w:pPr>
              <w:pStyle w:val="TableContents"/>
              <w:bidi w:val="0"/>
              <w:spacing w:before="0" w:after="283"/>
              <w:jc w:val="left"/>
              <w:rPr>
                <w:sz w:val="4"/>
                <w:szCs w:val="4"/>
              </w:rPr>
            </w:pPr>
            <w:r>
              <w:rPr>
                <w:sz w:val="4"/>
                <w:szCs w:val="4"/>
              </w:rPr>
            </w:r>
          </w:p>
        </w:tc>
        <w:tc>
          <w:tcPr>
            <w:tcW w:w="2701" w:type="dxa"/>
            <w:tcBorders/>
            <w:vAlign w:val="center"/>
          </w:tcPr>
          <w:p>
            <w:pPr>
              <w:pStyle w:val="TableContents"/>
              <w:bidi w:val="0"/>
              <w:spacing w:before="0" w:after="283"/>
              <w:jc w:val="left"/>
              <w:rPr>
                <w:sz w:val="4"/>
                <w:szCs w:val="4"/>
              </w:rPr>
            </w:pPr>
            <w:r>
              <w:rPr>
                <w:sz w:val="4"/>
                <w:szCs w:val="4"/>
              </w:rPr>
            </w:r>
          </w:p>
        </w:tc>
        <w:tc>
          <w:tcPr>
            <w:tcW w:w="3837" w:type="dxa"/>
            <w:tcBorders/>
            <w:vAlign w:val="center"/>
          </w:tcPr>
          <w:p>
            <w:pPr>
              <w:pStyle w:val="TableContents"/>
              <w:bidi w:val="0"/>
              <w:spacing w:before="0" w:after="283"/>
              <w:jc w:val="left"/>
              <w:rPr>
                <w:sz w:val="4"/>
                <w:szCs w:val="4"/>
              </w:rPr>
            </w:pPr>
            <w:r>
              <w:rPr>
                <w:sz w:val="4"/>
                <w:szCs w:val="4"/>
              </w:rPr>
            </w:r>
          </w:p>
        </w:tc>
      </w:tr>
      <w:tr>
        <w:trPr/>
        <w:tc>
          <w:tcPr>
            <w:tcW w:w="620"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10.20+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7">
              <w:r>
                <w:rPr>
                  <w:rStyle w:val="InternetLink"/>
                  <w:rFonts w:ascii="Times New Roman;sans-serif" w:hAnsi="Times New Roman;sans-serif"/>
                  <w:b w:val="false"/>
                  <w:color w:val="0000FF"/>
                  <w:sz w:val="20"/>
                  <w:u w:val="single"/>
                </w:rPr>
                <w:t>Amended and Restated Change in Control and Severance Agreement between Nautilus Biotechnology, Inc. and Anna Mowry, dated as of July 31, 2023</w:t>
              </w:r>
            </w:hyperlink>
            <w:r>
              <w:rPr>
                <w:color w:val="000000"/>
              </w:rPr>
              <w:t xml:space="preserve"> </w:t>
            </w:r>
            <w:hyperlink r:id="rId58">
              <w:r>
                <w:rPr>
                  <w:rStyle w:val="InternetLink"/>
                  <w:rFonts w:ascii="Times New Roman;sans-serif" w:hAnsi="Times New Roman;sans-serif"/>
                  <w:b w:val="false"/>
                  <w:color w:val="0000FF"/>
                  <w:sz w:val="20"/>
                  <w:u w:val="single"/>
                </w:rPr>
                <w:t>(incorporated by reference to Exhibit 10.11 to the Company’s Quarterly Report on Form 10-Q filed with the SEC on August 2, 2023)</w:t>
              </w:r>
            </w:hyperlink>
          </w:p>
        </w:tc>
      </w:tr>
      <w:tr>
        <w:trPr/>
        <w:tc>
          <w:tcPr>
            <w:tcW w:w="620"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10.21+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9">
              <w:r>
                <w:rPr>
                  <w:rStyle w:val="InternetLink"/>
                  <w:rFonts w:ascii="Times New Roman;sans-serif" w:hAnsi="Times New Roman;sans-serif"/>
                  <w:b w:val="false"/>
                  <w:color w:val="0000FF"/>
                  <w:sz w:val="20"/>
                  <w:u w:val="single"/>
                </w:rPr>
                <w:t>Amended and Restated Change in Control and Severance Agreement between Nautilus Biotechnology, Inc. and Nick Nelson, dated as of July 31, 2023</w:t>
              </w:r>
            </w:hyperlink>
            <w:r>
              <w:rPr>
                <w:color w:val="000000"/>
              </w:rPr>
              <w:t xml:space="preserve"> </w:t>
            </w:r>
            <w:hyperlink r:id="rId60">
              <w:r>
                <w:rPr>
                  <w:rStyle w:val="InternetLink"/>
                  <w:rFonts w:ascii="Times New Roman;sans-serif" w:hAnsi="Times New Roman;sans-serif"/>
                  <w:b w:val="false"/>
                  <w:color w:val="0000FF"/>
                  <w:sz w:val="20"/>
                  <w:u w:val="single"/>
                </w:rPr>
                <w:t>(incorporated by reference to Exhibit 10.12 to the Company’s Quarterly Report on Form 10-Q filed with the SEC on August 2, 2023)</w:t>
              </w:r>
            </w:hyperlink>
          </w:p>
        </w:tc>
      </w:tr>
      <w:tr>
        <w:trPr/>
        <w:tc>
          <w:tcPr>
            <w:tcW w:w="620"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10.22+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1">
              <w:r>
                <w:rPr>
                  <w:rStyle w:val="InternetLink"/>
                  <w:rFonts w:ascii="Times New Roman;sans-serif" w:hAnsi="Times New Roman;sans-serif"/>
                  <w:b w:val="false"/>
                  <w:color w:val="0000FF"/>
                  <w:sz w:val="20"/>
                  <w:u w:val="single"/>
                </w:rPr>
                <w:t>Amended and Restated Change in Control and Severance Agreement between Nautilus Biotechnology, Inc. and Gwen Weld, dated as of July 31, 2023</w:t>
              </w:r>
            </w:hyperlink>
            <w:r>
              <w:rPr>
                <w:color w:val="000000"/>
              </w:rPr>
              <w:t xml:space="preserve"> </w:t>
            </w:r>
            <w:hyperlink r:id="rId62">
              <w:r>
                <w:rPr>
                  <w:rStyle w:val="InternetLink"/>
                  <w:rFonts w:ascii="Times New Roman;sans-serif" w:hAnsi="Times New Roman;sans-serif"/>
                  <w:b w:val="false"/>
                  <w:color w:val="0000FF"/>
                  <w:sz w:val="20"/>
                  <w:u w:val="single"/>
                </w:rPr>
                <w:t>(incorporated by reference to Exhibit 10.13 to the Company’s Quarterly Report on Form 10-Q filed with the SEC on August 2, 2023)</w:t>
              </w:r>
            </w:hyperlink>
          </w:p>
        </w:tc>
      </w:tr>
      <w:tr>
        <w:trPr/>
        <w:tc>
          <w:tcPr>
            <w:tcW w:w="620"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10.23+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3">
              <w:r>
                <w:rPr>
                  <w:rStyle w:val="InternetLink"/>
                  <w:rFonts w:ascii="Times New Roman;sans-serif" w:hAnsi="Times New Roman;sans-serif"/>
                  <w:b w:val="false"/>
                  <w:color w:val="0000FF"/>
                  <w:sz w:val="20"/>
                  <w:u w:val="single"/>
                </w:rPr>
                <w:t>Amended and Restated Change in Control and Severance Agreement between Nautilus Biotechnology, Inc. and Subra Sankar, dated as of July 31, 2023</w:t>
              </w:r>
            </w:hyperlink>
            <w:r>
              <w:rPr>
                <w:color w:val="000000"/>
              </w:rPr>
              <w:t xml:space="preserve"> </w:t>
            </w:r>
            <w:hyperlink r:id="rId64">
              <w:r>
                <w:rPr>
                  <w:rStyle w:val="InternetLink"/>
                  <w:rFonts w:ascii="Times New Roman;sans-serif" w:hAnsi="Times New Roman;sans-serif"/>
                  <w:b w:val="false"/>
                  <w:color w:val="0000FF"/>
                  <w:sz w:val="20"/>
                  <w:u w:val="single"/>
                </w:rPr>
                <w:t>(incorporated by reference to Exhibit 10.15 to the Company’s Quarterly Report on Form 10-Q filed with the SEC on August 2, 2023)</w:t>
              </w:r>
            </w:hyperlink>
          </w:p>
        </w:tc>
      </w:tr>
      <w:tr>
        <w:trPr/>
        <w:tc>
          <w:tcPr>
            <w:tcW w:w="620"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10.24+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5">
              <w:r>
                <w:rPr>
                  <w:rStyle w:val="InternetLink"/>
                  <w:rFonts w:ascii="Times New Roman;sans-serif" w:hAnsi="Times New Roman;sans-serif"/>
                  <w:b w:val="false"/>
                  <w:color w:val="0000FF"/>
                  <w:sz w:val="20"/>
                  <w:u w:val="single"/>
                </w:rPr>
                <w:t>Amended and Restated Change in Control and Severance Agreement between Nautilus Biotechnology, Inc. and Matthew Murphy, dated as of July 31, 2023</w:t>
              </w:r>
            </w:hyperlink>
            <w:r>
              <w:rPr>
                <w:color w:val="000000"/>
              </w:rPr>
              <w:t xml:space="preserve"> </w:t>
            </w:r>
            <w:hyperlink r:id="rId66">
              <w:r>
                <w:rPr>
                  <w:rStyle w:val="InternetLink"/>
                  <w:rFonts w:ascii="Times New Roman;sans-serif" w:hAnsi="Times New Roman;sans-serif"/>
                  <w:b w:val="false"/>
                  <w:color w:val="0000FF"/>
                  <w:sz w:val="20"/>
                  <w:u w:val="single"/>
                </w:rPr>
                <w:t>(incorporated by reference to Exhibit 10.16 to the Company’s Quarterly Report on Form 10-Q filed with the SEC on August 2, 2023)</w:t>
              </w:r>
            </w:hyperlink>
          </w:p>
        </w:tc>
      </w:tr>
      <w:tr>
        <w:trPr/>
        <w:tc>
          <w:tcPr>
            <w:tcW w:w="620"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10.25+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7">
              <w:r>
                <w:rPr>
                  <w:rStyle w:val="InternetLink"/>
                  <w:rFonts w:ascii="Times New Roman;sans-serif" w:hAnsi="Times New Roman;sans-serif"/>
                  <w:b w:val="false"/>
                  <w:color w:val="000080"/>
                  <w:sz w:val="20"/>
                  <w:u w:val="single"/>
                </w:rPr>
                <w:t>Change</w:t>
              </w:r>
            </w:hyperlink>
            <w:hyperlink r:id="rId68">
              <w:r>
                <w:rPr>
                  <w:rStyle w:val="InternetLink"/>
                  <w:rFonts w:ascii="Times New Roman;sans-serif" w:hAnsi="Times New Roman;sans-serif"/>
                  <w:b w:val="false"/>
                  <w:color w:val="000080"/>
                  <w:sz w:val="20"/>
                  <w:u w:val="single"/>
                </w:rPr>
                <w:t xml:space="preserve"> in Control and Severa</w:t>
              </w:r>
            </w:hyperlink>
            <w:hyperlink r:id="rId69">
              <w:r>
                <w:rPr>
                  <w:rStyle w:val="InternetLink"/>
                  <w:rFonts w:ascii="Times New Roman;sans-serif" w:hAnsi="Times New Roman;sans-serif"/>
                  <w:b w:val="false"/>
                  <w:color w:val="000080"/>
                  <w:sz w:val="20"/>
                  <w:u w:val="single"/>
                </w:rPr>
                <w:t xml:space="preserve">nce Agreement between Nautilus Biotechnology, Inc. and Ken Suzuki dated </w:t>
              </w:r>
            </w:hyperlink>
            <w:hyperlink r:id="rId70">
              <w:r>
                <w:rPr>
                  <w:rStyle w:val="InternetLink"/>
                  <w:rFonts w:ascii="Times New Roman;sans-serif" w:hAnsi="Times New Roman;sans-serif"/>
                  <w:b w:val="false"/>
                  <w:color w:val="000080"/>
                  <w:sz w:val="20"/>
                  <w:u w:val="single"/>
                </w:rPr>
                <w:t>September 16, 2024 (in</w:t>
              </w:r>
            </w:hyperlink>
            <w:hyperlink r:id="rId71">
              <w:r>
                <w:rPr>
                  <w:rStyle w:val="InternetLink"/>
                  <w:rFonts w:ascii="Times New Roman;sans-serif" w:hAnsi="Times New Roman;sans-serif"/>
                  <w:b w:val="false"/>
                  <w:color w:val="000080"/>
                  <w:sz w:val="20"/>
                  <w:u w:val="single"/>
                </w:rPr>
                <w:t xml:space="preserve">corporated </w:t>
              </w:r>
            </w:hyperlink>
            <w:hyperlink r:id="rId72">
              <w:r>
                <w:rPr>
                  <w:rStyle w:val="InternetLink"/>
                  <w:rFonts w:ascii="Times New Roman;sans-serif" w:hAnsi="Times New Roman;sans-serif"/>
                  <w:b w:val="false"/>
                  <w:color w:val="000080"/>
                  <w:sz w:val="20"/>
                  <w:u w:val="single"/>
                </w:rPr>
                <w:t>by reference to Exhibit 10.2 to the C</w:t>
              </w:r>
            </w:hyperlink>
            <w:hyperlink r:id="rId73">
              <w:r>
                <w:rPr>
                  <w:rStyle w:val="InternetLink"/>
                  <w:rFonts w:ascii="Times New Roman;sans-serif" w:hAnsi="Times New Roman;sans-serif"/>
                  <w:b w:val="false"/>
                  <w:color w:val="000080"/>
                  <w:sz w:val="20"/>
                  <w:u w:val="single"/>
                </w:rPr>
                <w:t>ompany</w:t>
              </w:r>
            </w:hyperlink>
            <w:hyperlink r:id="rId74">
              <w:r>
                <w:rPr>
                  <w:rStyle w:val="InternetLink"/>
                  <w:rFonts w:ascii="Times New Roman;sans-serif" w:hAnsi="Times New Roman;sans-serif"/>
                  <w:b w:val="false"/>
                  <w:color w:val="000080"/>
                  <w:sz w:val="20"/>
                  <w:u w:val="single"/>
                </w:rPr>
                <w:t>’</w:t>
              </w:r>
            </w:hyperlink>
            <w:hyperlink r:id="rId75">
              <w:r>
                <w:rPr>
                  <w:rStyle w:val="InternetLink"/>
                  <w:rFonts w:ascii="Times New Roman;sans-serif" w:hAnsi="Times New Roman;sans-serif"/>
                  <w:b w:val="false"/>
                  <w:color w:val="000080"/>
                  <w:sz w:val="20"/>
                  <w:u w:val="single"/>
                </w:rPr>
                <w:t xml:space="preserve">s Quarterly Report on Form 10-Q filed with the SEC on </w:t>
              </w:r>
            </w:hyperlink>
            <w:hyperlink r:id="rId76">
              <w:r>
                <w:rPr>
                  <w:rStyle w:val="InternetLink"/>
                  <w:rFonts w:ascii="Times New Roman;sans-serif" w:hAnsi="Times New Roman;sans-serif"/>
                  <w:b w:val="false"/>
                  <w:color w:val="000080"/>
                  <w:sz w:val="20"/>
                  <w:u w:val="single"/>
                </w:rPr>
                <w:t>October 29, 2024)</w:t>
              </w:r>
            </w:hyperlink>
          </w:p>
        </w:tc>
      </w:tr>
      <w:tr>
        <w:trPr/>
        <w:tc>
          <w:tcPr>
            <w:tcW w:w="620"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10.26+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7">
              <w:r>
                <w:rPr>
                  <w:rStyle w:val="InternetLink"/>
                  <w:rFonts w:ascii="Times New Roman;sans-serif" w:hAnsi="Times New Roman;sans-serif"/>
                  <w:b w:val="false"/>
                  <w:color w:val="0000FF"/>
                  <w:sz w:val="20"/>
                  <w:u w:val="single"/>
                </w:rPr>
                <w:t>Form of Nautilus Biotechnology, Inc. Indemnification Agreement (incorporated by reference to Exhibit 10.24 to the Company’s Form S-4/A filed with the SEC on April 26, 2021).</w:t>
              </w:r>
            </w:hyperlink>
          </w:p>
        </w:tc>
      </w:tr>
      <w:tr>
        <w:trPr/>
        <w:tc>
          <w:tcPr>
            <w:tcW w:w="620"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10.27+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8">
              <w:r>
                <w:rPr>
                  <w:rStyle w:val="InternetLink"/>
                  <w:rFonts w:ascii="Times New Roman;sans-serif" w:hAnsi="Times New Roman;sans-serif"/>
                  <w:b w:val="false"/>
                  <w:color w:val="0000FF"/>
                  <w:sz w:val="20"/>
                  <w:u w:val="single"/>
                </w:rPr>
                <w:t>Nautilus Biotechnology, Inc. Executive Incentive Compensation Plan (incorporated by reference to Exhibit 10.25 to the Company’s Form S-4/A filed with the SEC on April 26, 2021).</w:t>
              </w:r>
            </w:hyperlink>
          </w:p>
        </w:tc>
      </w:tr>
      <w:tr>
        <w:trPr/>
        <w:tc>
          <w:tcPr>
            <w:tcW w:w="620"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10.28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8"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79">
              <w:r>
                <w:rPr>
                  <w:rStyle w:val="InternetLink"/>
                  <w:rFonts w:ascii="Times New Roman;sans-serif" w:hAnsi="Times New Roman;sans-serif"/>
                  <w:b w:val="false"/>
                  <w:color w:val="000080"/>
                  <w:sz w:val="20"/>
                  <w:u w:val="single"/>
                </w:rPr>
                <w:t xml:space="preserve">Sales Agreement, dated as of February 28, 2024, between Nautilus </w:t>
              </w:r>
            </w:hyperlink>
            <w:hyperlink r:id="rId80">
              <w:r>
                <w:rPr>
                  <w:rStyle w:val="InternetLink"/>
                  <w:rFonts w:ascii="Times New Roman;sans-serif" w:hAnsi="Times New Roman;sans-serif"/>
                  <w:b w:val="false"/>
                  <w:color w:val="000080"/>
                  <w:sz w:val="20"/>
                  <w:u w:val="single"/>
                </w:rPr>
                <w:t>Biotechn</w:t>
              </w:r>
            </w:hyperlink>
            <w:hyperlink r:id="rId81">
              <w:r>
                <w:rPr>
                  <w:rStyle w:val="InternetLink"/>
                  <w:rFonts w:ascii="Times New Roman;sans-serif" w:hAnsi="Times New Roman;sans-serif"/>
                  <w:b w:val="false"/>
                  <w:color w:val="000080"/>
                  <w:sz w:val="20"/>
                  <w:u w:val="single"/>
                </w:rPr>
                <w:t>ology</w:t>
              </w:r>
            </w:hyperlink>
            <w:hyperlink r:id="rId82">
              <w:r>
                <w:rPr>
                  <w:rStyle w:val="InternetLink"/>
                  <w:rFonts w:ascii="Times New Roman;sans-serif" w:hAnsi="Times New Roman;sans-serif"/>
                  <w:b w:val="false"/>
                  <w:color w:val="000080"/>
                  <w:sz w:val="20"/>
                  <w:u w:val="single"/>
                </w:rPr>
                <w:t>, Inc. and Cowen and Company, LLC</w:t>
              </w:r>
            </w:hyperlink>
            <w:hyperlink r:id="rId83">
              <w:r>
                <w:rPr>
                  <w:rStyle w:val="InternetLink"/>
                  <w:rFonts w:ascii="Times New Roman;sans-serif" w:hAnsi="Times New Roman;sans-serif"/>
                  <w:b w:val="false"/>
                  <w:color w:val="000080"/>
                  <w:sz w:val="20"/>
                  <w:u w:val="single"/>
                </w:rPr>
                <w:t xml:space="preserve"> (incorporated by reference to Exhibit 1.1 to the Company</w:t>
              </w:r>
            </w:hyperlink>
            <w:hyperlink r:id="rId84">
              <w:r>
                <w:rPr>
                  <w:rStyle w:val="InternetLink"/>
                  <w:rFonts w:ascii="Times New Roman;sans-serif" w:hAnsi="Times New Roman;sans-serif"/>
                  <w:b w:val="false"/>
                  <w:color w:val="000080"/>
                  <w:sz w:val="20"/>
                  <w:u w:val="single"/>
                </w:rPr>
                <w:t>’</w:t>
              </w:r>
            </w:hyperlink>
            <w:hyperlink r:id="rId85">
              <w:r>
                <w:rPr>
                  <w:rStyle w:val="InternetLink"/>
                  <w:rFonts w:ascii="Times New Roman;sans-serif" w:hAnsi="Times New Roman;sans-serif"/>
                  <w:b w:val="false"/>
                  <w:color w:val="000080"/>
                  <w:sz w:val="20"/>
                  <w:u w:val="single"/>
                </w:rPr>
                <w:t>s Current Report on Form 8-K filed with the SEC on February 28, 2024)</w:t>
              </w:r>
            </w:hyperlink>
          </w:p>
        </w:tc>
      </w:tr>
      <w:tr>
        <w:trPr/>
        <w:tc>
          <w:tcPr>
            <w:tcW w:w="620"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19.1*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8"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exhibit191insidertradingpo.htm">
              <w:r>
                <w:rPr>
                  <w:rStyle w:val="InternetLink"/>
                  <w:rFonts w:ascii="Times New Roman;sans-serif" w:hAnsi="Times New Roman;sans-serif"/>
                  <w:b w:val="false"/>
                  <w:color w:val="000080"/>
                  <w:sz w:val="20"/>
                  <w:u w:val="single"/>
                </w:rPr>
                <w:t>Nauti</w:t>
              </w:r>
            </w:hyperlink>
            <w:hyperlink w:anchor="exhibit191insidertradingpo.htm">
              <w:r>
                <w:rPr>
                  <w:rStyle w:val="InternetLink"/>
                  <w:rFonts w:ascii="Times New Roman;sans-serif" w:hAnsi="Times New Roman;sans-serif"/>
                  <w:b w:val="false"/>
                  <w:color w:val="000080"/>
                  <w:sz w:val="20"/>
                  <w:u w:val="single"/>
                </w:rPr>
                <w:t xml:space="preserve">lus Biotechnology, Inc. Insider Trading </w:t>
              </w:r>
            </w:hyperlink>
            <w:hyperlink w:anchor="exhibit191insidertradingpo.htm">
              <w:r>
                <w:rPr>
                  <w:rStyle w:val="InternetLink"/>
                  <w:rFonts w:ascii="Times New Roman;sans-serif" w:hAnsi="Times New Roman;sans-serif"/>
                  <w:b w:val="false"/>
                  <w:color w:val="000080"/>
                  <w:sz w:val="20"/>
                  <w:u w:val="single"/>
                </w:rPr>
                <w:t>Policy</w:t>
              </w:r>
            </w:hyperlink>
          </w:p>
        </w:tc>
      </w:tr>
      <w:tr>
        <w:trPr/>
        <w:tc>
          <w:tcPr>
            <w:tcW w:w="62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8"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86">
              <w:r>
                <w:rPr>
                  <w:rStyle w:val="InternetLink"/>
                  <w:rFonts w:ascii="Times New Roman;sans-serif" w:hAnsi="Times New Roman;sans-serif"/>
                  <w:b w:val="false"/>
                  <w:color w:val="0000FF"/>
                  <w:sz w:val="20"/>
                  <w:u w:val="single"/>
                </w:rPr>
                <w:t>List of Subsidiaries of the Registrant (incorporated by reference to Exhibit 21.1 to the Company’s Annual Report on Form 10-K filed with the SEC on February 24, 2022).</w:t>
              </w:r>
            </w:hyperlink>
          </w:p>
        </w:tc>
      </w:tr>
      <w:tr>
        <w:trPr/>
        <w:tc>
          <w:tcPr>
            <w:tcW w:w="6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231-consentofpricew.htm">
              <w:r>
                <w:rPr>
                  <w:rStyle w:val="InternetLink"/>
                  <w:rFonts w:ascii="Times New Roman;sans-serif" w:hAnsi="Times New Roman;sans-serif"/>
                  <w:b w:val="false"/>
                  <w:color w:val="0000FF"/>
                  <w:sz w:val="20"/>
                  <w:u w:val="single"/>
                </w:rPr>
                <w:t>Consent of Independent Registered Public Accounting Firm</w:t>
              </w:r>
            </w:hyperlink>
          </w:p>
        </w:tc>
      </w:tr>
      <w:tr>
        <w:trPr/>
        <w:tc>
          <w:tcPr>
            <w:tcW w:w="6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11-q424.htm">
              <w:r>
                <w:rPr>
                  <w:rStyle w:val="InternetLink"/>
                  <w:rFonts w:ascii="Times New Roman;sans-serif" w:hAnsi="Times New Roman;sans-serif"/>
                  <w:b w:val="false"/>
                  <w:color w:val="0000FF"/>
                  <w:sz w:val="20"/>
                  <w:u w:val="single"/>
                </w:rPr>
                <w:t>Certification of Principal Executive Officer Pursuant to Rules 13a-14(a) and 15d-14(a) under the Securities Exchange Act of 1934, as Adopted Pursuant to Section 302 of the Sarbanes-Oxley Act of 2002.</w:t>
              </w:r>
            </w:hyperlink>
          </w:p>
        </w:tc>
      </w:tr>
      <w:tr>
        <w:trPr/>
        <w:tc>
          <w:tcPr>
            <w:tcW w:w="6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12-q424.htm">
              <w:r>
                <w:rPr>
                  <w:rStyle w:val="InternetLink"/>
                  <w:rFonts w:ascii="Times New Roman;sans-serif" w:hAnsi="Times New Roman;sans-serif"/>
                  <w:b w:val="false"/>
                  <w:color w:val="0000FF"/>
                  <w:sz w:val="20"/>
                  <w:u w:val="single"/>
                </w:rPr>
                <w:t>Certification of Principal Financial Officer Pursuant to Rules 13a-14(a) and 15d-14(a) under the Securities Exchange Act of 1934, as Adopted Pursuant to Section 302 of the Sarbanes-Oxley Act of 2002.</w:t>
              </w:r>
            </w:hyperlink>
          </w:p>
        </w:tc>
      </w:tr>
      <w:tr>
        <w:trPr/>
        <w:tc>
          <w:tcPr>
            <w:tcW w:w="62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32.1*</w:t>
            </w: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21-q424.htm">
              <w:r>
                <w:rPr>
                  <w:rStyle w:val="InternetLink"/>
                  <w:rFonts w:ascii="Times New Roman;sans-serif" w:hAnsi="Times New Roman;sans-serif"/>
                  <w:b w:val="false"/>
                  <w:color w:val="0000FF"/>
                  <w:sz w:val="20"/>
                  <w:u w:val="single"/>
                </w:rPr>
                <w:t>Certification of Principal Executive Officer Pursuant to 18 U.S.C. Section 1350, as Adopted Pursuant to Section 906 of the Sarbanes-Oxley Act of 2002.</w:t>
              </w:r>
            </w:hyperlink>
          </w:p>
        </w:tc>
      </w:tr>
      <w:tr>
        <w:trPr/>
        <w:tc>
          <w:tcPr>
            <w:tcW w:w="62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32.2*</w:t>
            </w: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22-q424.htm">
              <w:r>
                <w:rPr>
                  <w:rStyle w:val="InternetLink"/>
                  <w:rFonts w:ascii="Times New Roman;sans-serif" w:hAnsi="Times New Roman;sans-serif"/>
                  <w:b w:val="false"/>
                  <w:color w:val="0000FF"/>
                  <w:sz w:val="20"/>
                  <w:u w:val="single"/>
                </w:rPr>
                <w:t>Certification of Principal Financial Officer Pursuant to 18 U.S.C. Section 1350, as Adopted Pursuant to Section 906 of the Sarbanes-Oxley Act of 2002.</w:t>
              </w:r>
            </w:hyperlink>
          </w:p>
        </w:tc>
      </w:tr>
      <w:tr>
        <w:trPr/>
        <w:tc>
          <w:tcPr>
            <w:tcW w:w="620"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97.1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87">
              <w:r>
                <w:rPr>
                  <w:rStyle w:val="InternetLink"/>
                  <w:rFonts w:ascii="Times New Roman;sans-serif" w:hAnsi="Times New Roman;sans-serif"/>
                  <w:b w:val="false"/>
                  <w:color w:val="0000FF"/>
                  <w:sz w:val="20"/>
                  <w:u w:val="single"/>
                </w:rPr>
                <w:t>Nautilus Biotechnology, Inc. Compensation Recovery Policy as adopted on October 24, 2023 (incorporated by reference to Exhibit 97.1 to the Company’s Annual Report on Form 10-K filed with the SEC on February 28, 2024).</w:t>
              </w:r>
            </w:hyperlink>
            <w:r>
              <w:rPr>
                <w:color w:val="000000"/>
              </w:rPr>
              <w:t xml:space="preserve"> </w:t>
            </w:r>
          </w:p>
        </w:tc>
      </w:tr>
      <w:tr>
        <w:trPr/>
        <w:tc>
          <w:tcPr>
            <w:tcW w:w="6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Instance Document – the instance document does not appear in the Interactive Data File because XBRL tags are embedded within the Inline XBRL document</w:t>
            </w:r>
          </w:p>
        </w:tc>
      </w:tr>
      <w:tr>
        <w:trPr/>
        <w:tc>
          <w:tcPr>
            <w:tcW w:w="62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Schema Document</w:t>
            </w:r>
          </w:p>
        </w:tc>
      </w:tr>
      <w:tr>
        <w:trPr/>
        <w:tc>
          <w:tcPr>
            <w:tcW w:w="62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Calculation Linkbase Document</w:t>
            </w:r>
          </w:p>
        </w:tc>
      </w:tr>
      <w:tr>
        <w:trPr/>
        <w:tc>
          <w:tcPr>
            <w:tcW w:w="62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Definition Linkbase Document</w:t>
            </w:r>
          </w:p>
        </w:tc>
      </w:tr>
      <w:tr>
        <w:trPr/>
        <w:tc>
          <w:tcPr>
            <w:tcW w:w="6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Label Linkbase Document</w:t>
            </w:r>
          </w:p>
        </w:tc>
      </w:tr>
      <w:tr>
        <w:trPr/>
        <w:tc>
          <w:tcPr>
            <w:tcW w:w="6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Presentation Linkbase Document</w:t>
            </w:r>
          </w:p>
        </w:tc>
      </w:tr>
      <w:tr>
        <w:trPr/>
        <w:tc>
          <w:tcPr>
            <w:tcW w:w="6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(embedded with the Inline XBRL document)</w:t>
            </w:r>
          </w:p>
        </w:tc>
      </w:tr>
    </w:tbl>
    <w:p>
      <w:pPr>
        <w:pStyle w:val="TextBody"/>
        <w:bidi w:val="0"/>
        <w:spacing w:lineRule="auto" w:line="288" w:before="0" w:after="0"/>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__________________</w:t>
      </w:r>
    </w:p>
    <w:p>
      <w:pPr>
        <w:pStyle w:val="TextBody"/>
        <w:bidi w:val="0"/>
        <w:spacing w:lineRule="auto" w:line="288" w:before="0" w:after="0"/>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 Filed herewith.</w:t>
      </w:r>
    </w:p>
    <w:p>
      <w:pPr>
        <w:pStyle w:val="TextBody"/>
        <w:bidi w:val="0"/>
        <w:spacing w:lineRule="auto" w:line="288" w:before="0" w:after="0"/>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 Indicates management contract or compensatory plan.</w:t>
      </w:r>
    </w:p>
    <w:p>
      <w:pPr>
        <w:pStyle w:val="TextBody"/>
        <w:bidi w:val="0"/>
        <w:spacing w:lineRule="auto" w:line="288" w:before="0" w:after="0"/>
        <w:ind w:left="0" w:right="0" w:hanging="360"/>
        <w:jc w:val="left"/>
        <w:rPr>
          <w:color w:val="000000"/>
        </w:rPr>
      </w:pPr>
      <w:r>
        <w:rPr>
          <w:color w:val="000000"/>
        </w:rPr>
        <w:t xml:space="preserve">† </w:t>
      </w:r>
      <w:r>
        <w:rPr>
          <w:rFonts w:ascii="Times New Roman;sans-serif" w:hAnsi="Times New Roman;sans-serif"/>
          <w:b w:val="false"/>
          <w:color w:val="000000"/>
          <w:sz w:val="16"/>
        </w:rPr>
        <w:t>The certifications attached as Exhibit 32.1 and 32.2 that accompany this Annual Report on Form 10-K are deemed furnished and not filed with the Securities and Exchange Commission and are not to be incorporated by reference into any filing of Nautilus Biotechnology, Inc. under the Securities Act of 1933, as amended, or the Securities Exchange Act of 1934, as amended, whether made before or after the date of this Annual Report on Form 10-K, irrespective of any general incorporation language contained in such filing.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131445"/>
                <wp:effectExtent l="0" t="0" r="0" b="0"/>
                <wp:wrapNone/>
                <wp:docPr id="130" name="Frame11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112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112</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Item 16. Form 10-K Summary </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131445"/>
                <wp:effectExtent l="0" t="0" r="0" b="0"/>
                <wp:wrapNone/>
                <wp:docPr id="131" name="Frame11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113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113</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Section 13 or 15(d) of the Exchange Act the Registrant has duly caused this Annual Report to be signed on its behalf by the undersigned, thereunto duly authorized.</w:t>
      </w:r>
    </w:p>
    <w:tbl>
      <w:tblPr>
        <w:tblW w:w="3720" w:type="dxa"/>
        <w:jc w:val="right"/>
        <w:tblInd w:w="0" w:type="dxa"/>
        <w:tblLayout w:type="fixed"/>
        <w:tblCellMar>
          <w:top w:w="28" w:type="dxa"/>
          <w:left w:w="28" w:type="dxa"/>
          <w:bottom w:w="28" w:type="dxa"/>
          <w:right w:w="28" w:type="dxa"/>
        </w:tblCellMar>
      </w:tblPr>
      <w:tblGrid>
        <w:gridCol w:w="599"/>
        <w:gridCol w:w="526"/>
        <w:gridCol w:w="526"/>
        <w:gridCol w:w="605"/>
        <w:gridCol w:w="605"/>
        <w:gridCol w:w="859"/>
      </w:tblGrid>
      <w:tr>
        <w:trPr/>
        <w:tc>
          <w:tcPr>
            <w:tcW w:w="599"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r>
      <w:tr>
        <w:trPr/>
        <w:tc>
          <w:tcPr>
            <w:tcW w:w="3720"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NAUTILUS BIOTECHNOLOGY, INC.</w:t>
            </w:r>
          </w:p>
        </w:tc>
      </w:tr>
      <w:tr>
        <w:trPr/>
        <w:tc>
          <w:tcPr>
            <w:tcW w:w="16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0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 Sujal Patel </w:t>
            </w:r>
          </w:p>
        </w:tc>
      </w:tr>
      <w:tr>
        <w:trPr/>
        <w:tc>
          <w:tcPr>
            <w:tcW w:w="16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Sujal Patel</w:t>
            </w:r>
          </w:p>
        </w:tc>
      </w:tr>
      <w:tr>
        <w:trPr/>
        <w:tc>
          <w:tcPr>
            <w:tcW w:w="16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r>
    </w:tbl>
    <w:p>
      <w:pPr>
        <w:pStyle w:val="TextBody"/>
        <w:bidi w:val="0"/>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POWER OF ATTORNEY</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KNOW ALL PERSONS BY THESE PRESENTS, that each person whose signature appears below hereby constitutes and appoints Sujal Patel and Anna Mowry, and each of them, as his or her true and lawful attorney-in-fact and agent with full power of substitution, for him or her in any and all capacities, to sign any and all amendments to this Annual Report on Form 10-K, and to file the same, with all exhibits thereto and other documents in connection therewith, with the Securities and Exchange Commission, granting unto said attorney-in-fact, proxy and agent full power and authority to do and perform each and every act and thing requisite and necessary to be done in connection therewith, as fully for all intents and purposes as he or she might or could do in person, hereby ratifying and confirming all that said attorney-in-fact, proxy and agent, or his or her substitute, may lawfully do or cause to be done by virtue hereof.</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as amended, this report has been signed by the following persons in the capacities and on the dates indicated: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131445"/>
                <wp:effectExtent l="0" t="0" r="0" b="0"/>
                <wp:wrapNone/>
                <wp:docPr id="132" name="Frame11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114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114</w:t>
                      </w:r>
                    </w:p>
                  </w:txbxContent>
                </v:textbox>
                <w10:wrap type="none"/>
              </v:rect>
            </w:pict>
          </mc:Fallback>
        </mc:AlternateContent>
      </w:r>
    </w:p>
    <w:p>
      <w:pPr>
        <w:pStyle w:val="TextBody"/>
        <w:bidi w:val="0"/>
        <w:spacing w:before="0" w:after="180"/>
        <w:ind w:left="0" w:right="0" w:firstLine="360"/>
        <w:jc w:val="left"/>
        <w:rPr/>
      </w:pPr>
      <w:r>
        <w:rPr/>
      </w:r>
    </w:p>
    <w:tbl>
      <w:tblPr>
        <w:tblW w:w="8106" w:type="dxa"/>
        <w:jc w:val="left"/>
        <w:tblInd w:w="0" w:type="dxa"/>
        <w:tblLayout w:type="fixed"/>
        <w:tblCellMar>
          <w:top w:w="28" w:type="dxa"/>
          <w:left w:w="28" w:type="dxa"/>
          <w:bottom w:w="28" w:type="dxa"/>
          <w:right w:w="28" w:type="dxa"/>
        </w:tblCellMar>
      </w:tblPr>
      <w:tblGrid>
        <w:gridCol w:w="352"/>
        <w:gridCol w:w="309"/>
        <w:gridCol w:w="309"/>
        <w:gridCol w:w="309"/>
        <w:gridCol w:w="309"/>
        <w:gridCol w:w="315"/>
        <w:gridCol w:w="109"/>
        <w:gridCol w:w="109"/>
        <w:gridCol w:w="109"/>
        <w:gridCol w:w="1299"/>
        <w:gridCol w:w="1299"/>
        <w:gridCol w:w="1316"/>
        <w:gridCol w:w="109"/>
        <w:gridCol w:w="109"/>
        <w:gridCol w:w="109"/>
        <w:gridCol w:w="477"/>
        <w:gridCol w:w="477"/>
        <w:gridCol w:w="681"/>
      </w:tblGrid>
      <w:tr>
        <w:trPr/>
        <w:tc>
          <w:tcPr>
            <w:tcW w:w="352"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r>
      <w:tr>
        <w:trPr/>
        <w:tc>
          <w:tcPr>
            <w:tcW w:w="1903" w:type="dxa"/>
            <w:gridSpan w:val="6"/>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Signature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Date</w:t>
            </w:r>
          </w:p>
        </w:tc>
      </w:tr>
      <w:tr>
        <w:trPr/>
        <w:tc>
          <w:tcPr>
            <w:tcW w:w="9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3"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 Sujal Patel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 President and 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27, 2025</w:t>
            </w:r>
          </w:p>
        </w:tc>
      </w:tr>
      <w:tr>
        <w:trPr/>
        <w:tc>
          <w:tcPr>
            <w:tcW w:w="1903"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Sujal Patel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3"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 Anna Mowry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27, 2025</w:t>
            </w:r>
          </w:p>
        </w:tc>
      </w:tr>
      <w:tr>
        <w:trPr/>
        <w:tc>
          <w:tcPr>
            <w:tcW w:w="1903"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Anna Mowry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Financial and Accounting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3"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 Michael Altman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27, 2025</w:t>
            </w:r>
          </w:p>
        </w:tc>
      </w:tr>
      <w:tr>
        <w:trPr/>
        <w:tc>
          <w:tcPr>
            <w:tcW w:w="1903"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Michael Altman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3"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 Melissa Epperly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27, 2025</w:t>
            </w:r>
          </w:p>
        </w:tc>
      </w:tr>
      <w:tr>
        <w:trPr/>
        <w:tc>
          <w:tcPr>
            <w:tcW w:w="1903"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Melissa Epperly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3"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 Parag Mallick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27, 2025</w:t>
            </w:r>
          </w:p>
        </w:tc>
      </w:tr>
      <w:tr>
        <w:trPr/>
        <w:tc>
          <w:tcPr>
            <w:tcW w:w="1903"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Parag Mallick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3"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 Matthew McIlwain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27, 2025</w:t>
            </w:r>
          </w:p>
        </w:tc>
      </w:tr>
      <w:tr>
        <w:trPr/>
        <w:tc>
          <w:tcPr>
            <w:tcW w:w="1903"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Matthew McIlwain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3"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 Farzad Nazem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27, 2025</w:t>
            </w:r>
          </w:p>
        </w:tc>
      </w:tr>
      <w:tr>
        <w:trPr/>
        <w:tc>
          <w:tcPr>
            <w:tcW w:w="1903"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Farzad Nazem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3"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 Vijay Pande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27, 2025</w:t>
            </w:r>
          </w:p>
        </w:tc>
      </w:tr>
      <w:tr>
        <w:trPr/>
        <w:tc>
          <w:tcPr>
            <w:tcW w:w="1903"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Vijay Pande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3"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 Matthew L. Posard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27, 2025</w:t>
            </w:r>
          </w:p>
        </w:tc>
      </w:tr>
      <w:tr>
        <w:trPr/>
        <w:tc>
          <w:tcPr>
            <w:tcW w:w="1903"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Matthew L. Posard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3"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 Karen Akinsanya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27, 2025</w:t>
            </w:r>
          </w:p>
        </w:tc>
      </w:tr>
      <w:tr>
        <w:trPr/>
        <w:tc>
          <w:tcPr>
            <w:tcW w:w="1903"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Karen Akinsanya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0"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9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5" w:type="dxa"/>
            <w:gridSpan w:val="3"/>
            <w:tcBorders/>
            <w:vAlign w:val="center"/>
          </w:tcPr>
          <w:p>
            <w:pPr>
              <w:pStyle w:val="TableContents"/>
              <w:bidi w:val="0"/>
              <w:spacing w:before="0" w:after="283"/>
              <w:jc w:val="left"/>
              <w:rPr>
                <w:sz w:val="4"/>
                <w:szCs w:val="4"/>
              </w:rPr>
            </w:pPr>
            <w:r>
              <w:rPr>
                <w:sz w:val="4"/>
                <w:szCs w:val="4"/>
              </w:rPr>
            </w:r>
          </w:p>
        </w:tc>
      </w:tr>
      <w:tr>
        <w:trPr/>
        <w:tc>
          <w:tcPr>
            <w:tcW w:w="970"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9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19.1</w:t>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131445"/>
                <wp:effectExtent l="0" t="0" r="0" b="0"/>
                <wp:wrapNone/>
                <wp:docPr id="133" name="Frame11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115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115</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NAUTILUS BIOTECHNOLOGY, INC.</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INSIDER TRADING POLICY</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(As amended and restated on October 15, 2024)</w:t>
      </w:r>
    </w:p>
    <w:p>
      <w:pPr>
        <w:pStyle w:val="TextBody"/>
        <w:bidi w:val="0"/>
        <w:spacing w:before="0" w:after="0"/>
        <w:jc w:val="center"/>
        <w:rPr/>
      </w:pPr>
      <w:r>
        <w:rPr/>
      </w:r>
    </w:p>
    <w:p>
      <w:pPr>
        <w:pStyle w:val="TextBody"/>
        <w:bidi w:val="0"/>
        <w:spacing w:lineRule="auto" w:line="288" w:before="0" w:after="0"/>
        <w:ind w:left="0" w:right="0" w:hanging="720"/>
        <w:jc w:val="left"/>
        <w:rPr>
          <w:rFonts w:ascii="Times New Roman;sans-serif" w:hAnsi="Times New Roman;sans-serif"/>
          <w:b/>
          <w:color w:val="000000"/>
          <w:sz w:val="20"/>
        </w:rPr>
      </w:pPr>
      <w:r>
        <w:rPr>
          <w:rFonts w:ascii="Times New Roman;sans-serif" w:hAnsi="Times New Roman;sans-serif"/>
          <w:b/>
          <w:color w:val="000000"/>
          <w:sz w:val="20"/>
        </w:rPr>
        <w:t>A.POLICY OVERVIEW</w:t>
      </w:r>
    </w:p>
    <w:p>
      <w:pPr>
        <w:pStyle w:val="TextBody"/>
        <w:bidi w:val="0"/>
        <w:spacing w:before="0" w:after="0"/>
        <w:ind w:left="0" w:right="0" w:hanging="360"/>
        <w:jc w:val="left"/>
        <w:rPr/>
      </w:pPr>
      <w:r>
        <w:rPr/>
      </w:r>
    </w:p>
    <w:p>
      <w:pPr>
        <w:pStyle w:val="TextBody"/>
        <w:bidi w:val="0"/>
        <w:spacing w:lineRule="auto" w:line="288" w:before="0" w:after="0"/>
        <w:ind w:left="0" w:right="0" w:firstLine="720"/>
        <w:jc w:val="left"/>
        <w:rPr/>
      </w:pPr>
      <w:r>
        <w:rPr>
          <w:rFonts w:ascii="Times New Roman;sans-serif" w:hAnsi="Times New Roman;sans-serif"/>
          <w:b w:val="false"/>
          <w:color w:val="000000"/>
          <w:sz w:val="20"/>
        </w:rPr>
        <w:t>Nautilus Biotechnology, Inc. (together with any subsidiaries, collectively the “</w:t>
      </w:r>
      <w:r>
        <w:rPr>
          <w:rFonts w:ascii="Times New Roman;sans-serif" w:hAnsi="Times New Roman;sans-serif"/>
          <w:b/>
          <w:color w:val="000000"/>
          <w:sz w:val="20"/>
        </w:rPr>
        <w:t>Company</w:t>
      </w:r>
      <w:r>
        <w:rPr>
          <w:color w:val="000000"/>
        </w:rPr>
        <w:t>”</w:t>
      </w:r>
      <w:r>
        <w:rPr>
          <w:rFonts w:ascii="Times New Roman;sans-serif" w:hAnsi="Times New Roman;sans-serif"/>
          <w:b w:val="false"/>
          <w:color w:val="000000"/>
          <w:sz w:val="20"/>
        </w:rPr>
        <w:t>) has adopted this Insider Trading Policy (the “</w:t>
      </w:r>
      <w:r>
        <w:rPr>
          <w:rFonts w:ascii="Times New Roman;sans-serif" w:hAnsi="Times New Roman;sans-serif"/>
          <w:b/>
          <w:color w:val="000000"/>
          <w:sz w:val="20"/>
        </w:rPr>
        <w:t>Policy</w:t>
      </w:r>
      <w:r>
        <w:rPr>
          <w:color w:val="000000"/>
        </w:rPr>
        <w:t>”</w:t>
      </w:r>
      <w:r>
        <w:rPr>
          <w:rFonts w:ascii="Times New Roman;sans-serif" w:hAnsi="Times New Roman;sans-serif"/>
          <w:b w:val="false"/>
          <w:color w:val="000000"/>
          <w:sz w:val="20"/>
        </w:rPr>
        <w:t>) to help you comply with the federal and state securities laws and regulations that govern trading in securities and to help the Company minimize its own legal and reputational risk. This Policy amends and restates any prior policy previously adopted by the Company regarding the subject matter hereof.</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It is your responsibility to understand and follow this Policy. Insider trading is illegal and a violation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of this Policy. In addition to your own liability for insider trading, the Company, as well as individual directors, officers and other supervisory personnel, could face liability. Even the appearance of insider trading can lead to government investigations or lawsuits that are time-consuming, expensive and can lead to criminal and civil liability, including damages and fines, imprisonment and bars on serving as an officer or director of a public company, not to mention irreparable damage to both your and the Company’s reputation.</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For purposes of this Policy, the Company’s General Counsel serves as the Compliance Officer or, at any time when the Company does not have a General Counsel, the Company’s Chief Financial Officer shall serve as the Compliance Officer. The Compliance Officer may designate others, from time to time, to assist with the execution of his or her duties under this Policy.</w:t>
      </w:r>
    </w:p>
    <w:p>
      <w:pPr>
        <w:pStyle w:val="TextBody"/>
        <w:bidi w:val="0"/>
        <w:spacing w:before="0" w:after="0"/>
        <w:ind w:left="0" w:right="0" w:hanging="360"/>
        <w:jc w:val="left"/>
        <w:rPr/>
      </w:pPr>
      <w:r>
        <w:rPr/>
      </w:r>
    </w:p>
    <w:p>
      <w:pPr>
        <w:pStyle w:val="TextBody"/>
        <w:bidi w:val="0"/>
        <w:spacing w:lineRule="auto" w:line="288" w:before="0" w:after="0"/>
        <w:ind w:left="0" w:right="0" w:hanging="720"/>
        <w:jc w:val="left"/>
        <w:rPr>
          <w:rFonts w:ascii="Times New Roman;sans-serif" w:hAnsi="Times New Roman;sans-serif"/>
          <w:b/>
          <w:color w:val="000000"/>
          <w:sz w:val="20"/>
        </w:rPr>
      </w:pPr>
      <w:r>
        <w:rPr>
          <w:rFonts w:ascii="Times New Roman;sans-serif" w:hAnsi="Times New Roman;sans-serif"/>
          <w:b/>
          <w:color w:val="000000"/>
          <w:sz w:val="20"/>
        </w:rPr>
        <w:t>B.POLICY STATEMENT</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pPr>
      <w:r>
        <w:rPr>
          <w:rFonts w:ascii="Times New Roman;sans-serif" w:hAnsi="Times New Roman;sans-serif"/>
          <w:b w:val="false"/>
          <w:color w:val="000000"/>
          <w:sz w:val="20"/>
        </w:rPr>
        <w:t>1.</w:t>
      </w:r>
      <w:r>
        <w:rPr>
          <w:rFonts w:ascii="Times New Roman;sans-serif" w:hAnsi="Times New Roman;sans-serif"/>
          <w:b w:val="false"/>
          <w:color w:val="000000"/>
          <w:sz w:val="20"/>
          <w:u w:val="single"/>
        </w:rPr>
        <w:t>No Trading on Material Nonpublic Information</w:t>
      </w:r>
      <w:r>
        <w:rPr>
          <w:rFonts w:ascii="Times New Roman;sans-serif" w:hAnsi="Times New Roman;sans-serif"/>
          <w:b w:val="false"/>
          <w:color w:val="000000"/>
          <w:sz w:val="20"/>
        </w:rPr>
        <w:t>. It is illegal for anyone to trade in securities on the basis of material nonpublic information. If you are in possession of material nonpublic information about the Company, you are prohibited from:</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a.using it to transact in securities of the Company;</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b.disclosing it to other directors, officers, employees, consultants, contractors or advisors</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whose roles do not require them to have the information;</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c.disclosing it to anyone outside of the Company, including family, friends, business associates, investors or consulting firms, without prior written authorization from the Compliance Officer; or</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d.using it to express an opinion or make a recommendation about trading in the Company’s securities.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if you learn of material nonpublic information through your service with the Company</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that could be expected to affect the trading price of the securities of another company, you cannot (x) use</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that information to trade, directly or indirectly through others, or (y) provide that information to another</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person in order to trade, in the securities of that other company. Any such action will be deemed a violation</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of this Policy.</w:t>
      </w:r>
    </w:p>
    <w:p>
      <w:pPr>
        <w:pStyle w:val="TextBody"/>
        <w:bidi w:val="0"/>
        <w:spacing w:before="0" w:after="0"/>
        <w:jc w:val="left"/>
        <w:rPr/>
      </w:pPr>
      <w:r>
        <w:rPr/>
      </w:r>
    </w:p>
    <w:p>
      <w:pPr>
        <w:pStyle w:val="TextBody"/>
        <w:bidi w:val="0"/>
        <w:spacing w:lineRule="auto" w:line="288"/>
        <w:ind w:left="0" w:right="0" w:hanging="360"/>
        <w:jc w:val="left"/>
        <w:rPr/>
      </w:pPr>
      <w:r>
        <w:rPr>
          <w:rFonts w:ascii="Times New Roman;sans-serif" w:hAnsi="Times New Roman;sans-serif"/>
          <w:b w:val="false"/>
          <w:color w:val="000000"/>
          <w:sz w:val="20"/>
        </w:rPr>
        <w:t>2.</w:t>
      </w:r>
      <w:r>
        <w:rPr>
          <w:rFonts w:ascii="Times New Roman;sans-serif" w:hAnsi="Times New Roman;sans-serif"/>
          <w:b w:val="false"/>
          <w:color w:val="000000"/>
          <w:sz w:val="20"/>
          <w:u w:val="single"/>
        </w:rPr>
        <w:t>No Disclosure of Confidential Information</w:t>
      </w:r>
      <w:r>
        <w:rPr>
          <w:rFonts w:ascii="Times New Roman;sans-serif" w:hAnsi="Times New Roman;sans-serif"/>
          <w:b w:val="false"/>
          <w:color w:val="000000"/>
          <w:sz w:val="20"/>
        </w:rPr>
        <w:t>. You may not at any time disclose material nonpublic information about the Company or about another company that you obtained in connection with your service with the Company to friends, family members or any other person or entity that the Company has not authorized to know such information. In addition, you must handle the confidential information of others in accordance with any related non-disclosure agreements and other obligations that the Company has with them and limit your use of the confidential information to the purpose for which it was disclosed.</w: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19.1</w:t>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175260"/>
                <wp:effectExtent l="0" t="0" r="0" b="0"/>
                <wp:wrapNone/>
                <wp:docPr id="134" name="Frame11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If you receive an inquiry for information from someone outside of the Company, such as a stock analyst, or a request for sensitive information outside the ordinary course of business from someone outside of the Company, such as a business partner, vendor, supplier or salesperson, then you should refer the inquiry to the Compliance Officer. Responding to a request yourself may violate this Policy and, in some circumstances, the law. Please consult the Company’s External Communications Policy for more details</w:t>
      </w:r>
    </w:p>
    <w:p>
      <w:pPr>
        <w:pStyle w:val="TextBody"/>
        <w:bidi w:val="0"/>
        <w:spacing w:before="0" w:after="0"/>
        <w:jc w:val="left"/>
        <w:rPr/>
      </w:pPr>
      <w:r>
        <w:rPr/>
      </w:r>
    </w:p>
    <w:p>
      <w:pPr>
        <w:pStyle w:val="TextBody"/>
        <w:bidi w:val="0"/>
        <w:spacing w:lineRule="auto" w:line="288" w:before="0" w:after="0"/>
        <w:ind w:left="0" w:right="0" w:hanging="360"/>
        <w:jc w:val="left"/>
        <w:rPr/>
      </w:pPr>
      <w:r>
        <w:rPr>
          <w:rFonts w:ascii="Times New Roman;sans-serif" w:hAnsi="Times New Roman;sans-serif"/>
          <w:b w:val="false"/>
          <w:color w:val="000000"/>
          <w:sz w:val="20"/>
        </w:rPr>
        <w:t>3.</w:t>
      </w:r>
      <w:r>
        <w:rPr>
          <w:rFonts w:ascii="Times New Roman;sans-serif" w:hAnsi="Times New Roman;sans-serif"/>
          <w:b w:val="false"/>
          <w:color w:val="000000"/>
          <w:sz w:val="20"/>
          <w:u w:val="single"/>
        </w:rPr>
        <w:t>Definition of Material Nonpublic Information</w:t>
      </w:r>
      <w:r>
        <w:rPr>
          <w:rFonts w:ascii="Times New Roman;sans-serif" w:hAnsi="Times New Roman;sans-serif"/>
          <w:b w:val="false"/>
          <w:color w:val="000000"/>
          <w:sz w:val="20"/>
        </w:rPr>
        <w:t>. “</w:t>
      </w:r>
      <w:r>
        <w:rPr>
          <w:rFonts w:ascii="Times New Roman;sans-serif" w:hAnsi="Times New Roman;sans-serif"/>
          <w:b/>
          <w:color w:val="000000"/>
          <w:sz w:val="20"/>
        </w:rPr>
        <w:t>Material information</w:t>
      </w:r>
      <w:r>
        <w:rPr>
          <w:color w:val="000000"/>
        </w:rPr>
        <w:t>”</w:t>
      </w:r>
      <w:r>
        <w:rPr>
          <w:rFonts w:ascii="Times New Roman;sans-serif" w:hAnsi="Times New Roman;sans-serif"/>
          <w:b w:val="false"/>
          <w:color w:val="000000"/>
          <w:sz w:val="20"/>
        </w:rPr>
        <w:t>means information that a reasonable investor would be substantially likely to consider important in deciding whether to buy, hold or sell securities or would view as significantly altering the total mix of information available in the marketplace about an issuer of securities. In general, any information that could reasonably be expected to affect the market price of a security is likely to be material. Either positive or negative information may be material.</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It is not possible to define all categories of “material” information. However, some examples of information that could be regarded as material include, but are not limited to:</w:t>
      </w:r>
    </w:p>
    <w:p>
      <w:pPr>
        <w:pStyle w:val="TextBody"/>
        <w:bidi w:val="0"/>
        <w:spacing w:before="0" w:after="0"/>
        <w:ind w:left="0" w:right="0" w:firstLine="72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a.financial results, key metrics, financial condition, earnings pre-announcements, guidance, projections or forecasts, particularly if inconsistent with the Company’s guidance or the expectations of the investment community;</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b.restatements of financial results, or material impairments, write-offs or restructurings;</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c.changes in independent auditors, or notification that the Company may no longer rely on an audit report;</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d.business plans or budgets;</w:t>
      </w:r>
    </w:p>
    <w:p>
      <w:pPr>
        <w:pStyle w:val="TextBody"/>
        <w:bidi w:val="0"/>
        <w:spacing w:before="0" w:after="0"/>
        <w:ind w:left="0" w:right="0" w:firstLine="72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e.creation of significant financial obligations, or any significant default under or acceleration of any financial obligation;</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f.impending bankruptcy or financial liquidity problems;</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g.significant developments involving business relationships, including execution, modification or termination of significant agreements or orders with customers, suppliers, distributors, manufacturers or other business partners;</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h.significant information relating to the operation of a product or service, such as new products or services, major modifications or performance issues, defects or recalls, significant pricing changes or other announcements of a significant nature;</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i.significant developments in research and development, relating to the Company’s clinical studies, including, without limitation, status, results and communications with regulatory agencies, or relating to intellectual property;</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j.significant legal or regulatory developments, whether positive or negative, actual or threatened, including litigation or resolving litigation;</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k.major events involving the Company’s securities, including calls of securities for redemption, adoption of stock repurchase programs, option repricings, stock splits, changes in dividend policies, public or private securities offerings, modification to the rights of security holders or notice of delisting;</w:t>
      </w:r>
    </w:p>
    <w:p>
      <w:pPr>
        <w:pStyle w:val="TextBody"/>
        <w:bidi w:val="0"/>
        <w:jc w:val="left"/>
        <w:rPr/>
      </w:pPr>
      <w:r>
        <w:rPr/>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19.1</w:t>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175260"/>
                <wp:effectExtent l="0" t="0" r="0" b="0"/>
                <wp:wrapNone/>
                <wp:docPr id="135" name="Frame11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l.significant corporate events, such as a pending or proposed merger, joint venture or tender offer, a significant investment, the acquisition or disposition of a significant business or asset or a change in control of the Company;</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m.major personnel changes, such as changes in senior management or employee lay-offs;</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n.data breaches or other cybersecurity events;</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o.updates regarding any prior material disclosure that has materially changed;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p.the existence of a special blackout period.</w:t>
      </w:r>
    </w:p>
    <w:p>
      <w:pPr>
        <w:pStyle w:val="TextBody"/>
        <w:bidi w:val="0"/>
        <w:spacing w:before="0" w:after="0"/>
        <w:jc w:val="left"/>
        <w:rPr/>
      </w:pPr>
      <w:r>
        <w:rPr/>
      </w:r>
    </w:p>
    <w:p>
      <w:pPr>
        <w:pStyle w:val="TextBody"/>
        <w:bidi w:val="0"/>
        <w:spacing w:lineRule="auto" w:line="288" w:before="0" w:after="0"/>
        <w:ind w:left="0" w:right="0" w:firstLine="720"/>
        <w:jc w:val="left"/>
        <w:rPr/>
      </w:pPr>
      <w:r>
        <w:rPr>
          <w:color w:val="000000"/>
        </w:rPr>
        <w:t>“</w:t>
      </w:r>
      <w:r>
        <w:rPr>
          <w:rFonts w:ascii="Times New Roman;sans-serif" w:hAnsi="Times New Roman;sans-serif"/>
          <w:b/>
          <w:color w:val="000000"/>
          <w:sz w:val="20"/>
        </w:rPr>
        <w:t>Material nonpublic information”</w:t>
      </w:r>
      <w:r>
        <w:rPr>
          <w:color w:val="000000"/>
        </w:rPr>
        <w:t xml:space="preserve"> </w:t>
      </w:r>
      <w:r>
        <w:rPr>
          <w:rFonts w:ascii="Times New Roman;sans-serif" w:hAnsi="Times New Roman;sans-serif"/>
          <w:b w:val="false"/>
          <w:color w:val="000000"/>
          <w:sz w:val="20"/>
        </w:rPr>
        <w:t>means material information that is not generally known or made available to the public. Even if information is widely known throughout the Company, it may still be nonpublic. Generally, in order for information to be considered public, it must be made generally available through media outlets or SEC filings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After the release of information, a reasonable period of time must elapse in order to provide the public an opportunity to absorb and evaluate the information provided. As a general rule, at least two full trading days must pass after the dissemination of information before such information is considered public.</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As a rule of thumb, if you think something might be material nonpublic information, it probably is. You can always reach out to the Compliance Officer if you have questions.</w:t>
      </w:r>
    </w:p>
    <w:p>
      <w:pPr>
        <w:pStyle w:val="TextBody"/>
        <w:bidi w:val="0"/>
        <w:spacing w:before="0" w:after="0"/>
        <w:ind w:left="0" w:right="0" w:hanging="360"/>
        <w:jc w:val="left"/>
        <w:rPr/>
      </w:pPr>
      <w:r>
        <w:rPr/>
      </w:r>
    </w:p>
    <w:p>
      <w:pPr>
        <w:pStyle w:val="TextBody"/>
        <w:bidi w:val="0"/>
        <w:spacing w:lineRule="auto" w:line="288" w:before="0" w:after="0"/>
        <w:ind w:left="0" w:right="0" w:hanging="720"/>
        <w:jc w:val="left"/>
        <w:rPr>
          <w:rFonts w:ascii="Times New Roman;sans-serif" w:hAnsi="Times New Roman;sans-serif"/>
          <w:b/>
          <w:color w:val="000000"/>
          <w:sz w:val="20"/>
        </w:rPr>
      </w:pPr>
      <w:r>
        <w:rPr>
          <w:rFonts w:ascii="Times New Roman;sans-serif" w:hAnsi="Times New Roman;sans-serif"/>
          <w:b/>
          <w:color w:val="000000"/>
          <w:sz w:val="20"/>
        </w:rPr>
        <w:t>C.PERSONS COVERED BY THIS POLICY</w:t>
      </w:r>
    </w:p>
    <w:p>
      <w:pPr>
        <w:pStyle w:val="TextBody"/>
        <w:bidi w:val="0"/>
        <w:spacing w:before="0" w:after="0"/>
        <w:ind w:left="0" w:right="0" w:hanging="36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This Policy applies to you if you are a director, officer, employee, consultant, contractor or advisor</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of the Company, both inside and outside of the United States. To the extent applicable to you, this Policy also covers your immediate family members, persons with whom you share a household, persons who are your economic dependents and any entity whose transactions in securities you influence, direct or control. You are responsible for making sure that these other individuals and entities comply with this Policy.</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This Policy continues to apply even if you leave the Company or are otherwise no longer affiliated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with or providing services to the Company, for as long as you remain in possession of material nonpublic information. In addition, if you are subject to a trading blackout under this Policy at the time you leave the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Company, you must abide by the applicable trading restrictions until at least the end of the relevant blackout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period.</w:t>
      </w:r>
    </w:p>
    <w:p>
      <w:pPr>
        <w:pStyle w:val="TextBody"/>
        <w:bidi w:val="0"/>
        <w:spacing w:before="0" w:after="0"/>
        <w:ind w:left="0" w:right="0" w:hanging="360"/>
        <w:jc w:val="left"/>
        <w:rPr/>
      </w:pPr>
      <w:r>
        <w:rPr/>
      </w:r>
    </w:p>
    <w:p>
      <w:pPr>
        <w:pStyle w:val="TextBody"/>
        <w:bidi w:val="0"/>
        <w:spacing w:lineRule="auto" w:line="288" w:before="0" w:after="0"/>
        <w:ind w:left="0" w:right="0" w:hanging="720"/>
        <w:jc w:val="left"/>
        <w:rPr>
          <w:rFonts w:ascii="Times New Roman;sans-serif" w:hAnsi="Times New Roman;sans-serif"/>
          <w:b/>
          <w:color w:val="000000"/>
          <w:sz w:val="20"/>
        </w:rPr>
      </w:pPr>
      <w:r>
        <w:rPr>
          <w:rFonts w:ascii="Times New Roman;sans-serif" w:hAnsi="Times New Roman;sans-serif"/>
          <w:b/>
          <w:color w:val="000000"/>
          <w:sz w:val="20"/>
        </w:rPr>
        <w:t>D.TRADING COVERED BY THIS POLICY</w:t>
      </w:r>
    </w:p>
    <w:p>
      <w:pPr>
        <w:pStyle w:val="TextBody"/>
        <w:bidi w:val="0"/>
        <w:spacing w:before="0" w:after="0"/>
        <w:ind w:left="0" w:right="0" w:hanging="360"/>
        <w:jc w:val="left"/>
        <w:rPr/>
      </w:pPr>
      <w:r>
        <w:rPr/>
      </w:r>
    </w:p>
    <w:p>
      <w:pPr>
        <w:pStyle w:val="TextBody"/>
        <w:bidi w:val="0"/>
        <w:spacing w:lineRule="auto" w:line="288" w:before="0" w:after="0"/>
        <w:ind w:left="0" w:right="0" w:firstLine="720"/>
        <w:jc w:val="left"/>
        <w:rPr/>
      </w:pPr>
      <w:r>
        <w:rPr>
          <w:rFonts w:ascii="Times New Roman;sans-serif" w:hAnsi="Times New Roman;sans-serif"/>
          <w:b w:val="false"/>
          <w:color w:val="000000"/>
          <w:sz w:val="20"/>
        </w:rPr>
        <w:t>Except as discussed in Section H (</w:t>
      </w:r>
      <w:r>
        <w:rPr>
          <w:rFonts w:ascii="Times New Roman;sans-serif" w:hAnsi="Times New Roman;sans-serif"/>
          <w:b w:val="false"/>
          <w:i/>
          <w:color w:val="000000"/>
          <w:sz w:val="20"/>
        </w:rPr>
        <w:t>Exceptions to Trading Restrictions</w:t>
      </w:r>
      <w:r>
        <w:rPr>
          <w:rFonts w:ascii="Times New Roman;sans-serif" w:hAnsi="Times New Roman;sans-serif"/>
          <w:b w:val="false"/>
          <w:color w:val="000000"/>
          <w:sz w:val="20"/>
        </w:rPr>
        <w:t>), this Policy applies to all transactions involving the Company’s securities or other companies’ securities for which you possess material nonpublic information obtained in connection with your service with the Company. This Policy therefore applies to:</w:t>
      </w:r>
    </w:p>
    <w:p>
      <w:pPr>
        <w:pStyle w:val="TextBody"/>
        <w:bidi w:val="0"/>
        <w:spacing w:before="0" w:after="0"/>
        <w:ind w:left="0" w:right="0" w:firstLine="72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1.any purchase, sale, loan or other transfer or disposition of any equity securities (including common stock, options, restricted stock units, warrants and preferred stock) and debt securities (including debentures, bonds and notes) of the Company and such other companies, whether direct or indirect (including transactions made on your behalf by money managers), and any offer to engage in the foregoing transactions;</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2.any disposition in the form of a gift of any securities of the Company;</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3.any distribution to holders of interests in an entity if the entity is subject to this Policy; and</w:t>
      </w:r>
    </w:p>
    <w:p>
      <w:pPr>
        <w:pStyle w:val="TextBody"/>
        <w:bidi w:val="0"/>
        <w:spacing w:before="0" w:after="283"/>
        <w:jc w:val="left"/>
        <w:rPr/>
      </w:pPr>
      <w:r>
        <w:rPr/>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19.1</w:t>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175260"/>
                <wp:effectExtent l="0" t="0" r="0" b="0"/>
                <wp:wrapNone/>
                <wp:docPr id="136" name="Frame11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4.any other arrangement that generates gains or losses from or based on changes in the prices of such securities including derivative securities (for example, exchange-traded put or call options, swaps, caps and collars), hedging and pledging transactions, short sales and certain arrangements regarding participation in benefit plans, and any offer to engage in the foregoing transactions.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There are no exceptions from insider trading laws or this Policy based on the size of the transaction or the type of consideration received.</w:t>
      </w:r>
    </w:p>
    <w:p>
      <w:pPr>
        <w:pStyle w:val="TextBody"/>
        <w:bidi w:val="0"/>
        <w:spacing w:before="0" w:after="0"/>
        <w:ind w:left="0" w:right="0" w:hanging="360"/>
        <w:jc w:val="left"/>
        <w:rPr/>
      </w:pPr>
      <w:r>
        <w:rPr/>
      </w:r>
    </w:p>
    <w:p>
      <w:pPr>
        <w:pStyle w:val="TextBody"/>
        <w:bidi w:val="0"/>
        <w:spacing w:lineRule="auto" w:line="288" w:before="0" w:after="0"/>
        <w:ind w:left="0" w:right="0" w:hanging="720"/>
        <w:jc w:val="left"/>
        <w:rPr>
          <w:rFonts w:ascii="Times New Roman;sans-serif" w:hAnsi="Times New Roman;sans-serif"/>
          <w:b/>
          <w:color w:val="000000"/>
          <w:sz w:val="20"/>
        </w:rPr>
      </w:pPr>
      <w:r>
        <w:rPr>
          <w:rFonts w:ascii="Times New Roman;sans-serif" w:hAnsi="Times New Roman;sans-serif"/>
          <w:b/>
          <w:color w:val="000000"/>
          <w:sz w:val="20"/>
        </w:rPr>
        <w:t>E.TRADING RESTRICTIONS</w:t>
      </w:r>
    </w:p>
    <w:p>
      <w:pPr>
        <w:pStyle w:val="TextBody"/>
        <w:bidi w:val="0"/>
        <w:spacing w:before="0" w:after="0"/>
        <w:ind w:left="0" w:right="0" w:hanging="36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Subject to the exceptions set forth below, this Policy restricts trading during certain periods and by certain people as follows:</w:t>
      </w:r>
    </w:p>
    <w:p>
      <w:pPr>
        <w:pStyle w:val="TextBody"/>
        <w:bidi w:val="0"/>
        <w:spacing w:before="0" w:after="0"/>
        <w:ind w:left="0" w:right="0" w:firstLine="720"/>
        <w:jc w:val="left"/>
        <w:rPr/>
      </w:pPr>
      <w:r>
        <w:rPr/>
      </w:r>
    </w:p>
    <w:p>
      <w:pPr>
        <w:pStyle w:val="TextBody"/>
        <w:bidi w:val="0"/>
        <w:spacing w:lineRule="auto" w:line="288" w:before="0" w:after="0"/>
        <w:ind w:left="0" w:right="0" w:hanging="360"/>
        <w:jc w:val="left"/>
        <w:rPr/>
      </w:pPr>
      <w:r>
        <w:rPr>
          <w:rFonts w:ascii="Times New Roman;sans-serif" w:hAnsi="Times New Roman;sans-serif"/>
          <w:b w:val="false"/>
          <w:color w:val="000000"/>
          <w:sz w:val="20"/>
        </w:rPr>
        <w:t>1.</w:t>
      </w:r>
      <w:r>
        <w:rPr>
          <w:rFonts w:ascii="Times New Roman;sans-serif" w:hAnsi="Times New Roman;sans-serif"/>
          <w:b w:val="false"/>
          <w:color w:val="000000"/>
          <w:sz w:val="20"/>
          <w:u w:val="single"/>
        </w:rPr>
        <w:t>Quarterly Blackout Periods</w:t>
      </w:r>
      <w:r>
        <w:rPr>
          <w:rFonts w:ascii="Times New Roman;sans-serif" w:hAnsi="Times New Roman;sans-serif"/>
          <w:b w:val="false"/>
          <w:color w:val="000000"/>
          <w:sz w:val="20"/>
        </w:rPr>
        <w:t>. Except as discussed in Section H (Exceptions to Trading Restrictions), all directors, officers and employees of the Company must refrain from conducting transactions involving the Company’s securities during quarterly blackout periods. Individuals subject to quarterly blackout periods are listed on Schedule I. To the extent applicable to you, quarterly blackout periods also cover your immediate family members, persons with whom you share a household, persons who are your economic dependents, and any entity whose transactions in securities you influence, direct or control. Even if you are not specifically identified as being subject to quarterly blackout periods, you should exercise caution when engaging in transactions during quarterly blackout periods because of the heightened risk of insider trading exposure.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Quarterly blackout periods will start at the end of the last day of each fiscal quarter and will end at the start of the third full trading day following the Company’s earnings release.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prohibition against trading during the blackout period also means that brokers cannot fulfill open orders on your behalf or on behalf of your immediate family members, persons with whom you share a household, persons who are your economic dependents, or any entity whose transactions in securities you influence, direct or control, during the blackout period, including “limit orders” to buy or sell stock at a specific price or better and “stop orders” to buy or sell stock once the price of the stock reaches a specified price. If you are subject to blackout periods or pre-clearance requirements, you should so inform any broker with whom such an open order is placed at the time it is placed.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From time to time, the Company may identify other persons who should be subject to quarterly blackout periods, and the Compliance Officer may update and revise Schedule I as appropriate.</w:t>
      </w:r>
    </w:p>
    <w:p>
      <w:pPr>
        <w:pStyle w:val="TextBody"/>
        <w:bidi w:val="0"/>
        <w:spacing w:before="0" w:after="0"/>
        <w:jc w:val="left"/>
        <w:rPr/>
      </w:pPr>
      <w:r>
        <w:rPr/>
      </w:r>
    </w:p>
    <w:p>
      <w:pPr>
        <w:pStyle w:val="TextBody"/>
        <w:bidi w:val="0"/>
        <w:spacing w:lineRule="auto" w:line="288" w:before="0" w:after="0"/>
        <w:ind w:left="0" w:right="0" w:hanging="360"/>
        <w:jc w:val="left"/>
        <w:rPr/>
      </w:pPr>
      <w:r>
        <w:rPr>
          <w:rFonts w:ascii="Times New Roman;sans-serif" w:hAnsi="Times New Roman;sans-serif"/>
          <w:b w:val="false"/>
          <w:color w:val="000000"/>
          <w:sz w:val="20"/>
        </w:rPr>
        <w:t>2.</w:t>
      </w:r>
      <w:r>
        <w:rPr>
          <w:rFonts w:ascii="Times New Roman;sans-serif" w:hAnsi="Times New Roman;sans-serif"/>
          <w:b w:val="false"/>
          <w:color w:val="000000"/>
          <w:sz w:val="20"/>
          <w:u w:val="single"/>
        </w:rPr>
        <w:t>Special Blackout Periods</w:t>
      </w:r>
      <w:r>
        <w:rPr>
          <w:rFonts w:ascii="Times New Roman;sans-serif" w:hAnsi="Times New Roman;sans-serif"/>
          <w:b w:val="false"/>
          <w:color w:val="000000"/>
          <w:sz w:val="20"/>
        </w:rPr>
        <w:t>. The Company always retains the right to impose additional or longer trading blackout periods at any time on any or all of its directors, officers, employees, consultants, contractors and advisors. The Compliance Officer will notify you if you are subject to a special blackout period by providing to you a notice substantially in the form of Exhibit B. If you are notified that you are subject to a special blackout period, you may not engage in any transaction involving the Company’s securities until the special blackout period has ended other than the transactions that are covered by the exceptions below. You also may not disclose to anyone else that the Company has imposed a special blackout period. To the extent applicable to you, special blackout periods also cover your immediate family members, persons with whom you share a household, persons who are your economic dependents, and any entity whose transactions in securities you influence, direct or control.</w:t>
      </w:r>
    </w:p>
    <w:p>
      <w:pPr>
        <w:pStyle w:val="TextBody"/>
        <w:bidi w:val="0"/>
        <w:spacing w:before="0" w:after="0"/>
        <w:ind w:left="0" w:right="0" w:firstLine="720"/>
        <w:jc w:val="left"/>
        <w:rPr/>
      </w:pPr>
      <w:r>
        <w:rPr/>
      </w:r>
    </w:p>
    <w:p>
      <w:pPr>
        <w:pStyle w:val="TextBody"/>
        <w:bidi w:val="0"/>
        <w:spacing w:lineRule="auto" w:line="288"/>
        <w:ind w:left="0" w:right="0" w:hanging="360"/>
        <w:jc w:val="left"/>
        <w:rPr/>
      </w:pPr>
      <w:r>
        <w:rPr>
          <w:rFonts w:ascii="Times New Roman;sans-serif" w:hAnsi="Times New Roman;sans-serif"/>
          <w:b w:val="false"/>
          <w:color w:val="000000"/>
          <w:sz w:val="20"/>
        </w:rPr>
        <w:t>3.</w:t>
      </w:r>
      <w:r>
        <w:rPr>
          <w:rFonts w:ascii="Times New Roman;sans-serif" w:hAnsi="Times New Roman;sans-serif"/>
          <w:b w:val="false"/>
          <w:color w:val="000000"/>
          <w:sz w:val="20"/>
          <w:u w:val="single"/>
        </w:rPr>
        <w:t>Regulation BTR Blackouts</w:t>
      </w:r>
      <w:r>
        <w:rPr>
          <w:rFonts w:ascii="Times New Roman;sans-serif" w:hAnsi="Times New Roman;sans-serif"/>
          <w:b w:val="false"/>
          <w:color w:val="000000"/>
          <w:sz w:val="20"/>
        </w:rPr>
        <w:t xml:space="preserve">. Directors and officers may also be subject to trading blackouts pursuant to Regulation Blackout Trading Restriction, or Regulation BTR, under U.S. federal securities laws. In general, Regulation BTR prohibits any director or officer from engaging in certain transactions involving Company securities during periods when 401(k) plan participants are prevented from purchasing, selling or otherwise acquiring or transferring an interest in certain securities held in individual account plans. Any profits realized from a transaction that violates Regulation BTR are recoverable by the Company, regardless of the </w: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19.1</w:t>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480175" cy="175260"/>
                <wp:effectExtent l="0" t="0" r="0" b="0"/>
                <wp:wrapNone/>
                <wp:docPr id="137" name="Frame11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intentions of the director or officer effecting the transaction. In addition, individuals who engage in such transactions are subject to sanction by the SEC as well as potential criminal liability. The Company will notify directors and officers if they are subject to a blackout trading restriction under Regulation BTR. Failure to comply with an applicable trading blackout in accordance with Regulation BTR is a violation of law and this Policy.</w:t>
      </w:r>
    </w:p>
    <w:p>
      <w:pPr>
        <w:pStyle w:val="TextBody"/>
        <w:bidi w:val="0"/>
        <w:spacing w:before="0" w:after="0"/>
        <w:ind w:left="0" w:right="0" w:hanging="360"/>
        <w:jc w:val="left"/>
        <w:rPr/>
      </w:pPr>
      <w:r>
        <w:rPr/>
      </w:r>
    </w:p>
    <w:p>
      <w:pPr>
        <w:pStyle w:val="TextBody"/>
        <w:bidi w:val="0"/>
        <w:spacing w:lineRule="auto" w:line="288" w:before="0" w:after="0"/>
        <w:ind w:left="0" w:right="0" w:hanging="720"/>
        <w:jc w:val="left"/>
        <w:rPr/>
      </w:pPr>
      <w:r>
        <w:rPr>
          <w:rFonts w:ascii="Times New Roman;sans-serif" w:hAnsi="Times New Roman;sans-serif"/>
          <w:b/>
          <w:color w:val="000000"/>
          <w:sz w:val="20"/>
        </w:rPr>
        <w:t>F.</w:t>
      </w:r>
      <w:r>
        <w:rPr>
          <w:color w:val="000000"/>
        </w:rPr>
        <w:t xml:space="preserve"> </w:t>
      </w:r>
      <w:r>
        <w:rPr>
          <w:rFonts w:ascii="Times New Roman;sans-serif" w:hAnsi="Times New Roman;sans-serif"/>
          <w:b/>
          <w:color w:val="000000"/>
          <w:sz w:val="20"/>
        </w:rPr>
        <w:t>PROHIBITED TRANSACTIONS</w:t>
      </w:r>
    </w:p>
    <w:p>
      <w:pPr>
        <w:pStyle w:val="TextBody"/>
        <w:bidi w:val="0"/>
        <w:spacing w:before="0" w:after="0"/>
        <w:ind w:left="0" w:right="0" w:hanging="36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You may not engage in any of the following types of transactions other than as noted below, regardless of whether you have material nonpublic information or not.</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pPr>
      <w:r>
        <w:rPr>
          <w:rFonts w:ascii="Times New Roman;sans-serif" w:hAnsi="Times New Roman;sans-serif"/>
          <w:b w:val="false"/>
          <w:color w:val="000000"/>
          <w:sz w:val="20"/>
        </w:rPr>
        <w:t>1.</w:t>
      </w:r>
      <w:r>
        <w:rPr>
          <w:rFonts w:ascii="Times New Roman;sans-serif" w:hAnsi="Times New Roman;sans-serif"/>
          <w:b w:val="false"/>
          <w:color w:val="000000"/>
          <w:sz w:val="20"/>
          <w:u w:val="single"/>
        </w:rPr>
        <w:t>Short Sales</w:t>
      </w:r>
      <w:r>
        <w:rPr>
          <w:rFonts w:ascii="Times New Roman;sans-serif" w:hAnsi="Times New Roman;sans-serif"/>
          <w:b w:val="false"/>
          <w:color w:val="000000"/>
          <w:sz w:val="20"/>
        </w:rPr>
        <w:t>. You may not engage in short sales (meaning the sale of a security that must be borrowed to make delivery) or “sell short against the box” (meaning the sale of a security with a delayed delivery) if such sales involve the Company’s securities.</w:t>
      </w:r>
    </w:p>
    <w:p>
      <w:pPr>
        <w:pStyle w:val="TextBody"/>
        <w:bidi w:val="0"/>
        <w:spacing w:before="0" w:after="0"/>
        <w:jc w:val="left"/>
        <w:rPr/>
      </w:pPr>
      <w:r>
        <w:rPr/>
      </w:r>
    </w:p>
    <w:p>
      <w:pPr>
        <w:pStyle w:val="TextBody"/>
        <w:bidi w:val="0"/>
        <w:spacing w:lineRule="auto" w:line="288" w:before="0" w:after="0"/>
        <w:ind w:left="0" w:right="0" w:hanging="360"/>
        <w:jc w:val="left"/>
        <w:rPr/>
      </w:pPr>
      <w:r>
        <w:rPr>
          <w:rFonts w:ascii="Times New Roman;sans-serif" w:hAnsi="Times New Roman;sans-serif"/>
          <w:b w:val="false"/>
          <w:color w:val="000000"/>
          <w:sz w:val="20"/>
        </w:rPr>
        <w:t>2.</w:t>
      </w:r>
      <w:r>
        <w:rPr>
          <w:rFonts w:ascii="Times New Roman;sans-serif" w:hAnsi="Times New Roman;sans-serif"/>
          <w:b w:val="false"/>
          <w:color w:val="000000"/>
          <w:sz w:val="20"/>
          <w:u w:val="single"/>
        </w:rPr>
        <w:t>Derivative Securities and Hedging Transactions</w:t>
      </w:r>
      <w:r>
        <w:rPr>
          <w:rFonts w:ascii="Times New Roman;sans-serif" w:hAnsi="Times New Roman;sans-serif"/>
          <w:b w:val="false"/>
          <w:color w:val="000000"/>
          <w:sz w:val="20"/>
        </w:rPr>
        <w:t>. You may not, directly or indirectly, (a) trade in publicly-traded options, such as puts and calls, and other derivative securities with respect to the Company’s securities (other than stock options, restricted stock units and other compensatory awards issued to you by the Company) or (b) purchase financial instruments (including prepaid variable forward contracts, equity swaps, collars and exchange funds), or otherwise engage in transactions, that hedge or offset, or are designed to hedge or offset, any decrease in the market value of Company equity securities either (i) granted to you by the Company as part of your compensation or (ii) held, directly or indirectly, by you.</w:t>
      </w:r>
    </w:p>
    <w:p>
      <w:pPr>
        <w:pStyle w:val="TextBody"/>
        <w:bidi w:val="0"/>
        <w:spacing w:before="0" w:after="0"/>
        <w:jc w:val="left"/>
        <w:rPr/>
      </w:pPr>
      <w:r>
        <w:rPr/>
      </w:r>
    </w:p>
    <w:p>
      <w:pPr>
        <w:pStyle w:val="TextBody"/>
        <w:bidi w:val="0"/>
        <w:spacing w:lineRule="auto" w:line="288" w:before="0" w:after="0"/>
        <w:ind w:left="0" w:right="0" w:hanging="360"/>
        <w:jc w:val="left"/>
        <w:rPr/>
      </w:pPr>
      <w:r>
        <w:rPr>
          <w:rFonts w:ascii="Times New Roman;sans-serif" w:hAnsi="Times New Roman;sans-serif"/>
          <w:b w:val="false"/>
          <w:color w:val="000000"/>
          <w:sz w:val="20"/>
        </w:rPr>
        <w:t>3.</w:t>
      </w:r>
      <w:r>
        <w:rPr>
          <w:rFonts w:ascii="Times New Roman;sans-serif" w:hAnsi="Times New Roman;sans-serif"/>
          <w:b w:val="false"/>
          <w:color w:val="000000"/>
          <w:sz w:val="20"/>
          <w:u w:val="single"/>
        </w:rPr>
        <w:t>Pledging Transactions</w:t>
      </w:r>
      <w:r>
        <w:rPr>
          <w:rFonts w:ascii="Times New Roman;sans-serif" w:hAnsi="Times New Roman;sans-serif"/>
          <w:b w:val="false"/>
          <w:color w:val="000000"/>
          <w:sz w:val="20"/>
        </w:rPr>
        <w:t>. You may not pledge the Company’s securities as collateral for any loan or as part of any other pledging transaction.</w:t>
      </w:r>
    </w:p>
    <w:p>
      <w:pPr>
        <w:pStyle w:val="TextBody"/>
        <w:bidi w:val="0"/>
        <w:spacing w:before="0" w:after="0"/>
        <w:jc w:val="left"/>
        <w:rPr/>
      </w:pPr>
      <w:r>
        <w:rPr/>
      </w:r>
    </w:p>
    <w:p>
      <w:pPr>
        <w:pStyle w:val="TextBody"/>
        <w:bidi w:val="0"/>
        <w:spacing w:lineRule="auto" w:line="288" w:before="0" w:after="0"/>
        <w:ind w:left="0" w:right="0" w:hanging="360"/>
        <w:jc w:val="left"/>
        <w:rPr/>
      </w:pPr>
      <w:r>
        <w:rPr>
          <w:rFonts w:ascii="Times New Roman;sans-serif" w:hAnsi="Times New Roman;sans-serif"/>
          <w:b w:val="false"/>
          <w:color w:val="000000"/>
          <w:sz w:val="20"/>
        </w:rPr>
        <w:t>4.</w:t>
      </w:r>
      <w:r>
        <w:rPr>
          <w:rFonts w:ascii="Times New Roman;sans-serif" w:hAnsi="Times New Roman;sans-serif"/>
          <w:b w:val="false"/>
          <w:color w:val="000000"/>
          <w:sz w:val="20"/>
          <w:u w:val="single"/>
        </w:rPr>
        <w:t>Margin Accounts</w:t>
      </w:r>
      <w:r>
        <w:rPr>
          <w:rFonts w:ascii="Times New Roman;sans-serif" w:hAnsi="Times New Roman;sans-serif"/>
          <w:b w:val="false"/>
          <w:color w:val="000000"/>
          <w:sz w:val="20"/>
        </w:rPr>
        <w:t>. You may not hold the Company’s common stock in margin accounts.</w:t>
      </w:r>
    </w:p>
    <w:p>
      <w:pPr>
        <w:pStyle w:val="TextBody"/>
        <w:bidi w:val="0"/>
        <w:spacing w:before="0" w:after="0"/>
        <w:ind w:left="0" w:right="0" w:hanging="360"/>
        <w:jc w:val="left"/>
        <w:rPr/>
      </w:pPr>
      <w:r>
        <w:rPr/>
      </w:r>
    </w:p>
    <w:p>
      <w:pPr>
        <w:pStyle w:val="TextBody"/>
        <w:bidi w:val="0"/>
        <w:spacing w:lineRule="auto" w:line="288" w:before="0" w:after="0"/>
        <w:ind w:left="0" w:right="0" w:hanging="720"/>
        <w:jc w:val="left"/>
        <w:rPr/>
      </w:pPr>
      <w:r>
        <w:rPr>
          <w:rFonts w:ascii="Times New Roman;sans-serif" w:hAnsi="Times New Roman;sans-serif"/>
          <w:b/>
          <w:color w:val="000000"/>
          <w:sz w:val="20"/>
        </w:rPr>
        <w:t>G.</w:t>
      </w:r>
      <w:r>
        <w:rPr>
          <w:color w:val="000000"/>
        </w:rPr>
        <w:t xml:space="preserve"> </w:t>
      </w:r>
      <w:r>
        <w:rPr>
          <w:rFonts w:ascii="Times New Roman;sans-serif" w:hAnsi="Times New Roman;sans-serif"/>
          <w:b/>
          <w:color w:val="000000"/>
          <w:sz w:val="20"/>
        </w:rPr>
        <w:t>PRE-CLEARANCE OF TRADES</w:t>
      </w:r>
    </w:p>
    <w:p>
      <w:pPr>
        <w:pStyle w:val="TextBody"/>
        <w:bidi w:val="0"/>
        <w:spacing w:before="0" w:after="0"/>
        <w:ind w:left="0" w:right="0" w:hanging="360"/>
        <w:jc w:val="left"/>
        <w:rPr/>
      </w:pPr>
      <w:r>
        <w:rPr/>
      </w:r>
    </w:p>
    <w:p>
      <w:pPr>
        <w:pStyle w:val="TextBody"/>
        <w:bidi w:val="0"/>
        <w:spacing w:lineRule="auto" w:line="288" w:before="0" w:after="0"/>
        <w:ind w:left="0" w:right="0" w:firstLine="720"/>
        <w:jc w:val="left"/>
        <w:rPr/>
      </w:pPr>
      <w:r>
        <w:rPr>
          <w:rFonts w:ascii="Times New Roman;sans-serif" w:hAnsi="Times New Roman;sans-serif"/>
          <w:b w:val="false"/>
          <w:color w:val="000000"/>
          <w:sz w:val="20"/>
        </w:rPr>
        <w:t xml:space="preserve">The Company’s directors and officers and any other persons identified on Schedule I of this Policy as being subject to pre-clearance requirements must obtain pre-clearance prior to trading the Company’s securities. If you are subject to pre-clearance requirements, you should submit a pre-clearance request in the form attached as </w:t>
      </w:r>
      <w:r>
        <w:rPr>
          <w:rFonts w:ascii="Times New Roman;sans-serif" w:hAnsi="Times New Roman;sans-serif"/>
          <w:b w:val="false"/>
          <w:color w:val="000000"/>
          <w:sz w:val="20"/>
          <w:u w:val="single"/>
        </w:rPr>
        <w:t>Exhibit A</w:t>
      </w:r>
      <w:r>
        <w:rPr>
          <w:color w:val="000000"/>
        </w:rPr>
        <w:t xml:space="preserve"> </w:t>
      </w:r>
      <w:r>
        <w:rPr>
          <w:rFonts w:ascii="Times New Roman;sans-serif" w:hAnsi="Times New Roman;sans-serif"/>
          <w:b w:val="false"/>
          <w:color w:val="000000"/>
          <w:sz w:val="20"/>
        </w:rPr>
        <w:t>to the Compliance Officer prior to your desired trade date. The person requesting pre-clearance will be asked to certify that he or she is not in possession of material nonpublic information about the Company. The Compliance Officer is under no obligation to approve a transaction submitted for pre-clearance and may determine not to permit the transaction.</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If the Compliance Officer is the requester, then the Company’s Chief Executive Officer must pre-clear or deny any trade. All trades must be executed within two business days of any pre-clearance.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Even after preclearance, a person may not trade the Company’s securities if they become subject to a blackout period or aware of material nonpublic information prior to the trade being executed.</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ans-serif" w:hAnsi="Times New Roman;sans-serif"/>
          <w:b w:val="false"/>
          <w:color w:val="000000"/>
          <w:sz w:val="20"/>
        </w:rPr>
        <w:t xml:space="preserve">From time to time, the Company may identify other persons who should be subject to the pre-clearance requirements set forth above, and the Compliance Officer may update and revise </w:t>
      </w:r>
      <w:r>
        <w:rPr>
          <w:rFonts w:ascii="Times New Roman;sans-serif" w:hAnsi="Times New Roman;sans-serif"/>
          <w:b w:val="false"/>
          <w:color w:val="000000"/>
          <w:sz w:val="20"/>
          <w:u w:val="single"/>
        </w:rPr>
        <w:t>Schedule I</w:t>
      </w:r>
      <w:r>
        <w:rPr>
          <w:color w:val="000000"/>
        </w:rPr>
        <w:t xml:space="preserve"> </w:t>
      </w:r>
      <w:r>
        <w:rPr>
          <w:rFonts w:ascii="Times New Roman;sans-serif" w:hAnsi="Times New Roman;sans-serif"/>
          <w:b w:val="false"/>
          <w:color w:val="000000"/>
          <w:sz w:val="20"/>
        </w:rPr>
        <w:t>as appropriate.</w:t>
      </w:r>
    </w:p>
    <w:p>
      <w:pPr>
        <w:pStyle w:val="TextBody"/>
        <w:bidi w:val="0"/>
        <w:spacing w:before="0" w:after="0"/>
        <w:ind w:left="0" w:right="0" w:hanging="360"/>
        <w:jc w:val="left"/>
        <w:rPr/>
      </w:pPr>
      <w:r>
        <w:rPr/>
      </w:r>
    </w:p>
    <w:p>
      <w:pPr>
        <w:pStyle w:val="TextBody"/>
        <w:bidi w:val="0"/>
        <w:spacing w:lineRule="auto" w:line="288" w:before="0" w:after="0"/>
        <w:ind w:left="0" w:right="0" w:hanging="720"/>
        <w:jc w:val="left"/>
        <w:rPr/>
      </w:pPr>
      <w:r>
        <w:rPr>
          <w:rFonts w:ascii="Times New Roman;sans-serif" w:hAnsi="Times New Roman;sans-serif"/>
          <w:b/>
          <w:color w:val="000000"/>
          <w:sz w:val="20"/>
        </w:rPr>
        <w:t>H.</w:t>
      </w:r>
      <w:r>
        <w:rPr>
          <w:color w:val="000000"/>
        </w:rPr>
        <w:t xml:space="preserve"> </w:t>
      </w:r>
      <w:r>
        <w:rPr>
          <w:rFonts w:ascii="Times New Roman;sans-serif" w:hAnsi="Times New Roman;sans-serif"/>
          <w:b/>
          <w:color w:val="000000"/>
          <w:sz w:val="20"/>
        </w:rPr>
        <w:t>EXCEPTIONS TO TRADING RESTRICTIONS</w:t>
      </w:r>
    </w:p>
    <w:p>
      <w:pPr>
        <w:pStyle w:val="TextBody"/>
        <w:bidi w:val="0"/>
        <w:spacing w:before="0" w:after="0"/>
        <w:ind w:left="0" w:right="0" w:hanging="36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There are no unconditional “safe harbors” for trades made at particular times, and all persons subject to this Policy should exercise good judgment at all times. Even when a quarterly blackout period is not in effect, you may be prohibited from engaging in transactions involving the Company’s securities because you possess material nonpublic information, are subject to a special blackout period or are otherwise restricted under this Policy.</w:t>
      </w:r>
    </w:p>
    <w:p>
      <w:pPr>
        <w:pStyle w:val="TextBody"/>
        <w:bidi w:val="0"/>
        <w:ind w:left="0" w:right="0" w:firstLine="720"/>
        <w:jc w:val="left"/>
        <w:rPr/>
      </w:pPr>
      <w:r>
        <w:rPr/>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19.1</w:t>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175260"/>
                <wp:effectExtent l="0" t="0" r="0" b="0"/>
                <wp:wrapNone/>
                <wp:docPr id="138" name="Frame12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are certain limited exceptions to the quarterly and special blackout period restrictions</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and pre-clearance requirements imposed by the Company under this Policy:</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1.stock option exercises where the purchase price of such stock options is paid in cash and there is no other associated market activity;</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2.receipt and vesting of stock options, restricted stock units, restricted stock or other equity compensation awards from the Company;</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3.purchases pursuant to the employee stock purchase plan; however, this exception does not apply to subsequent sales of the shares;</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4.net share withholding with respect to equity awards where shares are withheld by the Company in order to satisfy tax withholding requirements, (x) as required by either the Company’s board of directors (or a committee thereof) or the award agreement governing such equity award or (y) as you elect, if permitted by the Company, so long as the election is irrevocable and made in writing at a time when a trading blackout is not in place and you are not in possession of material nonpublic information;</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5.sell to cover transactions where shares are sold on your behalf upon vesting of equity awards and sold in order to satisfy tax withholding requirements, (x) as required by either the Company’s board of directors (or a committee thereof) or the award agreement governing such equity award or (y) as you elect, if permitted by the Company, so long as the election is irrevocable and made in writing at a time when a</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trading blackout is not in place and you are not in possession of material nonpublic information; however,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this exception does not apply to any other market sale for the purposes of paying required withholding;</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6.transactions made pursuant to a valid 10b5-1 trading plan approved by the Company (see Section I (10b5-1 Trading Plans) below);</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7.transfers by will or the laws of descent or distribution and, provided that prior written notice is provided to the Compliance Officer, distributions or transfers (such as certain tax planning or estate planning transfers) that effect only a change in the form of beneficial interest without changing your pecuniary interest in the Company’s securities;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8.changes in the number of the Company’s securities you hold due to a stock split or a stock dividend that applies equally to all securities of a class, or similar transactions.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If there is a Regulation BTR blackout (and no quarterly or special blackout period), then the limited exceptions set forth in Regulation BTR will apply. Please be aware that even if a transaction is subject to an exception to this Policy, you will need to separately assess whether the transaction complies with applicable law. Any other Policy exceptions must be approved by the Compliance Officer, in consultation with the Company’s board of directors or an independent committee of the board of directors.</w:t>
      </w:r>
    </w:p>
    <w:p>
      <w:pPr>
        <w:pStyle w:val="TextBody"/>
        <w:bidi w:val="0"/>
        <w:spacing w:before="0" w:after="0"/>
        <w:ind w:left="0" w:right="0" w:hanging="360"/>
        <w:jc w:val="left"/>
        <w:rPr/>
      </w:pPr>
      <w:r>
        <w:rPr/>
      </w:r>
    </w:p>
    <w:p>
      <w:pPr>
        <w:pStyle w:val="TextBody"/>
        <w:bidi w:val="0"/>
        <w:spacing w:lineRule="auto" w:line="288" w:before="0" w:after="0"/>
        <w:ind w:left="0" w:right="0" w:hanging="720"/>
        <w:jc w:val="left"/>
        <w:rPr>
          <w:rFonts w:ascii="Times New Roman;sans-serif" w:hAnsi="Times New Roman;sans-serif"/>
          <w:b/>
          <w:color w:val="000000"/>
          <w:sz w:val="20"/>
        </w:rPr>
      </w:pPr>
      <w:r>
        <w:rPr>
          <w:rFonts w:ascii="Times New Roman;sans-serif" w:hAnsi="Times New Roman;sans-serif"/>
          <w:b/>
          <w:color w:val="000000"/>
          <w:sz w:val="20"/>
        </w:rPr>
        <w:t>I.10B5-1 TRADING PLANS</w:t>
      </w:r>
    </w:p>
    <w:p>
      <w:pPr>
        <w:pStyle w:val="TextBody"/>
        <w:bidi w:val="0"/>
        <w:spacing w:before="0" w:after="0"/>
        <w:ind w:left="0" w:right="0" w:hanging="36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permits its directors, officers and employees to adopt written 10b5-1 trading plans in order to mitigate the risk of trading on material nonpublic information. These plans allow for individuals to enter into a prearranged trading plan as long as the plan is not established or modified during a blackout period or when the individual is otherwise in possession of material nonpublic information. To be approved by the Company and qualify for the exception to this Policy, any 10b5-1 trading plan adopted by a director, officer or employee must be submitted to the Compliance Officer for approval and comply with the requirements set forth in the Requirements for Trading Plans attached as Exhibit C. If the Compliance Officer is the requester, then the Company’s Chief Executive Officer must approve the written 10b5-1 trading plan. </w:t>
      </w:r>
    </w:p>
    <w:p>
      <w:pPr>
        <w:pStyle w:val="TextBody"/>
        <w:bidi w:val="0"/>
        <w:spacing w:before="0" w:after="0"/>
        <w:ind w:left="0" w:right="0" w:hanging="360"/>
        <w:jc w:val="left"/>
        <w:rPr/>
      </w:pPr>
      <w:r>
        <w:rPr/>
      </w:r>
    </w:p>
    <w:p>
      <w:pPr>
        <w:pStyle w:val="TextBody"/>
        <w:bidi w:val="0"/>
        <w:spacing w:lineRule="auto" w:line="288"/>
        <w:ind w:left="0" w:right="0" w:hanging="720"/>
        <w:jc w:val="left"/>
        <w:rPr>
          <w:rFonts w:ascii="Times New Roman;sans-serif" w:hAnsi="Times New Roman;sans-serif"/>
          <w:b/>
          <w:color w:val="000000"/>
          <w:sz w:val="20"/>
        </w:rPr>
      </w:pPr>
      <w:r>
        <w:rPr>
          <w:rFonts w:ascii="Times New Roman;sans-serif" w:hAnsi="Times New Roman;sans-serif"/>
          <w:b/>
          <w:color w:val="000000"/>
          <w:sz w:val="20"/>
        </w:rPr>
        <w:t>J.SECTION 16 COMPLIANCE</w: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19.1</w:t>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480175" cy="175260"/>
                <wp:effectExtent l="0" t="0" r="0" b="0"/>
                <wp:wrapNone/>
                <wp:docPr id="139" name="Frame12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ind w:left="0" w:right="0" w:hanging="36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All of the Company’s officers and directors and certain other individuals are required to comply with Section 16 of the Securities and Exchange Act of 1934 and related rules and regulations which set forth reporting obligations, limitations on “short swing” transactions, which are certain matching purchases and sales of the Company’s securities within a six-month period, and limitations on short sales.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To ensure transactions subject to Section 16 requirements are reported on time, each person subject to these requirements must provide the Company with detailed information (for example, trade date, number of shares, exact price, etc.) about his or her transactions involving the Company’s securities.</w:t>
      </w:r>
    </w:p>
    <w:p>
      <w:pPr>
        <w:pStyle w:val="TextBody"/>
        <w:bidi w:val="0"/>
        <w:spacing w:before="0" w:after="0"/>
        <w:ind w:left="0" w:right="0" w:hanging="36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is available to assist in filing Section 16 reports, but the obligation to comply with Section 16 is personal. If you have any questions, you should check with the Compliance Officer.</w:t>
      </w:r>
    </w:p>
    <w:p>
      <w:pPr>
        <w:pStyle w:val="TextBody"/>
        <w:bidi w:val="0"/>
        <w:spacing w:before="0" w:after="0"/>
        <w:ind w:left="0" w:right="0" w:hanging="360"/>
        <w:jc w:val="left"/>
        <w:rPr/>
      </w:pPr>
      <w:r>
        <w:rPr/>
      </w:r>
    </w:p>
    <w:p>
      <w:pPr>
        <w:pStyle w:val="TextBody"/>
        <w:bidi w:val="0"/>
        <w:spacing w:lineRule="auto" w:line="288" w:before="0" w:after="0"/>
        <w:ind w:left="0" w:right="0" w:hanging="720"/>
        <w:jc w:val="left"/>
        <w:rPr>
          <w:rFonts w:ascii="Times New Roman;sans-serif" w:hAnsi="Times New Roman;sans-serif"/>
          <w:b/>
          <w:color w:val="000000"/>
          <w:sz w:val="20"/>
        </w:rPr>
      </w:pPr>
      <w:r>
        <w:rPr>
          <w:rFonts w:ascii="Times New Roman;sans-serif" w:hAnsi="Times New Roman;sans-serif"/>
          <w:b/>
          <w:color w:val="000000"/>
          <w:sz w:val="20"/>
        </w:rPr>
        <w:t>K.VIOLATIONS OF THIS POLICY</w:t>
      </w:r>
    </w:p>
    <w:p>
      <w:pPr>
        <w:pStyle w:val="TextBody"/>
        <w:bidi w:val="0"/>
        <w:spacing w:before="0" w:after="0"/>
        <w:ind w:left="0" w:right="0" w:hanging="36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Company directors, officers, employees, consultants, contractors and advisors who violate this Policy will be subject to disciplinary action by the Company, including ineligibility for future Company equity or incentive programs or termination of employment or an ongoing relationship with the Company. The Company has full discretion to determine whether this Policy has been violated based on the information available.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There are also serious legal consequences for individuals who violate insider trading laws, including large criminal and civil fines, significant imprisonment terms and disgorgement of any profits gained or losses avoided. You may also be liable for improper securities trading by any person (commonly referred to as a “tippee”) to whom you have disclosed material nonpublic information that you have learned through your position at the Company or made recommendations or expressed opinions about securities trading on the basis of such information.</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Please consult with your personal legal and financial advisors as needed. Note that the Company’s legal counsel, both internal and external, represent the Company and not you personally. There may be instances where you suffer financial harm or other hardship or are otherwise required to forego a planned transaction because of the restrictions imposed by this Policy or under securities laws. If you were aware of the material nonpublic information at the time of the trade, it is not a defense that you did not “use” the information for the trade. Personal financial emergency or other personal circumstances are not mitigating factors under securities laws and will not excuse your failure to comply with this Policy. In addition, a blackout or trading-restricted period will not extend the term of your options. As a consequence, you may be prevented from exercising your options by this Policy or as a result of a blackout or other restriction on your trading, and as a result your options may expire by their term. It is your responsibility to manage your economic interests and to consider potential trading restrictions when determining whether to exercise your options. In such instances, the Company cannot extend the term of your options and has no obligation or liability to replace the economic value or lost benefit to you.</w:t>
      </w:r>
    </w:p>
    <w:p>
      <w:pPr>
        <w:pStyle w:val="TextBody"/>
        <w:bidi w:val="0"/>
        <w:spacing w:before="0" w:after="0"/>
        <w:jc w:val="left"/>
        <w:rPr/>
      </w:pPr>
      <w:r>
        <w:rPr/>
      </w:r>
    </w:p>
    <w:p>
      <w:pPr>
        <w:pStyle w:val="TextBody"/>
        <w:bidi w:val="0"/>
        <w:spacing w:lineRule="auto" w:line="288" w:before="0" w:after="0"/>
        <w:ind w:left="0" w:right="0" w:hanging="720"/>
        <w:jc w:val="left"/>
        <w:rPr>
          <w:rFonts w:ascii="Times New Roman;sans-serif" w:hAnsi="Times New Roman;sans-serif"/>
          <w:b/>
          <w:color w:val="000000"/>
          <w:sz w:val="20"/>
        </w:rPr>
      </w:pPr>
      <w:r>
        <w:rPr>
          <w:rFonts w:ascii="Times New Roman;sans-serif" w:hAnsi="Times New Roman;sans-serif"/>
          <w:b/>
          <w:color w:val="000000"/>
          <w:sz w:val="20"/>
        </w:rPr>
        <w:t>L.PROTECTED ACTIVITY NOT PROHIBITED</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Nothing in this Policy, or any related guidelines or other documents or information provided in connection with this Policy, shall in any way limit or prohibit you from engaging in any of the protected activities set forth in the Company’s Whistleblower Policy, as amended from time to time.</w:t>
      </w:r>
    </w:p>
    <w:p>
      <w:pPr>
        <w:pStyle w:val="TextBody"/>
        <w:bidi w:val="0"/>
        <w:spacing w:before="0" w:after="0"/>
        <w:jc w:val="left"/>
        <w:rPr/>
      </w:pPr>
      <w:r>
        <w:rPr/>
      </w:r>
    </w:p>
    <w:p>
      <w:pPr>
        <w:pStyle w:val="TextBody"/>
        <w:bidi w:val="0"/>
        <w:spacing w:lineRule="auto" w:line="288" w:before="0" w:after="0"/>
        <w:ind w:left="0" w:right="0" w:hanging="720"/>
        <w:jc w:val="left"/>
        <w:rPr>
          <w:rFonts w:ascii="Times New Roman;sans-serif" w:hAnsi="Times New Roman;sans-serif"/>
          <w:b/>
          <w:color w:val="000000"/>
          <w:sz w:val="20"/>
        </w:rPr>
      </w:pPr>
      <w:r>
        <w:rPr>
          <w:rFonts w:ascii="Times New Roman;sans-serif" w:hAnsi="Times New Roman;sans-serif"/>
          <w:b/>
          <w:color w:val="000000"/>
          <w:sz w:val="20"/>
        </w:rPr>
        <w:t>M.REPORTING</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If you believe someone is violating this Policy or otherwise using material nonpublic information that they learned through their position at the Company to trade securities, you should report it to the Compliance Officer, or if the Compliance Officer is implicated in your report, then you should report it in accordance with the Company’s Whistleblower Policy.</w:t>
      </w:r>
    </w:p>
    <w:p>
      <w:pPr>
        <w:pStyle w:val="TextBody"/>
        <w:bidi w:val="0"/>
        <w:spacing w:before="0" w:after="0"/>
        <w:jc w:val="left"/>
        <w:rPr/>
      </w:pPr>
      <w:r>
        <w:rPr/>
      </w:r>
    </w:p>
    <w:p>
      <w:pPr>
        <w:pStyle w:val="TextBody"/>
        <w:bidi w:val="0"/>
        <w:spacing w:lineRule="auto" w:line="288" w:before="0" w:after="0"/>
        <w:ind w:left="0" w:right="0" w:hanging="720"/>
        <w:jc w:val="left"/>
        <w:rPr>
          <w:rFonts w:ascii="Times New Roman;sans-serif" w:hAnsi="Times New Roman;sans-serif"/>
          <w:b/>
          <w:color w:val="000000"/>
          <w:sz w:val="20"/>
        </w:rPr>
      </w:pPr>
      <w:r>
        <w:rPr>
          <w:rFonts w:ascii="Times New Roman;sans-serif" w:hAnsi="Times New Roman;sans-serif"/>
          <w:b/>
          <w:color w:val="000000"/>
          <w:sz w:val="20"/>
        </w:rPr>
        <w:t>N.AMENDMENTS</w:t>
      </w:r>
    </w:p>
    <w:p>
      <w:pPr>
        <w:pStyle w:val="TextBody"/>
        <w:bidi w:val="0"/>
        <w:spacing w:before="0" w:after="283"/>
        <w:jc w:val="left"/>
        <w:rPr/>
      </w:pPr>
      <w:r>
        <w:rPr/>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19.1</w:t>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480175" cy="175260"/>
                <wp:effectExtent l="0" t="0" r="0" b="0"/>
                <wp:wrapNone/>
                <wp:docPr id="140" name="Frame12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reserves the right to amend this Policy at any time, for any reason, subject to applicable laws, rules and regulations, and with or without notice, although it will attempt to provide notice in advance of any change. Unless otherwise permitted by this Policy, any amendments must be approved by the Board of Directors of the Company. </w:t>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ind w:left="0" w:right="0" w:firstLine="720"/>
        <w:jc w:val="center"/>
        <w:rPr/>
      </w:pPr>
      <w:r>
        <w:rPr/>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19.1</w:t>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480175" cy="175260"/>
                <wp:effectExtent l="0" t="0" r="0" b="0"/>
                <wp:wrapNone/>
                <wp:docPr id="141" name="Frame12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firstLine="720"/>
        <w:jc w:val="center"/>
        <w:rPr>
          <w:rFonts w:ascii="Times New Roman;sans-serif" w:hAnsi="Times New Roman;sans-serif"/>
          <w:b/>
          <w:color w:val="000000"/>
          <w:sz w:val="20"/>
        </w:rPr>
      </w:pPr>
      <w:r>
        <w:rPr>
          <w:rFonts w:ascii="Times New Roman;sans-serif" w:hAnsi="Times New Roman;sans-serif"/>
          <w:b/>
          <w:color w:val="000000"/>
          <w:sz w:val="20"/>
        </w:rPr>
        <w:t>EXHIBIT A</w:t>
      </w:r>
    </w:p>
    <w:p>
      <w:pPr>
        <w:pStyle w:val="TextBody"/>
        <w:bidi w:val="0"/>
        <w:spacing w:before="0" w:after="0"/>
        <w:ind w:left="0" w:right="0" w:firstLine="720"/>
        <w:jc w:val="center"/>
        <w:rPr/>
      </w:pPr>
      <w:r>
        <w:rPr/>
      </w:r>
    </w:p>
    <w:p>
      <w:pPr>
        <w:pStyle w:val="TextBody"/>
        <w:bidi w:val="0"/>
        <w:spacing w:lineRule="auto" w:line="288" w:before="0" w:after="0"/>
        <w:ind w:left="0" w:right="0" w:firstLine="720"/>
        <w:jc w:val="center"/>
        <w:rPr>
          <w:rFonts w:ascii="Times New Roman;sans-serif" w:hAnsi="Times New Roman;sans-serif"/>
          <w:b/>
          <w:color w:val="000000"/>
          <w:sz w:val="20"/>
        </w:rPr>
      </w:pPr>
      <w:r>
        <w:rPr>
          <w:rFonts w:ascii="Times New Roman;sans-serif" w:hAnsi="Times New Roman;sans-serif"/>
          <w:b/>
          <w:color w:val="000000"/>
          <w:sz w:val="20"/>
        </w:rPr>
        <w:t>PRE-CLEARANCE CHECKLIST</w:t>
      </w:r>
    </w:p>
    <w:p>
      <w:pPr>
        <w:pStyle w:val="TextBody"/>
        <w:bidi w:val="0"/>
        <w:spacing w:before="0" w:after="0"/>
        <w:ind w:left="0" w:right="0" w:firstLine="720"/>
        <w:jc w:val="center"/>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Person proposing to trade:</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Proposed trade (type and amount):</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Manner of trade:</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Proposed trade date:</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Affiliate of the Company: </w:t>
      </w:r>
    </w:p>
    <w:p>
      <w:pPr>
        <w:pStyle w:val="TextBody"/>
        <w:bidi w:val="0"/>
        <w:spacing w:before="0" w:after="0"/>
        <w:ind w:left="0" w:right="0" w:firstLine="72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color w:val="000000"/>
          <w:sz w:val="20"/>
        </w:rPr>
        <w:t xml:space="preserve">No blackout period. </w:t>
      </w:r>
      <w:r>
        <w:rPr>
          <w:rFonts w:ascii="Times New Roman;sans-serif" w:hAnsi="Times New Roman;sans-serif"/>
          <w:b w:val="false"/>
          <w:color w:val="000000"/>
          <w:sz w:val="20"/>
        </w:rPr>
        <w:t>The proposed trade will not be made during a quarterly or special blackout period.</w:t>
      </w:r>
    </w:p>
    <w:p>
      <w:pPr>
        <w:pStyle w:val="TextBody"/>
        <w:bidi w:val="0"/>
        <w:spacing w:before="0" w:after="0"/>
        <w:ind w:left="0" w:right="0" w:firstLine="72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color w:val="000000"/>
          <w:sz w:val="20"/>
        </w:rPr>
        <w:t>No pension fund blackout under Regulation BTR</w:t>
      </w:r>
      <w:r>
        <w:rPr>
          <w:rFonts w:ascii="Times New Roman;sans-serif" w:hAnsi="Times New Roman;sans-serif"/>
          <w:b w:val="false"/>
          <w:color w:val="000000"/>
          <w:sz w:val="20"/>
        </w:rPr>
        <w:t>.* There is no pension fund blackout period in effect.</w:t>
      </w:r>
    </w:p>
    <w:p>
      <w:pPr>
        <w:pStyle w:val="TextBody"/>
        <w:bidi w:val="0"/>
        <w:spacing w:before="0" w:after="0"/>
        <w:ind w:left="0" w:right="0" w:firstLine="72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color w:val="000000"/>
          <w:sz w:val="20"/>
        </w:rPr>
        <w:t>No prohibition under Insider Trading Policy</w:t>
      </w:r>
      <w:r>
        <w:rPr>
          <w:rFonts w:ascii="Times New Roman;sans-serif" w:hAnsi="Times New Roman;sans-serif"/>
          <w:b w:val="false"/>
          <w:color w:val="000000"/>
          <w:sz w:val="20"/>
        </w:rPr>
        <w:t>. The person confirmed that the proposed transaction is not prohibited under the Insider Trading Policy.</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color w:val="000000"/>
          <w:sz w:val="20"/>
        </w:rPr>
        <w:t>No 10b5-1 trading plan</w:t>
      </w:r>
      <w:r>
        <w:rPr>
          <w:rFonts w:ascii="Times New Roman;sans-serif" w:hAnsi="Times New Roman;sans-serif"/>
          <w:b w:val="false"/>
          <w:color w:val="000000"/>
          <w:sz w:val="20"/>
        </w:rPr>
        <w:t>. The person does not have an outstanding 10b5-1 trading plan, and has confirmed that the proposed trade will not occur during the term of a 10b5-1 trading plan.</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color w:val="000000"/>
          <w:sz w:val="20"/>
        </w:rPr>
        <w:t>Section 16 compliance</w:t>
      </w:r>
      <w:r>
        <w:rPr>
          <w:rFonts w:ascii="Times New Roman;sans-serif" w:hAnsi="Times New Roman;sans-serif"/>
          <w:b w:val="false"/>
          <w:color w:val="000000"/>
          <w:sz w:val="20"/>
        </w:rPr>
        <w:t>.* The person confirmed that the proposed trade will not give rise to any potential liability under Section 16 as a result of matched past (or intended future) transactions.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color w:val="000000"/>
          <w:sz w:val="20"/>
        </w:rPr>
        <w:t>Form 4 filing</w:t>
      </w:r>
      <w:r>
        <w:rPr>
          <w:rFonts w:ascii="Times New Roman;sans-serif" w:hAnsi="Times New Roman;sans-serif"/>
          <w:b w:val="false"/>
          <w:color w:val="000000"/>
          <w:sz w:val="20"/>
        </w:rPr>
        <w:t>.* A Form 4 has been or will be completed and will be timely filed with the SEC, if applicable.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color w:val="000000"/>
          <w:sz w:val="20"/>
        </w:rPr>
        <w:t>Rule 144 compliance (Response required only from affiliates of the Company).</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The “current public information” requirement has been met (i.e., all 10-Ks, 10-Qs and other relevant reports during the last 12 months have been filed);</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The shares that the person proposes to trade are not restricted or, if restricted, the applicable holding period has been met;</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Volume limitations (greater of 1% of outstanding securities of the same class or the average weekly trading volume during the last four weeks) are not exceeded, and the person is not part of an aggregated group;</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The manner of sale requirements will be met (a “brokers’ transaction” or directly with a market maker or a “riskless principal transaction”); and</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A Form 144, if applicable, has been completed and will be timely filed with the SEC.</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color w:val="000000"/>
          <w:sz w:val="20"/>
        </w:rPr>
        <w:t>Rule 10b-5 concerns</w:t>
      </w:r>
      <w:r>
        <w:rPr>
          <w:rFonts w:ascii="Times New Roman;sans-serif" w:hAnsi="Times New Roman;sans-serif"/>
          <w:b w:val="false"/>
          <w:color w:val="000000"/>
          <w:sz w:val="20"/>
        </w:rPr>
        <w:t>. The person has been reminded that trading is prohibited when in possession of any material nonpublic information regarding the Company that has not been adequately disclosed to the public. The individual has discussed with the Compliance Officer any information known to the individual or the Compliance Officer that the individual believes may be material.</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Applies if the individual is a director or an officer subject to Section 16 of the Securities Exchange Act of 1934.</w:t>
      </w:r>
    </w:p>
    <w:p>
      <w:pPr>
        <w:pStyle w:val="TextBody"/>
        <w:bidi w:val="0"/>
        <w:spacing w:before="0" w:after="283"/>
        <w:jc w:val="left"/>
        <w:rPr/>
      </w:pPr>
      <w:r>
        <w:rPr/>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19.1</w:t>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480175" cy="175260"/>
                <wp:effectExtent l="0" t="0" r="0" b="0"/>
                <wp:wrapNone/>
                <wp:docPr id="142" name="Frame12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4193" w:type="dxa"/>
        <w:jc w:val="left"/>
        <w:tblInd w:w="0" w:type="dxa"/>
        <w:tblLayout w:type="fixed"/>
        <w:tblCellMar>
          <w:top w:w="28" w:type="dxa"/>
          <w:left w:w="28" w:type="dxa"/>
          <w:bottom w:w="28" w:type="dxa"/>
          <w:right w:w="28" w:type="dxa"/>
        </w:tblCellMar>
      </w:tblPr>
      <w:tblGrid>
        <w:gridCol w:w="200"/>
        <w:gridCol w:w="177"/>
        <w:gridCol w:w="178"/>
        <w:gridCol w:w="109"/>
        <w:gridCol w:w="109"/>
        <w:gridCol w:w="109"/>
        <w:gridCol w:w="109"/>
        <w:gridCol w:w="109"/>
        <w:gridCol w:w="109"/>
        <w:gridCol w:w="873"/>
        <w:gridCol w:w="873"/>
        <w:gridCol w:w="1238"/>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238"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(Signature of Compliance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(Print name of Compliance Officer)</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 am not aware of material nonpublic information regarding the Company. I am not trading on the basis of any material nonpublic information. The transaction is in accordance with the Insider Trading Policy and applicable law. I intend to comply with any applicable reporting and disclosure requirements on a timely basis. I understand that I must execute the trade by the end of the second trading day after the date on which the trade is cleared by the Compliance Officer. I understand that by signing below, I am not obligated to execute the trade.</w:t>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tbl>
      <w:tblPr>
        <w:tblW w:w="4370"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987"/>
        <w:gridCol w:w="987"/>
        <w:gridCol w:w="140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140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(Signature of person proposing to trade)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19.1</w:t>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480175" cy="175260"/>
                <wp:effectExtent l="0" t="0" r="0" b="0"/>
                <wp:wrapNone/>
                <wp:docPr id="143" name="Frame12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firstLine="720"/>
        <w:jc w:val="center"/>
        <w:rPr>
          <w:rFonts w:ascii="Times New Roman;sans-serif" w:hAnsi="Times New Roman;sans-serif"/>
          <w:b/>
          <w:color w:val="000000"/>
          <w:sz w:val="20"/>
        </w:rPr>
      </w:pPr>
      <w:r>
        <w:rPr>
          <w:rFonts w:ascii="Times New Roman;sans-serif" w:hAnsi="Times New Roman;sans-serif"/>
          <w:b/>
          <w:color w:val="000000"/>
          <w:sz w:val="20"/>
        </w:rPr>
        <w:t>EXHIBIT B</w:t>
      </w:r>
    </w:p>
    <w:p>
      <w:pPr>
        <w:pStyle w:val="TextBody"/>
        <w:bidi w:val="0"/>
        <w:spacing w:before="0" w:after="0"/>
        <w:ind w:left="0" w:right="0" w:firstLine="720"/>
        <w:jc w:val="center"/>
        <w:rPr/>
      </w:pPr>
      <w:r>
        <w:rPr/>
      </w:r>
    </w:p>
    <w:p>
      <w:pPr>
        <w:pStyle w:val="TextBody"/>
        <w:bidi w:val="0"/>
        <w:spacing w:lineRule="auto" w:line="288" w:before="0" w:after="0"/>
        <w:ind w:left="0" w:right="0" w:firstLine="720"/>
        <w:jc w:val="center"/>
        <w:rPr>
          <w:rFonts w:ascii="Times New Roman;sans-serif" w:hAnsi="Times New Roman;sans-serif"/>
          <w:b/>
          <w:color w:val="000000"/>
          <w:sz w:val="20"/>
        </w:rPr>
      </w:pPr>
      <w:r>
        <w:rPr>
          <w:rFonts w:ascii="Times New Roman;sans-serif" w:hAnsi="Times New Roman;sans-serif"/>
          <w:b/>
          <w:color w:val="000000"/>
          <w:sz w:val="20"/>
        </w:rPr>
        <w:t>FORM OF SPECIAL BLACKOUT NOTICE</w:t>
      </w:r>
    </w:p>
    <w:p>
      <w:pPr>
        <w:pStyle w:val="TextBody"/>
        <w:bidi w:val="0"/>
        <w:spacing w:before="0" w:after="0"/>
        <w:ind w:left="0" w:right="0" w:firstLine="720"/>
        <w:jc w:val="center"/>
        <w:rPr/>
      </w:pPr>
      <w:r>
        <w:rPr/>
      </w:r>
    </w:p>
    <w:p>
      <w:pPr>
        <w:pStyle w:val="TextBody"/>
        <w:bidi w:val="0"/>
        <w:spacing w:lineRule="auto" w:line="288" w:before="0" w:after="0"/>
        <w:ind w:left="0" w:right="0" w:firstLine="720"/>
        <w:jc w:val="center"/>
        <w:rPr>
          <w:rFonts w:ascii="Times New Roman;sans-serif" w:hAnsi="Times New Roman;sans-serif"/>
          <w:b w:val="false"/>
          <w:i/>
          <w:color w:val="000000"/>
          <w:sz w:val="20"/>
        </w:rPr>
      </w:pPr>
      <w:r>
        <w:rPr>
          <w:rFonts w:ascii="Times New Roman;sans-serif" w:hAnsi="Times New Roman;sans-serif"/>
          <w:b w:val="false"/>
          <w:i/>
          <w:color w:val="000000"/>
          <w:sz w:val="20"/>
        </w:rPr>
        <w:t>[COMPANY LETTERHEAD]</w:t>
      </w:r>
    </w:p>
    <w:p>
      <w:pPr>
        <w:pStyle w:val="TextBody"/>
        <w:bidi w:val="0"/>
        <w:spacing w:before="0" w:after="0"/>
        <w:ind w:left="0" w:right="0" w:firstLine="720"/>
        <w:jc w:val="center"/>
        <w:rPr/>
      </w:pPr>
      <w:r>
        <w:rPr/>
      </w:r>
    </w:p>
    <w:p>
      <w:pPr>
        <w:pStyle w:val="TextBody"/>
        <w:bidi w:val="0"/>
        <w:spacing w:lineRule="auto" w:line="288" w:before="0" w:after="0"/>
        <w:ind w:left="0" w:right="0" w:firstLine="720"/>
        <w:jc w:val="center"/>
        <w:rPr>
          <w:rFonts w:ascii="Times New Roman;sans-serif" w:hAnsi="Times New Roman;sans-serif"/>
          <w:b w:val="false"/>
          <w:i/>
          <w:color w:val="000000"/>
          <w:sz w:val="20"/>
        </w:rPr>
      </w:pPr>
      <w:r>
        <w:rPr>
          <w:rFonts w:ascii="Times New Roman;sans-serif" w:hAnsi="Times New Roman;sans-serif"/>
          <w:b w:val="false"/>
          <w:i/>
          <w:color w:val="000000"/>
          <w:sz w:val="20"/>
        </w:rPr>
        <w:t>[Date]</w:t>
      </w:r>
    </w:p>
    <w:p>
      <w:pPr>
        <w:pStyle w:val="TextBody"/>
        <w:bidi w:val="0"/>
        <w:spacing w:before="0" w:after="0"/>
        <w:ind w:left="0" w:right="0" w:firstLine="720"/>
        <w:jc w:val="center"/>
        <w:rPr/>
      </w:pPr>
      <w:r>
        <w:rPr/>
      </w:r>
    </w:p>
    <w:p>
      <w:pPr>
        <w:pStyle w:val="TextBody"/>
        <w:bidi w:val="0"/>
        <w:spacing w:lineRule="auto" w:line="288" w:before="0" w:after="0"/>
        <w:jc w:val="left"/>
        <w:rPr>
          <w:rFonts w:ascii="Times New Roman;sans-serif" w:hAnsi="Times New Roman;sans-serif"/>
          <w:b/>
          <w:color w:val="000000"/>
          <w:sz w:val="20"/>
          <w:u w:val="single"/>
        </w:rPr>
      </w:pPr>
      <w:r>
        <w:rPr>
          <w:rFonts w:ascii="Times New Roman;sans-serif" w:hAnsi="Times New Roman;sans-serif"/>
          <w:b/>
          <w:color w:val="000000"/>
          <w:sz w:val="20"/>
          <w:u w:val="single"/>
        </w:rPr>
        <w:t>CONFIDENTIAL COMMUNICATION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[Insert company address]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Dear [Insert Name]:</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Nautilus Biotechnology, Inc. (the “</w:t>
      </w:r>
      <w:r>
        <w:rPr>
          <w:rFonts w:ascii="Times New Roman;sans-serif" w:hAnsi="Times New Roman;sans-serif"/>
          <w:b/>
          <w:color w:val="000000"/>
          <w:sz w:val="20"/>
        </w:rPr>
        <w:t>Company</w:t>
      </w:r>
      <w:r>
        <w:rPr>
          <w:color w:val="000000"/>
        </w:rPr>
        <w:t>”</w:t>
      </w:r>
      <w:r>
        <w:rPr>
          <w:rFonts w:ascii="Times New Roman;sans-serif" w:hAnsi="Times New Roman;sans-serif"/>
          <w:b w:val="false"/>
          <w:color w:val="000000"/>
          <w:sz w:val="20"/>
        </w:rPr>
        <w:t>) has imposed a special blackout period in accordance with the terms of the Company’s Insider Trading Policy (the “</w:t>
      </w:r>
      <w:r>
        <w:rPr>
          <w:rFonts w:ascii="Times New Roman;sans-serif" w:hAnsi="Times New Roman;sans-serif"/>
          <w:b/>
          <w:color w:val="000000"/>
          <w:sz w:val="20"/>
        </w:rPr>
        <w:t>Policy</w:t>
      </w:r>
      <w:r>
        <w:rPr>
          <w:color w:val="000000"/>
        </w:rPr>
        <w:t>”</w:t>
      </w:r>
      <w:r>
        <w:rPr>
          <w:rFonts w:ascii="Times New Roman;sans-serif" w:hAnsi="Times New Roman;sans-serif"/>
          <w:b w:val="false"/>
          <w:color w:val="000000"/>
          <w:sz w:val="20"/>
        </w:rPr>
        <w:t>). Pursuant to the Policy, and subject to the exceptions stated in the Policy, you may not engage in any transaction involving the securities of the Company until you receive official notice that the special blackout period is no longer in effect.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You may not disclose to others the fact that a special blackout period has been imposed. In addition, you should take care to handle any confidential information in your possession in accordance with the Company’s policies.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If you have any questions at all, please contact me at [insert contact information].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Sincerely,</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Compliance Officer</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19.1</w:t>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480175" cy="175260"/>
                <wp:effectExtent l="0" t="0" r="0" b="0"/>
                <wp:wrapNone/>
                <wp:docPr id="144" name="Frame12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firstLine="720"/>
        <w:jc w:val="center"/>
        <w:rPr>
          <w:rFonts w:ascii="Times New Roman;sans-serif" w:hAnsi="Times New Roman;sans-serif"/>
          <w:b/>
          <w:color w:val="000000"/>
          <w:sz w:val="20"/>
        </w:rPr>
      </w:pPr>
      <w:r>
        <w:rPr>
          <w:rFonts w:ascii="Times New Roman;sans-serif" w:hAnsi="Times New Roman;sans-serif"/>
          <w:b/>
          <w:color w:val="000000"/>
          <w:sz w:val="20"/>
        </w:rPr>
        <w:t>EXHIBIT C</w:t>
      </w:r>
    </w:p>
    <w:p>
      <w:pPr>
        <w:pStyle w:val="TextBody"/>
        <w:bidi w:val="0"/>
        <w:spacing w:before="0" w:after="0"/>
        <w:ind w:left="0" w:right="0" w:firstLine="720"/>
        <w:jc w:val="center"/>
        <w:rPr/>
      </w:pPr>
      <w:r>
        <w:rPr/>
      </w:r>
    </w:p>
    <w:p>
      <w:pPr>
        <w:pStyle w:val="TextBody"/>
        <w:bidi w:val="0"/>
        <w:spacing w:lineRule="auto" w:line="288" w:before="0" w:after="0"/>
        <w:ind w:left="0" w:right="0" w:firstLine="720"/>
        <w:jc w:val="center"/>
        <w:rPr>
          <w:rFonts w:ascii="Times New Roman;sans-serif" w:hAnsi="Times New Roman;sans-serif"/>
          <w:b/>
          <w:color w:val="000000"/>
          <w:sz w:val="20"/>
        </w:rPr>
      </w:pPr>
      <w:r>
        <w:rPr>
          <w:rFonts w:ascii="Times New Roman;sans-serif" w:hAnsi="Times New Roman;sans-serif"/>
          <w:b/>
          <w:color w:val="000000"/>
          <w:sz w:val="20"/>
        </w:rPr>
        <w:t>REQUIREMENTS FOR TRADING PLANS</w:t>
      </w:r>
    </w:p>
    <w:p>
      <w:pPr>
        <w:pStyle w:val="TextBody"/>
        <w:bidi w:val="0"/>
        <w:spacing w:before="0" w:after="0"/>
        <w:ind w:left="0" w:right="0" w:firstLine="720"/>
        <w:jc w:val="center"/>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For transactions under a trading plan to be exempt from (A) the prohibitions in the Company’s Insider Trading Policy (the “Policy”) of Nautilus Biotechnology, Inc. (together with any subsidiaries, collectively the “Company”) with respect to transactions made while aware of material nonpublic information and (B) the pre-clearance procedures and blackout periods established under the Policy, the trading plan must comply with the affirmative defense set forth in Exchange Act Rule 10b5-1 and must meet the following requirements:</w:t>
      </w:r>
    </w:p>
    <w:p>
      <w:pPr>
        <w:pStyle w:val="TextBody"/>
        <w:bidi w:val="0"/>
        <w:spacing w:before="0" w:after="0"/>
        <w:ind w:left="0" w:right="0" w:firstLine="720"/>
        <w:jc w:val="left"/>
        <w:rPr/>
      </w:pPr>
      <w:r>
        <w:rPr/>
      </w:r>
    </w:p>
    <w:p>
      <w:pPr>
        <w:pStyle w:val="TextBody"/>
        <w:bidi w:val="0"/>
        <w:spacing w:lineRule="auto" w:line="288"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1.The trading plan must be in writing and signed by the person adopting the trading plan.</w:t>
      </w:r>
    </w:p>
    <w:p>
      <w:pPr>
        <w:pStyle w:val="TextBody"/>
        <w:bidi w:val="0"/>
        <w:spacing w:before="0" w:after="0"/>
        <w:ind w:left="0" w:right="0" w:firstLine="720"/>
        <w:jc w:val="left"/>
        <w:rPr/>
      </w:pPr>
      <w:r>
        <w:rPr/>
      </w:r>
    </w:p>
    <w:p>
      <w:pPr>
        <w:pStyle w:val="TextBody"/>
        <w:bidi w:val="0"/>
        <w:spacing w:lineRule="auto" w:line="288"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2.The trading plan must be adopted at a time when:</w:t>
      </w:r>
    </w:p>
    <w:p>
      <w:pPr>
        <w:pStyle w:val="TextBody"/>
        <w:bidi w:val="0"/>
        <w:spacing w:lineRule="auto" w:line="288"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a.the person adopting the trading plan is not aware of any material nonpublic information;     and</w:t>
      </w:r>
    </w:p>
    <w:p>
      <w:pPr>
        <w:pStyle w:val="TextBody"/>
        <w:bidi w:val="0"/>
        <w:spacing w:lineRule="auto" w:line="288"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b.there is no quarterly, special or other trading blackout in effect with respect to the</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person adopting the plan.</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3.The trading plan must be entered in good faith and not as part of a plan or scheme to evade the prohibitions of Rule 10b5-1, and the person adopting the trading plan must act in good faith with respect to the trading plan.</w:t>
      </w:r>
    </w:p>
    <w:p>
      <w:pPr>
        <w:pStyle w:val="TextBody"/>
        <w:bidi w:val="0"/>
        <w:spacing w:before="0" w:after="0"/>
        <w:ind w:left="0" w:right="0" w:firstLine="720"/>
        <w:jc w:val="left"/>
        <w:rPr/>
      </w:pPr>
      <w:r>
        <w:rPr/>
      </w:r>
    </w:p>
    <w:p>
      <w:pPr>
        <w:pStyle w:val="TextBody"/>
        <w:bidi w:val="0"/>
        <w:spacing w:lineRule="auto" w:line="288"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4.The trading plan must include representations that, on the date of adoption of the trading plan, the person adopting the trading plan:</w:t>
      </w:r>
    </w:p>
    <w:p>
      <w:pPr>
        <w:pStyle w:val="TextBody"/>
        <w:bidi w:val="0"/>
        <w:spacing w:before="0" w:after="0"/>
        <w:ind w:left="0" w:right="0" w:firstLine="720"/>
        <w:jc w:val="left"/>
        <w:rPr/>
      </w:pPr>
      <w:r>
        <w:rPr/>
      </w:r>
    </w:p>
    <w:p>
      <w:pPr>
        <w:pStyle w:val="TextBody"/>
        <w:bidi w:val="0"/>
        <w:spacing w:lineRule="auto" w:line="288" w:before="0" w:after="0"/>
        <w:ind w:left="0" w:right="0" w:firstLine="360"/>
        <w:jc w:val="left"/>
        <w:rPr/>
      </w:pPr>
      <w:r>
        <w:rPr>
          <w:color w:val="000000"/>
        </w:rPr>
        <w:t>•</w:t>
      </w:r>
      <w:r>
        <w:rPr>
          <w:rFonts w:ascii="Times New Roman;sans-serif" w:hAnsi="Times New Roman;sans-serif"/>
          <w:b w:val="false"/>
          <w:color w:val="000000"/>
          <w:sz w:val="20"/>
        </w:rPr>
        <w:t>is not aware of material nonpublic information about the securities or the Company; and</w:t>
      </w:r>
    </w:p>
    <w:p>
      <w:pPr>
        <w:pStyle w:val="TextBody"/>
        <w:bidi w:val="0"/>
        <w:spacing w:before="0" w:after="0"/>
        <w:ind w:left="0" w:right="0" w:firstLine="720"/>
        <w:jc w:val="left"/>
        <w:rPr/>
      </w:pPr>
      <w:r>
        <w:rPr/>
      </w:r>
    </w:p>
    <w:p>
      <w:pPr>
        <w:pStyle w:val="TextBody"/>
        <w:bidi w:val="0"/>
        <w:spacing w:lineRule="auto" w:line="288" w:before="0" w:after="0"/>
        <w:ind w:left="0" w:right="0" w:firstLine="360"/>
        <w:jc w:val="left"/>
        <w:rPr/>
      </w:pPr>
      <w:r>
        <w:rPr>
          <w:color w:val="000000"/>
        </w:rPr>
        <w:t>•</w:t>
      </w:r>
      <w:r>
        <w:rPr>
          <w:rFonts w:ascii="Times New Roman;sans-serif" w:hAnsi="Times New Roman;sans-serif"/>
          <w:b w:val="false"/>
          <w:color w:val="000000"/>
          <w:sz w:val="20"/>
        </w:rPr>
        <w:t>is adopting the trading plan in good faith and not as part of a plan or scheme to evade the            prohibitions of Rule 10b5-1.</w:t>
      </w:r>
    </w:p>
    <w:p>
      <w:pPr>
        <w:pStyle w:val="TextBody"/>
        <w:bidi w:val="0"/>
        <w:spacing w:before="0" w:after="0"/>
        <w:ind w:left="0" w:right="0" w:firstLine="720"/>
        <w:jc w:val="left"/>
        <w:rPr/>
      </w:pPr>
      <w:r>
        <w:rPr/>
      </w:r>
    </w:p>
    <w:p>
      <w:pPr>
        <w:pStyle w:val="TextBody"/>
        <w:bidi w:val="0"/>
        <w:spacing w:lineRule="auto" w:line="288"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5.The person adopting the trading plan may not have entered into or altered a corresponding or hedging transaction or position with respect to the securities subject to the trading plan and must agree not to enter into any such transaction while the trading plan is in effect.</w:t>
      </w:r>
    </w:p>
    <w:p>
      <w:pPr>
        <w:pStyle w:val="TextBody"/>
        <w:bidi w:val="0"/>
        <w:spacing w:before="0" w:after="0"/>
        <w:ind w:left="0" w:right="0" w:firstLine="720"/>
        <w:jc w:val="left"/>
        <w:rPr/>
      </w:pPr>
      <w:r>
        <w:rPr/>
      </w:r>
    </w:p>
    <w:p>
      <w:pPr>
        <w:pStyle w:val="TextBody"/>
        <w:bidi w:val="0"/>
        <w:spacing w:lineRule="auto" w:line="288"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6.The first trade under the trading plan may not occur until the expiration of a cooling-off period consisting of the later of (a) 90 calendar days after the adoption of the trading plan and (b) two business days after the filing by the Company of its financial results in a Form 10-Q or Form 10-K for the completed fiscal quarter in which the trading plan was adopted (but, in any event, this required cooling-off period is subject to a maximum of 120 days after adoption of the trading plan).</w:t>
      </w:r>
    </w:p>
    <w:p>
      <w:pPr>
        <w:pStyle w:val="TextBody"/>
        <w:bidi w:val="0"/>
        <w:spacing w:before="0" w:after="0"/>
        <w:ind w:left="0" w:right="0" w:firstLine="720"/>
        <w:jc w:val="left"/>
        <w:rPr/>
      </w:pPr>
      <w:r>
        <w:rPr/>
      </w:r>
    </w:p>
    <w:p>
      <w:pPr>
        <w:pStyle w:val="TextBody"/>
        <w:bidi w:val="0"/>
        <w:spacing w:lineRule="auto" w:line="288"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7.The trading plan must have a minimum term of one year (starting from the date of adoption of the trading plan).</w:t>
      </w:r>
    </w:p>
    <w:p>
      <w:pPr>
        <w:pStyle w:val="TextBody"/>
        <w:bidi w:val="0"/>
        <w:spacing w:before="0" w:after="0"/>
        <w:ind w:left="0" w:right="0" w:firstLine="720"/>
        <w:jc w:val="left"/>
        <w:rPr/>
      </w:pPr>
      <w:r>
        <w:rPr/>
      </w:r>
    </w:p>
    <w:p>
      <w:pPr>
        <w:pStyle w:val="TextBody"/>
        <w:bidi w:val="0"/>
        <w:spacing w:lineRule="auto" w:line="288"/>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8.All transactions during the term of the trading plan (except for the “Exceptions to Trading Restrictions” identified in the Policy and bona fide gifts) must be conducted through the trading plan. In addition, the person adopting the trading plan may not have an outstanding (and may not subsequently enter into any additional) trading plan except as permitted by Rule 10b5-1. For example, as contemplated by Rule 10b5-1, a person may adopt a new trading plan before the scheduled termination date of an existing trading plan, so long as the first scheduled trade under the new trading plan does not occur prior to the last scheduled trade(s) of the existing trading plan and otherwise complies with these guidelines. Termination of the existing trading plan prior to its scheduled termination date may impact the timing of the first trade or the availability of the affirmative defense for the new trading plan; therefore, persons adopting a new trading plan are advised to exercise caution and consult with the Compliance Officer prior to the early termination of an existing trading plan.</w: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19.1</w:t>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480175" cy="175260"/>
                <wp:effectExtent l="0" t="0" r="0" b="0"/>
                <wp:wrapNone/>
                <wp:docPr id="145" name="Frame12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9.Any modification or change to the amount, price or timing of transactions under the trading plan is deemed the termination of the trading plan, and the adoption of a new trading plan (“Modification”). Therefore, a Modification is subject to the same conditions as a new trading plan as set forth in Sections 1 through 8 herein.</w:t>
      </w:r>
    </w:p>
    <w:p>
      <w:pPr>
        <w:pStyle w:val="TextBody"/>
        <w:bidi w:val="0"/>
        <w:spacing w:before="0" w:after="0"/>
        <w:ind w:left="0" w:right="0" w:firstLine="720"/>
        <w:jc w:val="left"/>
        <w:rPr/>
      </w:pPr>
      <w:r>
        <w:rPr/>
      </w:r>
    </w:p>
    <w:p>
      <w:pPr>
        <w:pStyle w:val="TextBody"/>
        <w:bidi w:val="0"/>
        <w:spacing w:lineRule="auto" w:line="288"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10.Within the one year preceding the adoption or a Modification of a trading plan, a person may not have otherwise adopted or done a Modification to a plan more than once.</w:t>
      </w:r>
    </w:p>
    <w:p>
      <w:pPr>
        <w:pStyle w:val="TextBody"/>
        <w:bidi w:val="0"/>
        <w:spacing w:before="0" w:after="0"/>
        <w:ind w:left="0" w:right="0" w:firstLine="720"/>
        <w:jc w:val="left"/>
        <w:rPr/>
      </w:pPr>
      <w:r>
        <w:rPr/>
      </w:r>
    </w:p>
    <w:p>
      <w:pPr>
        <w:pStyle w:val="TextBody"/>
        <w:bidi w:val="0"/>
        <w:spacing w:lineRule="auto" w:line="288"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11.A person may adopt a trading plan designed to cover a single trade only once in any consecutive 12-month period except as permitted by Rule 10b5-1.</w:t>
      </w:r>
    </w:p>
    <w:p>
      <w:pPr>
        <w:pStyle w:val="TextBody"/>
        <w:bidi w:val="0"/>
        <w:spacing w:before="0" w:after="0"/>
        <w:ind w:left="0" w:right="0" w:firstLine="720"/>
        <w:jc w:val="left"/>
        <w:rPr/>
      </w:pPr>
      <w:r>
        <w:rPr/>
      </w:r>
    </w:p>
    <w:p>
      <w:pPr>
        <w:pStyle w:val="TextBody"/>
        <w:bidi w:val="0"/>
        <w:spacing w:lineRule="auto" w:line="288"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12.If the person that adopted the trading plan terminates the plan prior to its stated duration, he or she may not trade in the Company’s securities until after the expiration of 30 calendar days following termination, and then only in accordance with the Policy.</w:t>
      </w:r>
    </w:p>
    <w:p>
      <w:pPr>
        <w:pStyle w:val="TextBody"/>
        <w:bidi w:val="0"/>
        <w:spacing w:before="0" w:after="0"/>
        <w:ind w:left="0" w:right="0" w:firstLine="720"/>
        <w:jc w:val="left"/>
        <w:rPr/>
      </w:pPr>
      <w:r>
        <w:rPr/>
      </w:r>
    </w:p>
    <w:p>
      <w:pPr>
        <w:pStyle w:val="TextBody"/>
        <w:bidi w:val="0"/>
        <w:spacing w:lineRule="auto" w:line="288"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13.The Company must be promptly notified of any Modification or termination of the trading plan, including any suspension of trading under the trading plan.</w:t>
      </w:r>
    </w:p>
    <w:p>
      <w:pPr>
        <w:pStyle w:val="TextBody"/>
        <w:bidi w:val="0"/>
        <w:spacing w:before="0" w:after="0"/>
        <w:ind w:left="0" w:right="0" w:firstLine="720"/>
        <w:jc w:val="left"/>
        <w:rPr/>
      </w:pPr>
      <w:r>
        <w:rPr/>
      </w:r>
    </w:p>
    <w:p>
      <w:pPr>
        <w:pStyle w:val="TextBody"/>
        <w:bidi w:val="0"/>
        <w:spacing w:lineRule="auto" w:line="288"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14.The Company must have authority to require the suspension of the plan if there are legal, regulatory or contractual restrictions applicable to the Company or the person that adopted the trading plan, or to require the cancellation of the trading plan at any time, subject to any reasonable broker notice requirements as may be set forth in the trading plan.</w:t>
      </w:r>
    </w:p>
    <w:p>
      <w:pPr>
        <w:pStyle w:val="TextBody"/>
        <w:bidi w:val="0"/>
        <w:spacing w:before="0" w:after="0"/>
        <w:ind w:left="0" w:right="0" w:firstLine="720"/>
        <w:jc w:val="left"/>
        <w:rPr/>
      </w:pPr>
      <w:r>
        <w:rPr/>
      </w:r>
    </w:p>
    <w:p>
      <w:pPr>
        <w:pStyle w:val="TextBody"/>
        <w:bidi w:val="0"/>
        <w:spacing w:lineRule="auto" w:line="288"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15.If the trading plan grants discretion to a stockbroker or other person with respect to the execution of trades under the trading plan:</w:t>
      </w:r>
    </w:p>
    <w:p>
      <w:pPr>
        <w:pStyle w:val="TextBody"/>
        <w:bidi w:val="0"/>
        <w:spacing w:before="0" w:after="0"/>
        <w:ind w:left="0" w:right="0" w:firstLine="720"/>
        <w:jc w:val="left"/>
        <w:rPr/>
      </w:pPr>
      <w:r>
        <w:rPr/>
      </w:r>
    </w:p>
    <w:p>
      <w:pPr>
        <w:pStyle w:val="TextBody"/>
        <w:bidi w:val="0"/>
        <w:spacing w:lineRule="auto" w:line="288"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a.the person adopting the trading plan may not exercise any subsequent influence over how, when or whether to effect purchases or sales under the plan;</w:t>
      </w:r>
    </w:p>
    <w:p>
      <w:pPr>
        <w:pStyle w:val="TextBody"/>
        <w:bidi w:val="0"/>
        <w:spacing w:before="0" w:after="0"/>
        <w:ind w:left="0" w:right="0" w:firstLine="720"/>
        <w:jc w:val="left"/>
        <w:rPr/>
      </w:pPr>
      <w:r>
        <w:rPr/>
      </w:r>
    </w:p>
    <w:p>
      <w:pPr>
        <w:pStyle w:val="TextBody"/>
        <w:bidi w:val="0"/>
        <w:spacing w:lineRule="auto" w:line="288"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b.the person adopting the trading plan may not confer with the person administering the trading plan regarding the Company or its securities; and</w:t>
      </w:r>
    </w:p>
    <w:p>
      <w:pPr>
        <w:pStyle w:val="TextBody"/>
        <w:bidi w:val="0"/>
        <w:spacing w:before="0" w:after="0"/>
        <w:ind w:left="0" w:right="0" w:firstLine="720"/>
        <w:jc w:val="left"/>
        <w:rPr/>
      </w:pPr>
      <w:r>
        <w:rPr/>
      </w:r>
    </w:p>
    <w:p>
      <w:pPr>
        <w:pStyle w:val="TextBody"/>
        <w:bidi w:val="0"/>
        <w:spacing w:lineRule="auto" w:line="288"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c.the person administering the trading plan must provide prompt notice to the Company of the execution of a transaction pursuant to the plan.</w:t>
      </w:r>
    </w:p>
    <w:p>
      <w:pPr>
        <w:pStyle w:val="TextBody"/>
        <w:bidi w:val="0"/>
        <w:spacing w:before="0" w:after="0"/>
        <w:ind w:left="0" w:right="0" w:firstLine="720"/>
        <w:jc w:val="left"/>
        <w:rPr/>
      </w:pPr>
      <w:r>
        <w:rPr/>
      </w:r>
    </w:p>
    <w:p>
      <w:pPr>
        <w:pStyle w:val="TextBody"/>
        <w:bidi w:val="0"/>
        <w:spacing w:lineRule="auto" w:line="288"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16.All transactions under the trading plan must be in accordance with applicable law.</w:t>
      </w:r>
    </w:p>
    <w:p>
      <w:pPr>
        <w:pStyle w:val="TextBody"/>
        <w:bidi w:val="0"/>
        <w:spacing w:before="0" w:after="0"/>
        <w:ind w:left="0" w:right="0" w:firstLine="720"/>
        <w:jc w:val="left"/>
        <w:rPr/>
      </w:pPr>
      <w:r>
        <w:rPr/>
      </w:r>
    </w:p>
    <w:p>
      <w:pPr>
        <w:pStyle w:val="TextBody"/>
        <w:bidi w:val="0"/>
        <w:spacing w:lineRule="auto" w:line="288"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17.The trading plan (including any Modification) must meet such other requirements as the</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Compliance Officer may determine.</w:t>
      </w:r>
    </w:p>
    <w:p>
      <w:pPr>
        <w:pStyle w:val="TextBody"/>
        <w:bidi w:val="0"/>
        <w:spacing w:before="0" w:after="0"/>
        <w:ind w:left="0" w:right="0" w:firstLine="720"/>
        <w:jc w:val="left"/>
        <w:rPr/>
      </w:pPr>
      <w:r>
        <w:rPr/>
      </w:r>
    </w:p>
    <w:p>
      <w:pPr>
        <w:pStyle w:val="TextBody"/>
        <w:bidi w:val="0"/>
        <w:spacing w:lineRule="auto" w:line="288"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18.Any trading plans adopted or modified prior to February 27, 2023 (the “Effective Date”) are permitted to continue in place until all trades are executed thereunder or they expire by their terms (“Grandfathered Plans”). If the person undertakes a Modification of a Grandfathered Plan on or after the Effective Date, then the Modification must meet all of the requirements set forth herein.</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left"/>
        <w:rPr/>
      </w:pPr>
      <w:r>
        <w:rPr/>
      </w:r>
    </w:p>
    <w:p>
      <w:pPr>
        <w:pStyle w:val="TextBody"/>
        <w:bidi w:val="0"/>
        <w:spacing w:before="0" w:after="0"/>
        <w:jc w:val="left"/>
        <w:rPr/>
      </w:pPr>
      <w:r>
        <w:rPr/>
      </w:r>
    </w:p>
    <w:p>
      <w:pPr>
        <w:pStyle w:val="TextBody"/>
        <w:bidi w:val="0"/>
        <w:ind w:left="0" w:right="0" w:firstLine="720"/>
        <w:jc w:val="left"/>
        <w:rPr/>
      </w:pPr>
      <w:r>
        <w:rPr/>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19.1</w:t>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6480175" cy="175260"/>
                <wp:effectExtent l="0" t="0" r="0" b="0"/>
                <wp:wrapNone/>
                <wp:docPr id="146" name="Frame12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 E M O R A N D U M</w:t>
      </w:r>
    </w:p>
    <w:p>
      <w:pPr>
        <w:pStyle w:val="TextBody"/>
        <w:bidi w:val="0"/>
        <w:spacing w:before="0" w:after="0"/>
        <w:jc w:val="center"/>
        <w:rPr/>
      </w:pPr>
      <w:r>
        <w:rPr/>
      </w:r>
    </w:p>
    <w:tbl>
      <w:tblPr>
        <w:tblW w:w="9207" w:type="dxa"/>
        <w:jc w:val="left"/>
        <w:tblInd w:w="0" w:type="dxa"/>
        <w:tblLayout w:type="fixed"/>
        <w:tblCellMar>
          <w:top w:w="28" w:type="dxa"/>
          <w:left w:w="28" w:type="dxa"/>
          <w:bottom w:w="28" w:type="dxa"/>
          <w:right w:w="28" w:type="dxa"/>
        </w:tblCellMar>
      </w:tblPr>
      <w:tblGrid>
        <w:gridCol w:w="237"/>
        <w:gridCol w:w="210"/>
        <w:gridCol w:w="213"/>
        <w:gridCol w:w="109"/>
        <w:gridCol w:w="109"/>
        <w:gridCol w:w="109"/>
        <w:gridCol w:w="2404"/>
        <w:gridCol w:w="2404"/>
        <w:gridCol w:w="3412"/>
      </w:tblGrid>
      <w:tr>
        <w:trPr/>
        <w:tc>
          <w:tcPr>
            <w:tcW w:w="237"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4" w:type="dxa"/>
            <w:tcBorders/>
            <w:vAlign w:val="center"/>
          </w:tcPr>
          <w:p>
            <w:pPr>
              <w:pStyle w:val="TableContents"/>
              <w:bidi w:val="0"/>
              <w:spacing w:before="0" w:after="283"/>
              <w:jc w:val="left"/>
              <w:rPr>
                <w:sz w:val="4"/>
                <w:szCs w:val="4"/>
              </w:rPr>
            </w:pPr>
            <w:r>
              <w:rPr>
                <w:sz w:val="4"/>
                <w:szCs w:val="4"/>
              </w:rPr>
            </w:r>
          </w:p>
        </w:tc>
        <w:tc>
          <w:tcPr>
            <w:tcW w:w="2404" w:type="dxa"/>
            <w:tcBorders/>
            <w:vAlign w:val="center"/>
          </w:tcPr>
          <w:p>
            <w:pPr>
              <w:pStyle w:val="TableContents"/>
              <w:bidi w:val="0"/>
              <w:spacing w:before="0" w:after="283"/>
              <w:jc w:val="left"/>
              <w:rPr>
                <w:sz w:val="4"/>
                <w:szCs w:val="4"/>
              </w:rPr>
            </w:pPr>
            <w:r>
              <w:rPr>
                <w:sz w:val="4"/>
                <w:szCs w:val="4"/>
              </w:rPr>
            </w:r>
          </w:p>
        </w:tc>
        <w:tc>
          <w:tcPr>
            <w:tcW w:w="3412" w:type="dxa"/>
            <w:tcBorders/>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Directors, officers, employees, consultants, contractors and advisors of Nautilus Biotechnology, Inc.</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From: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Nautilus Biotechnology, Inc.</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Insider Trading Policy</w:t>
            </w:r>
          </w:p>
        </w:tc>
      </w:tr>
      <w:tr>
        <w:trPr/>
        <w:tc>
          <w:tcPr>
            <w:tcW w:w="66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22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Attached is a copy of our Insider Trading Policy, which governs transactions involving trading in securities by directors, officers, employees, consultants, contractors and advisors of Nautilus Biotechnology, Inc. (together with any subsidiaries, collectively the “Company”). As described in the Insider Trading Policy, violations of insider trading laws can result in significant civil and criminal liability. Accordingly, please carefully review the materials provided.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After reading the Insider Trading Policy, please sign the receipt and acknowledgment at the bottom of this memorandum and return it to the Compliance Officer. The Insider Trading Policy applies to you regardless of whether you sign the receipt and acknowledgment at the bottom of this memorandum and return it to the Compliance Officer.</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If you have any questions about the Insider Trading Policy or insider trading laws generally or about any transaction involving the securities of the Company, please contact the Compliance Officer at Compliance@nautilus.bio.</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Attachment(s)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Receipt and Acknowledgment</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I have received and read the Insider Trading Policy.</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I have received satisfactory answers to any questions that I had regarding the Insider Trading Policy and insider trading in general.</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I understand and acknowledge that the Insider Trading Policy applies to me.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I understand and agree to comply with the Insider Trading Policy.</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I understand that my failure to comply in all respects with the Insider Trading Policy is a basis for termination of my employment or other service relationship with the Company as well as any other appropriate discipline.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I understand and agree that the Company may give stop transfer and other instructions to the Company’s transfer agent with respect to transactions that the Company considers to be in contravention of the Insider Trading Policy.</w:t>
      </w:r>
    </w:p>
    <w:p>
      <w:pPr>
        <w:pStyle w:val="TextBody"/>
        <w:bidi w:val="0"/>
        <w:spacing w:before="0" w:after="0"/>
        <w:jc w:val="left"/>
        <w:rPr/>
      </w:pPr>
      <w:r>
        <w:rPr/>
      </w:r>
    </w:p>
    <w:tbl>
      <w:tblPr>
        <w:tblW w:w="1842" w:type="dxa"/>
        <w:jc w:val="left"/>
        <w:tblInd w:w="0" w:type="dxa"/>
        <w:tblLayout w:type="fixed"/>
        <w:tblCellMar>
          <w:top w:w="28" w:type="dxa"/>
          <w:left w:w="28" w:type="dxa"/>
          <w:bottom w:w="28" w:type="dxa"/>
          <w:right w:w="28" w:type="dxa"/>
        </w:tblCellMar>
      </w:tblPr>
      <w:tblGrid>
        <w:gridCol w:w="358"/>
        <w:gridCol w:w="315"/>
        <w:gridCol w:w="316"/>
        <w:gridCol w:w="109"/>
        <w:gridCol w:w="109"/>
        <w:gridCol w:w="109"/>
        <w:gridCol w:w="154"/>
        <w:gridCol w:w="154"/>
        <w:gridCol w:w="218"/>
      </w:tblGrid>
      <w:tr>
        <w:trPr/>
        <w:tc>
          <w:tcPr>
            <w:tcW w:w="358"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r>
      <w:tr>
        <w:trPr/>
        <w:tc>
          <w:tcPr>
            <w:tcW w:w="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Signature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r>
      <w:tr>
        <w:trPr/>
        <w:tc>
          <w:tcPr>
            <w:tcW w:w="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Print 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6480175" cy="175260"/>
                <wp:effectExtent l="0" t="0" r="0" b="0"/>
                <wp:wrapNone/>
                <wp:docPr id="147" name="Frame12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center"/>
        <w:rPr>
          <w:rFonts w:ascii="Georgia;serif" w:hAnsi="Georgia;serif"/>
          <w:b w:val="false"/>
          <w:color w:val="000000"/>
          <w:sz w:val="20"/>
        </w:rPr>
      </w:pPr>
      <w:r>
        <w:rPr>
          <w:rFonts w:ascii="Georgia;serif" w:hAnsi="Georgia;serif"/>
          <w:b w:val="false"/>
          <w:color w:val="000000"/>
          <w:sz w:val="20"/>
        </w:rPr>
        <w:t>CONSENT OF INDEPENDENT REGISTERED PUBLIC ACCOUNTING FIRM</w:t>
      </w:r>
    </w:p>
    <w:p>
      <w:pPr>
        <w:pStyle w:val="TextBody"/>
        <w:bidi w:val="0"/>
        <w:spacing w:before="0" w:after="0"/>
        <w:jc w:val="center"/>
        <w:rPr/>
      </w:pPr>
      <w:r>
        <w:rPr/>
      </w:r>
    </w:p>
    <w:p>
      <w:pPr>
        <w:pStyle w:val="TextBody"/>
        <w:bidi w:val="0"/>
        <w:spacing w:lineRule="auto" w:line="268" w:before="0" w:after="0"/>
        <w:jc w:val="left"/>
        <w:rPr>
          <w:rFonts w:ascii="Georgia;serif" w:hAnsi="Georgia;serif"/>
          <w:b w:val="false"/>
          <w:color w:val="000000"/>
          <w:sz w:val="20"/>
        </w:rPr>
      </w:pPr>
      <w:r>
        <w:rPr>
          <w:rFonts w:ascii="Georgia;serif" w:hAnsi="Georgia;serif"/>
          <w:b w:val="false"/>
          <w:color w:val="000000"/>
          <w:sz w:val="20"/>
        </w:rPr>
        <w:t>We hereby consent to the incorporation by reference in the Registration Statements on Form S-3 (Nos. 333-258100 and 333-277437) and on Form S-8 (Nos. 333-258686, 333-258684, 333-262992, 333-269950, and 333-277436) of Nautilus Biotechnology, Inc of our report dated February 27, 2025 relating to the financial statements, which appears in this Form 10-K.</w:t>
      </w:r>
    </w:p>
    <w:p>
      <w:pPr>
        <w:pStyle w:val="TextBody"/>
        <w:bidi w:val="0"/>
        <w:spacing w:before="0" w:after="0"/>
        <w:jc w:val="left"/>
        <w:rPr/>
      </w:pPr>
      <w:r>
        <w:rPr/>
      </w:r>
    </w:p>
    <w:p>
      <w:pPr>
        <w:pStyle w:val="TextBody"/>
        <w:bidi w:val="0"/>
        <w:spacing w:lineRule="auto" w:line="268" w:before="0" w:after="0"/>
        <w:jc w:val="left"/>
        <w:rPr>
          <w:rFonts w:ascii="Georgia;serif" w:hAnsi="Georgia;serif"/>
          <w:b w:val="false"/>
          <w:color w:val="000000"/>
          <w:sz w:val="20"/>
        </w:rPr>
      </w:pPr>
      <w:r>
        <w:rPr>
          <w:rFonts w:ascii="Georgia;serif" w:hAnsi="Georgia;serif"/>
          <w:b w:val="false"/>
          <w:color w:val="000000"/>
          <w:sz w:val="20"/>
        </w:rPr>
        <w:t>/s/ PricewaterhouseCoopers LLP</w:t>
      </w:r>
    </w:p>
    <w:p>
      <w:pPr>
        <w:pStyle w:val="TextBody"/>
        <w:bidi w:val="0"/>
        <w:spacing w:before="0" w:after="0"/>
        <w:jc w:val="left"/>
        <w:rPr/>
      </w:pPr>
      <w:r>
        <w:rPr/>
      </w:r>
    </w:p>
    <w:p>
      <w:pPr>
        <w:pStyle w:val="TextBody"/>
        <w:bidi w:val="0"/>
        <w:spacing w:lineRule="auto" w:line="268" w:before="0" w:after="0"/>
        <w:jc w:val="left"/>
        <w:rPr>
          <w:rFonts w:ascii="Georgia;serif" w:hAnsi="Georgia;serif"/>
          <w:b w:val="false"/>
          <w:color w:val="000000"/>
          <w:sz w:val="20"/>
        </w:rPr>
      </w:pPr>
      <w:r>
        <w:rPr>
          <w:rFonts w:ascii="Georgia;serif" w:hAnsi="Georgia;serif"/>
          <w:b w:val="false"/>
          <w:color w:val="000000"/>
          <w:sz w:val="20"/>
        </w:rPr>
        <w:t xml:space="preserve">San Jose, California </w:t>
      </w:r>
    </w:p>
    <w:p>
      <w:pPr>
        <w:pStyle w:val="TextBody"/>
        <w:bidi w:val="0"/>
        <w:spacing w:lineRule="auto" w:line="268"/>
        <w:jc w:val="left"/>
        <w:rPr>
          <w:rFonts w:ascii="Georgia;serif" w:hAnsi="Georgia;serif"/>
          <w:b w:val="false"/>
          <w:color w:val="000000"/>
          <w:sz w:val="20"/>
        </w:rPr>
      </w:pPr>
      <w:r>
        <w:rPr>
          <w:rFonts w:ascii="Georgia;serif" w:hAnsi="Georgia;serif"/>
          <w:b w:val="false"/>
          <w:color w:val="000000"/>
          <w:sz w:val="20"/>
        </w:rPr>
        <w:t xml:space="preserve">February 27, 2025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68" w:before="0" w:after="0"/>
        <w:jc w:val="right"/>
        <w:rPr>
          <w:rFonts w:ascii="Times New Roman;sans-serif" w:hAnsi="Times New Roman;sans-serif"/>
          <w:b/>
          <w:color w:val="000000"/>
          <w:sz w:val="20"/>
        </w:rPr>
      </w:pPr>
      <w:r>
        <w:rPr>
          <w:rFonts w:ascii="Times New Roman;sans-serif" w:hAnsi="Times New Roman;sans-serif"/>
          <w:b/>
          <w:color w:val="000000"/>
          <w:sz w:val="20"/>
        </w:rPr>
        <w:t>Exhibit 31.1</w:t>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6480175" cy="175260"/>
                <wp:effectExtent l="0" t="0" r="0" b="0"/>
                <wp:wrapNone/>
                <wp:docPr id="148" name="Frame13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PURSUANT TO</w:t>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RULES 13a-14(a) AND 15d-14(a) UNDER THE SECURITIES EXCHANGE ACT OF 1934,</w:t>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 SECTION 302 OF THE SARBANES-OXLEY ACT OF 2002</w:t>
      </w:r>
    </w:p>
    <w:p>
      <w:pPr>
        <w:pStyle w:val="TextBody"/>
        <w:bidi w:val="0"/>
        <w:spacing w:before="0" w:after="0"/>
        <w:jc w:val="center"/>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 Sujal Patel, certify that:</w:t>
      </w:r>
    </w:p>
    <w:p>
      <w:pPr>
        <w:pStyle w:val="TextBody"/>
        <w:bidi w:val="0"/>
        <w:spacing w:before="0" w:after="0"/>
        <w:jc w:val="left"/>
        <w:rPr/>
      </w:pPr>
      <w:r>
        <w:rPr/>
      </w:r>
    </w:p>
    <w:p>
      <w:pPr>
        <w:pStyle w:val="TextBody"/>
        <w:bidi w:val="0"/>
        <w:spacing w:lineRule="auto" w:line="268"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1.I have reviewed this Annual Report on Form 10-K of Nautilus Biotechnology, Inc.;</w:t>
      </w:r>
    </w:p>
    <w:p>
      <w:pPr>
        <w:pStyle w:val="TextBody"/>
        <w:bidi w:val="0"/>
        <w:spacing w:lineRule="auto" w:line="256"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56"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56"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56"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56"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56"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56"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56"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56"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56"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120" w:after="283"/>
        <w:jc w:val="left"/>
        <w:rPr/>
      </w:pPr>
      <w:r>
        <w:rPr/>
      </w:r>
    </w:p>
    <w:tbl>
      <w:tblPr>
        <w:tblW w:w="5818" w:type="dxa"/>
        <w:jc w:val="left"/>
        <w:tblInd w:w="0" w:type="dxa"/>
        <w:tblLayout w:type="fixed"/>
        <w:tblCellMar>
          <w:top w:w="28" w:type="dxa"/>
          <w:left w:w="28" w:type="dxa"/>
          <w:bottom w:w="28" w:type="dxa"/>
          <w:right w:w="28" w:type="dxa"/>
        </w:tblCellMar>
      </w:tblPr>
      <w:tblGrid>
        <w:gridCol w:w="754"/>
        <w:gridCol w:w="664"/>
        <w:gridCol w:w="667"/>
        <w:gridCol w:w="134"/>
        <w:gridCol w:w="134"/>
        <w:gridCol w:w="136"/>
        <w:gridCol w:w="970"/>
        <w:gridCol w:w="970"/>
        <w:gridCol w:w="1389"/>
      </w:tblGrid>
      <w:tr>
        <w:trPr/>
        <w:tc>
          <w:tcPr>
            <w:tcW w:w="754"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389"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lineRule="auto" w:line="256"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February 27, 2025</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3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/s/ Sujal Patel </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Sujal Patel</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9"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President and Chief Executive Officer</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9"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68" w:before="0" w:after="0"/>
        <w:jc w:val="right"/>
        <w:rPr>
          <w:rFonts w:ascii="Times New Roman;sans-serif" w:hAnsi="Times New Roman;sans-serif"/>
          <w:b/>
          <w:color w:val="000000"/>
          <w:sz w:val="20"/>
        </w:rPr>
      </w:pPr>
      <w:r>
        <w:rPr>
          <w:rFonts w:ascii="Times New Roman;sans-serif" w:hAnsi="Times New Roman;sans-serif"/>
          <w:b/>
          <w:color w:val="000000"/>
          <w:sz w:val="20"/>
        </w:rPr>
        <w:t>Exhibit 31.2</w:t>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6480175" cy="175260"/>
                <wp:effectExtent l="0" t="0" r="0" b="0"/>
                <wp:wrapNone/>
                <wp:docPr id="149" name="Frame13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PURSUANT TO</w:t>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RULES 13a-14(a) AND 15d-14(a) UNDER THE SECURITIES EXCHANGE ACT OF 1934,</w:t>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 SECTION 302 OF THE SARBANES-OXLEY ACT OF 2002</w:t>
      </w:r>
    </w:p>
    <w:p>
      <w:pPr>
        <w:pStyle w:val="TextBody"/>
        <w:bidi w:val="0"/>
        <w:spacing w:before="0" w:after="0"/>
        <w:jc w:val="center"/>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 Anna Mowry, certify that:</w:t>
      </w:r>
    </w:p>
    <w:p>
      <w:pPr>
        <w:pStyle w:val="TextBody"/>
        <w:bidi w:val="0"/>
        <w:spacing w:before="0" w:after="0"/>
        <w:jc w:val="left"/>
        <w:rPr/>
      </w:pPr>
      <w:r>
        <w:rPr/>
      </w:r>
    </w:p>
    <w:p>
      <w:pPr>
        <w:pStyle w:val="TextBody"/>
        <w:bidi w:val="0"/>
        <w:spacing w:lineRule="auto" w:line="268"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1.I have reviewed this Annual Report on Form 10-K of Nautilus Biotechnology, Inc.;</w:t>
      </w:r>
    </w:p>
    <w:p>
      <w:pPr>
        <w:pStyle w:val="TextBody"/>
        <w:bidi w:val="0"/>
        <w:spacing w:lineRule="auto" w:line="256"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56"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56"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56"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56"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56"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56"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56"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56"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56"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120" w:after="283"/>
        <w:jc w:val="left"/>
        <w:rPr/>
      </w:pPr>
      <w:r>
        <w:rPr/>
      </w:r>
    </w:p>
    <w:tbl>
      <w:tblPr>
        <w:tblW w:w="6419" w:type="dxa"/>
        <w:jc w:val="left"/>
        <w:tblInd w:w="0" w:type="dxa"/>
        <w:tblLayout w:type="fixed"/>
        <w:tblCellMar>
          <w:top w:w="28" w:type="dxa"/>
          <w:left w:w="28" w:type="dxa"/>
          <w:bottom w:w="28" w:type="dxa"/>
          <w:right w:w="28" w:type="dxa"/>
        </w:tblCellMar>
      </w:tblPr>
      <w:tblGrid>
        <w:gridCol w:w="754"/>
        <w:gridCol w:w="664"/>
        <w:gridCol w:w="667"/>
        <w:gridCol w:w="134"/>
        <w:gridCol w:w="134"/>
        <w:gridCol w:w="136"/>
        <w:gridCol w:w="1148"/>
        <w:gridCol w:w="1148"/>
        <w:gridCol w:w="1634"/>
      </w:tblGrid>
      <w:tr>
        <w:trPr/>
        <w:tc>
          <w:tcPr>
            <w:tcW w:w="754"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148" w:type="dxa"/>
            <w:tcBorders/>
            <w:vAlign w:val="center"/>
          </w:tcPr>
          <w:p>
            <w:pPr>
              <w:pStyle w:val="TableContents"/>
              <w:bidi w:val="0"/>
              <w:spacing w:before="0" w:after="283"/>
              <w:jc w:val="left"/>
              <w:rPr>
                <w:sz w:val="4"/>
                <w:szCs w:val="4"/>
              </w:rPr>
            </w:pPr>
            <w:r>
              <w:rPr>
                <w:sz w:val="4"/>
                <w:szCs w:val="4"/>
              </w:rPr>
            </w:r>
          </w:p>
        </w:tc>
        <w:tc>
          <w:tcPr>
            <w:tcW w:w="1148" w:type="dxa"/>
            <w:tcBorders/>
            <w:vAlign w:val="center"/>
          </w:tcPr>
          <w:p>
            <w:pPr>
              <w:pStyle w:val="TableContents"/>
              <w:bidi w:val="0"/>
              <w:spacing w:before="0" w:after="283"/>
              <w:jc w:val="left"/>
              <w:rPr>
                <w:sz w:val="4"/>
                <w:szCs w:val="4"/>
              </w:rPr>
            </w:pPr>
            <w:r>
              <w:rPr>
                <w:sz w:val="4"/>
                <w:szCs w:val="4"/>
              </w:rPr>
            </w:r>
          </w:p>
        </w:tc>
        <w:tc>
          <w:tcPr>
            <w:tcW w:w="1634"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lineRule="auto" w:line="256"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February 27, 2025</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930"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Anna Mowry</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Anna Mowry</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0"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20"/>
              </w:rPr>
            </w:pPr>
            <w:r>
              <w:rPr>
                <w:rFonts w:ascii="Times New Roman;sans-serif" w:hAnsi="Times New Roman;sans-serif"/>
                <w:b/>
                <w:color w:val="000000"/>
                <w:sz w:val="20"/>
              </w:rPr>
              <w:t>Chief Financial Officer</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0"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(Principal Financial and Accounting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68" w:before="0" w:after="0"/>
        <w:jc w:val="right"/>
        <w:rPr>
          <w:rFonts w:ascii="Times New Roman;sans-serif" w:hAnsi="Times New Roman;sans-serif"/>
          <w:b/>
          <w:color w:val="000000"/>
          <w:sz w:val="20"/>
        </w:rPr>
      </w:pPr>
      <w:r>
        <w:rPr>
          <w:rFonts w:ascii="Times New Roman;sans-serif" w:hAnsi="Times New Roman;sans-serif"/>
          <w:b/>
          <w:color w:val="000000"/>
          <w:sz w:val="20"/>
        </w:rPr>
        <w:t>Exhibit 32.1</w:t>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6480175" cy="175260"/>
                <wp:effectExtent l="0" t="0" r="0" b="0"/>
                <wp:wrapNone/>
                <wp:docPr id="150" name="Frame13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OF PRINCIPAL EXECUTIVE OFFICER PURSUANT TO</w:t>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18 U.S.C. SECTION 1350, AS ADOPTED PURSUANT TO</w:t>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SECTION 906 OF THE SARBANES-OXLEY ACT OF 2002</w:t>
      </w:r>
    </w:p>
    <w:p>
      <w:pPr>
        <w:pStyle w:val="TextBody"/>
        <w:bidi w:val="0"/>
        <w:spacing w:before="0" w:after="0"/>
        <w:jc w:val="center"/>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the Annual Report of Nautilus Biotechnology, Inc. (the “Company”) on Form 10-K for the period ended December 31, 2024 as filed with the Securities and Exchange Commission on the date hereof (the “Report”), I, Sujal Patel, hereby certify, pursuant to 18 U.S.C. § 1350, as adopted pursuant to § 906 of the Sarbanes-Oxley Act of 2002, that:</w:t>
      </w:r>
    </w:p>
    <w:p>
      <w:pPr>
        <w:pStyle w:val="TextBody"/>
        <w:bidi w:val="0"/>
        <w:spacing w:before="0" w:after="0"/>
        <w:jc w:val="left"/>
        <w:rPr/>
      </w:pPr>
      <w:r>
        <w:rPr/>
      </w:r>
    </w:p>
    <w:p>
      <w:pPr>
        <w:pStyle w:val="TextBody"/>
        <w:bidi w:val="0"/>
        <w:spacing w:lineRule="auto" w:line="268"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1.The Report fully complies with the requirements of Section 13(a) or 15(d) of the Securities Exchange Act of 1934, as amended; and</w:t>
      </w:r>
    </w:p>
    <w:p>
      <w:pPr>
        <w:pStyle w:val="TextBody"/>
        <w:bidi w:val="0"/>
        <w:spacing w:lineRule="auto" w:line="268"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the Company.</w:t>
      </w:r>
    </w:p>
    <w:p>
      <w:pPr>
        <w:pStyle w:val="TextBody"/>
        <w:bidi w:val="0"/>
        <w:spacing w:before="120" w:after="283"/>
        <w:jc w:val="left"/>
        <w:rPr/>
      </w:pPr>
      <w:r>
        <w:rPr/>
      </w:r>
    </w:p>
    <w:p>
      <w:pPr>
        <w:pStyle w:val="TextBody"/>
        <w:bidi w:val="0"/>
        <w:spacing w:before="120" w:after="283"/>
        <w:jc w:val="left"/>
        <w:rPr/>
      </w:pPr>
      <w:r>
        <w:rPr/>
      </w:r>
    </w:p>
    <w:tbl>
      <w:tblPr>
        <w:tblW w:w="5818" w:type="dxa"/>
        <w:jc w:val="left"/>
        <w:tblInd w:w="0" w:type="dxa"/>
        <w:tblLayout w:type="fixed"/>
        <w:tblCellMar>
          <w:top w:w="28" w:type="dxa"/>
          <w:left w:w="28" w:type="dxa"/>
          <w:bottom w:w="28" w:type="dxa"/>
          <w:right w:w="28" w:type="dxa"/>
        </w:tblCellMar>
      </w:tblPr>
      <w:tblGrid>
        <w:gridCol w:w="754"/>
        <w:gridCol w:w="664"/>
        <w:gridCol w:w="667"/>
        <w:gridCol w:w="134"/>
        <w:gridCol w:w="134"/>
        <w:gridCol w:w="136"/>
        <w:gridCol w:w="970"/>
        <w:gridCol w:w="970"/>
        <w:gridCol w:w="1389"/>
      </w:tblGrid>
      <w:tr>
        <w:trPr/>
        <w:tc>
          <w:tcPr>
            <w:tcW w:w="754"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389"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lineRule="auto" w:line="256"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February 27, 2025</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3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/s/ Sujal Patel </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Sujal Patel</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9"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President and Chief Executive Officer</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9"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68" w:before="0" w:after="0"/>
        <w:jc w:val="right"/>
        <w:rPr>
          <w:rFonts w:ascii="Times New Roman;sans-serif" w:hAnsi="Times New Roman;sans-serif"/>
          <w:b/>
          <w:color w:val="000000"/>
          <w:sz w:val="20"/>
        </w:rPr>
      </w:pPr>
      <w:r>
        <w:rPr>
          <w:rFonts w:ascii="Times New Roman;sans-serif" w:hAnsi="Times New Roman;sans-serif"/>
          <w:b/>
          <w:color w:val="000000"/>
          <w:sz w:val="20"/>
        </w:rPr>
        <w:t>Exhibit 32.2</w:t>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6480175" cy="175260"/>
                <wp:effectExtent l="0" t="0" r="0" b="0"/>
                <wp:wrapNone/>
                <wp:docPr id="151" name="Frame13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OF PRINCIPAL FINANCIAL OFFICER PURSUANT TO</w:t>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18 U.S.C. SECTION 1350, AS ADOPTED PURSUANT TO</w:t>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SECTION 906 OF THE SARBANES-OXLEY ACT OF 2002</w:t>
      </w:r>
    </w:p>
    <w:p>
      <w:pPr>
        <w:pStyle w:val="TextBody"/>
        <w:bidi w:val="0"/>
        <w:spacing w:before="0" w:after="0"/>
        <w:jc w:val="center"/>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the Annual Report of Nautilus Biotechnology, Inc. (the “Company”) on Form 10-K for the period ended December 31, 2024 as filed with the Securities and Exchange Commission on the date hereof (the “Report”), I, Anna Mowry, hereby certify, pursuant to 18 U.S.C. § 1350, as adopted pursuant to § 906 of the Sarbanes-Oxley Act of 2002, that:</w:t>
      </w:r>
    </w:p>
    <w:p>
      <w:pPr>
        <w:pStyle w:val="TextBody"/>
        <w:bidi w:val="0"/>
        <w:spacing w:before="0" w:after="0"/>
        <w:jc w:val="left"/>
        <w:rPr/>
      </w:pPr>
      <w:r>
        <w:rPr/>
      </w:r>
    </w:p>
    <w:p>
      <w:pPr>
        <w:pStyle w:val="TextBody"/>
        <w:bidi w:val="0"/>
        <w:spacing w:lineRule="auto" w:line="268"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1.The Report fully complies with the requirements of Section 13(a) or 15(d) of the Securities Exchange Act of 1934, as amended; and</w:t>
      </w:r>
    </w:p>
    <w:p>
      <w:pPr>
        <w:pStyle w:val="TextBody"/>
        <w:bidi w:val="0"/>
        <w:spacing w:lineRule="auto" w:line="268"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the Company.</w:t>
      </w:r>
    </w:p>
    <w:p>
      <w:pPr>
        <w:pStyle w:val="TextBody"/>
        <w:bidi w:val="0"/>
        <w:spacing w:before="120" w:after="283"/>
        <w:jc w:val="left"/>
        <w:rPr/>
      </w:pPr>
      <w:r>
        <w:rPr/>
      </w:r>
    </w:p>
    <w:p>
      <w:pPr>
        <w:pStyle w:val="TextBody"/>
        <w:bidi w:val="0"/>
        <w:spacing w:before="120" w:after="283"/>
        <w:jc w:val="left"/>
        <w:rPr/>
      </w:pPr>
      <w:r>
        <w:rPr/>
      </w:r>
    </w:p>
    <w:tbl>
      <w:tblPr>
        <w:tblW w:w="6419" w:type="dxa"/>
        <w:jc w:val="left"/>
        <w:tblInd w:w="0" w:type="dxa"/>
        <w:tblLayout w:type="fixed"/>
        <w:tblCellMar>
          <w:top w:w="28" w:type="dxa"/>
          <w:left w:w="28" w:type="dxa"/>
          <w:bottom w:w="28" w:type="dxa"/>
          <w:right w:w="28" w:type="dxa"/>
        </w:tblCellMar>
      </w:tblPr>
      <w:tblGrid>
        <w:gridCol w:w="754"/>
        <w:gridCol w:w="664"/>
        <w:gridCol w:w="667"/>
        <w:gridCol w:w="134"/>
        <w:gridCol w:w="134"/>
        <w:gridCol w:w="136"/>
        <w:gridCol w:w="1148"/>
        <w:gridCol w:w="1148"/>
        <w:gridCol w:w="1634"/>
      </w:tblGrid>
      <w:tr>
        <w:trPr/>
        <w:tc>
          <w:tcPr>
            <w:tcW w:w="754"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148" w:type="dxa"/>
            <w:tcBorders/>
            <w:vAlign w:val="center"/>
          </w:tcPr>
          <w:p>
            <w:pPr>
              <w:pStyle w:val="TableContents"/>
              <w:bidi w:val="0"/>
              <w:spacing w:before="0" w:after="283"/>
              <w:jc w:val="left"/>
              <w:rPr>
                <w:sz w:val="4"/>
                <w:szCs w:val="4"/>
              </w:rPr>
            </w:pPr>
            <w:r>
              <w:rPr>
                <w:sz w:val="4"/>
                <w:szCs w:val="4"/>
              </w:rPr>
            </w:r>
          </w:p>
        </w:tc>
        <w:tc>
          <w:tcPr>
            <w:tcW w:w="1148" w:type="dxa"/>
            <w:tcBorders/>
            <w:vAlign w:val="center"/>
          </w:tcPr>
          <w:p>
            <w:pPr>
              <w:pStyle w:val="TableContents"/>
              <w:bidi w:val="0"/>
              <w:spacing w:before="0" w:after="283"/>
              <w:jc w:val="left"/>
              <w:rPr>
                <w:sz w:val="4"/>
                <w:szCs w:val="4"/>
              </w:rPr>
            </w:pPr>
            <w:r>
              <w:rPr>
                <w:sz w:val="4"/>
                <w:szCs w:val="4"/>
              </w:rPr>
            </w:r>
          </w:p>
        </w:tc>
        <w:tc>
          <w:tcPr>
            <w:tcW w:w="1634"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lineRule="auto" w:line="256"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February 27, 2025</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930"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Anna Mowry</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Anna Mowry</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0"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20"/>
              </w:rPr>
            </w:pPr>
            <w:r>
              <w:rPr>
                <w:rFonts w:ascii="Times New Roman;sans-serif" w:hAnsi="Times New Roman;sans-serif"/>
                <w:b/>
                <w:color w:val="000000"/>
                <w:sz w:val="20"/>
              </w:rPr>
              <w:t>Chief Financial Officer</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0"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(Principal Financial and Accounting Officer)</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6480175" cy="175260"/>
                <wp:effectExtent l="0" t="0" r="0" b="0"/>
                <wp:wrapNone/>
                <wp:docPr id="152" name="Frame13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Georgia">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hyperlink" Target="https://www.sec.gov/Archives/edgar/data/1808805/000114036121003650/brhc10019858_ex2-1.htm" TargetMode="External"/><Relationship Id="rId21" Type="http://schemas.openxmlformats.org/officeDocument/2006/relationships/hyperlink" Target="https://www.sec.gov/Archives/edgar/data/1808805/000162828021011892/exhibit31-form8xkclosing.htm" TargetMode="External"/><Relationship Id="rId22" Type="http://schemas.openxmlformats.org/officeDocument/2006/relationships/hyperlink" Target="https://www.sec.gov/Archives/edgar/data/1808805/000180880523000069/exhibit32-nautilusbiotechn.htm" TargetMode="External"/><Relationship Id="rId23" Type="http://schemas.openxmlformats.org/officeDocument/2006/relationships/hyperlink" Target="https://www.sec.gov/Archives/edgar/data/1808805/000162828021011892/exhibit41-super8xkclosing.htm" TargetMode="External"/><Relationship Id="rId24" Type="http://schemas.openxmlformats.org/officeDocument/2006/relationships/hyperlink" Target="https://www.sec.gov/Archives/edgar/data/1808805/000180880523000011/exhibit42-descriptionofsec.htm" TargetMode="External"/><Relationship Id="rId25" Type="http://schemas.openxmlformats.org/officeDocument/2006/relationships/hyperlink" Target="https://www.sec.gov/Archives/edgar/data/1808805/000114036121003650/brhc10019858_ex10-3.htm" TargetMode="External"/><Relationship Id="rId26" Type="http://schemas.openxmlformats.org/officeDocument/2006/relationships/hyperlink" Target="https://www.sec.gov/Archives/edgar/data/1808805/000114036121003650/brhc10019858_ex10-2.htm" TargetMode="External"/><Relationship Id="rId27" Type="http://schemas.openxmlformats.org/officeDocument/2006/relationships/hyperlink" Target="https://www.sec.gov/Archives/edgar/data/1808805/000180880524000005/exhibit103nautilus-amendme.htm" TargetMode="External"/><Relationship Id="rId28" Type="http://schemas.openxmlformats.org/officeDocument/2006/relationships/hyperlink" Target="https://www.sec.gov/Archives/edgar/data/1808805/000180880524000005/exhibit103nautilus-amendme.htm" TargetMode="External"/><Relationship Id="rId29" Type="http://schemas.openxmlformats.org/officeDocument/2006/relationships/hyperlink" Target="https://www.sec.gov/Archives/edgar/data/1808805/000180880524000005/exhibit103nautilus-amendme.htm" TargetMode="External"/><Relationship Id="rId30" Type="http://schemas.openxmlformats.org/officeDocument/2006/relationships/hyperlink" Target="https://www.sec.gov/Archives/edgar/data/1808805/000180880524000005/exhibit103nautilus-amendme.htm" TargetMode="External"/><Relationship Id="rId31" Type="http://schemas.openxmlformats.org/officeDocument/2006/relationships/hyperlink" Target="https://www.sec.gov/Archives/edgar/data/1808805/000180880524000005/exhibit103nautilus-amendme.htm" TargetMode="External"/><Relationship Id="rId32" Type="http://schemas.openxmlformats.org/officeDocument/2006/relationships/hyperlink" Target="https://www.sec.gov/Archives/edgar/data/1808805/000162828021011892/exhibit104-form8xkclosing.htm" TargetMode="External"/><Relationship Id="rId33" Type="http://schemas.openxmlformats.org/officeDocument/2006/relationships/hyperlink" Target="https://www.sec.gov/Archives/edgar/data/1808805/000162828021011892/exhibit105-form8xkclosing.htm" TargetMode="External"/><Relationship Id="rId34" Type="http://schemas.openxmlformats.org/officeDocument/2006/relationships/hyperlink" Target="https://www.sec.gov/Archives/edgar/data/1808805/000162828021005786/exhibit107-sx4.htm" TargetMode="External"/><Relationship Id="rId35" Type="http://schemas.openxmlformats.org/officeDocument/2006/relationships/hyperlink" Target="https://www.sec.gov/Archives/edgar/data/1808805/000162828021005786/exhibit108-sx4.htm" TargetMode="External"/><Relationship Id="rId36" Type="http://schemas.openxmlformats.org/officeDocument/2006/relationships/hyperlink" Target="https://www.sec.gov/Archives/edgar/data/1808805/000162828021005786/exhibit109-sx4.htm" TargetMode="External"/><Relationship Id="rId37" Type="http://schemas.openxmlformats.org/officeDocument/2006/relationships/hyperlink" Target="https://www.sec.gov/Archives/edgar/data/1808805/000162828021005786/exhibit1011-sx4.htm" TargetMode="External"/><Relationship Id="rId38" Type="http://schemas.openxmlformats.org/officeDocument/2006/relationships/hyperlink" Target="https://www.sec.gov/Archives/edgar/data/1808805/000180880523000069/exhibit101-patelconfirmato.htm" TargetMode="External"/><Relationship Id="rId39" Type="http://schemas.openxmlformats.org/officeDocument/2006/relationships/hyperlink" Target="https://www.sec.gov/Archives/edgar/data/1808805/000180880523000069/exhibit102-mallickconfirma.htm" TargetMode="External"/><Relationship Id="rId40" Type="http://schemas.openxmlformats.org/officeDocument/2006/relationships/hyperlink" Target="https://www.sec.gov/Archives/edgar/data/1808805/000180880523000069/exhibit103-mowryconfirmato.htm" TargetMode="External"/><Relationship Id="rId41" Type="http://schemas.openxmlformats.org/officeDocument/2006/relationships/hyperlink" Target="https://www.sec.gov/Archives/edgar/data/1808805/000180880523000069/exhibit104-nelsonconfirmat.htm" TargetMode="External"/><Relationship Id="rId42" Type="http://schemas.openxmlformats.org/officeDocument/2006/relationships/hyperlink" Target="https://www.sec.gov/Archives/edgar/data/1808805/000180880523000069/exhibit105-weldconfirmator.htm" TargetMode="External"/><Relationship Id="rId43" Type="http://schemas.openxmlformats.org/officeDocument/2006/relationships/hyperlink" Target="https://www.sec.gov/Archives/edgar/data/1808805/000180880523000069/exhibit107-sankarconfirmat.htm" TargetMode="External"/><Relationship Id="rId44" Type="http://schemas.openxmlformats.org/officeDocument/2006/relationships/hyperlink" Target="https://www.sec.gov/Archives/edgar/data/1808805/000180880523000069/exhibit108-murphyconfirmat.htm" TargetMode="External"/><Relationship Id="rId45" Type="http://schemas.openxmlformats.org/officeDocument/2006/relationships/hyperlink" Target="https://www.sec.gov/Archives/edgar/data/1808805/000162828021011892/exhibit31-form8xkclosing.htm" TargetMode="External"/><Relationship Id="rId46" Type="http://schemas.openxmlformats.org/officeDocument/2006/relationships/hyperlink" Target="https://www.sec.gov/Archives/edgar/data/1808805/000180880524000072/nautilusofferksuzuki202407.htm" TargetMode="External"/><Relationship Id="rId47" Type="http://schemas.openxmlformats.org/officeDocument/2006/relationships/hyperlink" Target="https://www.sec.gov/Archives/edgar/data/1808805/000180880524000072/nautilusofferksuzuki202407.htm" TargetMode="External"/><Relationship Id="rId48" Type="http://schemas.openxmlformats.org/officeDocument/2006/relationships/hyperlink" Target="https://www.sec.gov/Archives/edgar/data/1808805/000180880524000072/nautilusofferksuzuki202407.htm" TargetMode="External"/><Relationship Id="rId49" Type="http://schemas.openxmlformats.org/officeDocument/2006/relationships/hyperlink" Target="https://www.sec.gov/Archives/edgar/data/1808805/000180880524000072/nautilusofferksuzuki202407.htm" TargetMode="External"/><Relationship Id="rId50" Type="http://schemas.openxmlformats.org/officeDocument/2006/relationships/hyperlink" Target="https://www.sec.gov/Archives/edgar/data/1808805/000180880524000072/nautilusofferksuzuki202407.htm" TargetMode="External"/><Relationship Id="rId51" Type="http://schemas.openxmlformats.org/officeDocument/2006/relationships/hyperlink" Target="https://www.sec.gov/Archives/edgar/data/1808805/000180880524000072/nautilusofferksuzuki202407.htm" TargetMode="External"/><Relationship Id="rId52" Type="http://schemas.openxmlformats.org/officeDocument/2006/relationships/hyperlink" Target="https://www.sec.gov/Archives/edgar/data/1808805/000180880524000072/nautilusofferksuzuki202407.htm" TargetMode="External"/><Relationship Id="rId53" Type="http://schemas.openxmlformats.org/officeDocument/2006/relationships/hyperlink" Target="https://www.sec.gov/Archives/edgar/data/1808805/000180880523000069/exhibit109-patelcicagmnt.htm" TargetMode="External"/><Relationship Id="rId54" Type="http://schemas.openxmlformats.org/officeDocument/2006/relationships/hyperlink" Target="https://www.sec.gov/Archives/edgar/data/1808805/000162828021011892/exhibit31-form8xkclosing.htm" TargetMode="External"/><Relationship Id="rId55" Type="http://schemas.openxmlformats.org/officeDocument/2006/relationships/hyperlink" Target="https://www.sec.gov/Archives/edgar/data/1808805/000180880523000069/exhibit1010-mallickcicagmnt.htm" TargetMode="External"/><Relationship Id="rId56" Type="http://schemas.openxmlformats.org/officeDocument/2006/relationships/hyperlink" Target="https://www.sec.gov/Archives/edgar/data/1808805/000162828021011892/exhibit31-form8xkclosing.htm" TargetMode="External"/><Relationship Id="rId57" Type="http://schemas.openxmlformats.org/officeDocument/2006/relationships/hyperlink" Target="https://www.sec.gov/Archives/edgar/data/1808805/000180880523000069/exhibit1011-mowrycicagmnt.htm" TargetMode="External"/><Relationship Id="rId58" Type="http://schemas.openxmlformats.org/officeDocument/2006/relationships/hyperlink" Target="https://www.sec.gov/Archives/edgar/data/1808805/000162828021011892/exhibit31-form8xkclosing.htm" TargetMode="External"/><Relationship Id="rId59" Type="http://schemas.openxmlformats.org/officeDocument/2006/relationships/hyperlink" Target="https://www.sec.gov/Archives/edgar/data/1808805/000180880523000069/exhibit1012-nelsoncicagmnt.htm" TargetMode="External"/><Relationship Id="rId60" Type="http://schemas.openxmlformats.org/officeDocument/2006/relationships/hyperlink" Target="https://www.sec.gov/Archives/edgar/data/1808805/000162828021011892/exhibit31-form8xkclosing.htm" TargetMode="External"/><Relationship Id="rId61" Type="http://schemas.openxmlformats.org/officeDocument/2006/relationships/hyperlink" Target="https://www.sec.gov/Archives/edgar/data/1808805/000180880523000069/exhibit1013-weldcicagmnt.htm" TargetMode="External"/><Relationship Id="rId62" Type="http://schemas.openxmlformats.org/officeDocument/2006/relationships/hyperlink" Target="https://www.sec.gov/Archives/edgar/data/1808805/000162828021011892/exhibit31-form8xkclosing.htm" TargetMode="External"/><Relationship Id="rId63" Type="http://schemas.openxmlformats.org/officeDocument/2006/relationships/hyperlink" Target="https://www.sec.gov/Archives/edgar/data/1808805/000180880523000069/exhibit1015-sankarcicagmnt.htm" TargetMode="External"/><Relationship Id="rId64" Type="http://schemas.openxmlformats.org/officeDocument/2006/relationships/hyperlink" Target="https://www.sec.gov/Archives/edgar/data/1808805/000162828021011892/exhibit31-form8xkclosing.htm" TargetMode="External"/><Relationship Id="rId65" Type="http://schemas.openxmlformats.org/officeDocument/2006/relationships/hyperlink" Target="https://www.sec.gov/Archives/edgar/data/1808805/000180880523000069/exhibit1016-murphycicagmnt.htm" TargetMode="External"/><Relationship Id="rId66" Type="http://schemas.openxmlformats.org/officeDocument/2006/relationships/hyperlink" Target="https://www.sec.gov/Archives/edgar/data/1808805/000162828021011892/exhibit31-form8xkclosing.htm" TargetMode="External"/><Relationship Id="rId67" Type="http://schemas.openxmlformats.org/officeDocument/2006/relationships/hyperlink" Target="https://www.sec.gov/Archives/edgar/data/1808805/000180880524000072/suzukicicagmnt20240916.htm" TargetMode="External"/><Relationship Id="rId68" Type="http://schemas.openxmlformats.org/officeDocument/2006/relationships/hyperlink" Target="https://www.sec.gov/Archives/edgar/data/1808805/000180880524000072/suzukicicagmnt20240916.htm" TargetMode="External"/><Relationship Id="rId69" Type="http://schemas.openxmlformats.org/officeDocument/2006/relationships/hyperlink" Target="https://www.sec.gov/Archives/edgar/data/1808805/000180880524000072/suzukicicagmnt20240916.htm" TargetMode="External"/><Relationship Id="rId70" Type="http://schemas.openxmlformats.org/officeDocument/2006/relationships/hyperlink" Target="https://www.sec.gov/Archives/edgar/data/1808805/000180880524000072/suzukicicagmnt20240916.htm" TargetMode="External"/><Relationship Id="rId71" Type="http://schemas.openxmlformats.org/officeDocument/2006/relationships/hyperlink" Target="https://www.sec.gov/Archives/edgar/data/1808805/000180880524000072/suzukicicagmnt20240916.htm" TargetMode="External"/><Relationship Id="rId72" Type="http://schemas.openxmlformats.org/officeDocument/2006/relationships/hyperlink" Target="https://www.sec.gov/Archives/edgar/data/1808805/000180880524000072/suzukicicagmnt20240916.htm" TargetMode="External"/><Relationship Id="rId73" Type="http://schemas.openxmlformats.org/officeDocument/2006/relationships/hyperlink" Target="https://www.sec.gov/Archives/edgar/data/1808805/000180880524000072/suzukicicagmnt20240916.htm" TargetMode="External"/><Relationship Id="rId74" Type="http://schemas.openxmlformats.org/officeDocument/2006/relationships/hyperlink" Target="https://www.sec.gov/Archives/edgar/data/1808805/000180880524000072/suzukicicagmnt20240916.htm" TargetMode="External"/><Relationship Id="rId75" Type="http://schemas.openxmlformats.org/officeDocument/2006/relationships/hyperlink" Target="https://www.sec.gov/Archives/edgar/data/1808805/000180880524000072/suzukicicagmnt20240916.htm" TargetMode="External"/><Relationship Id="rId76" Type="http://schemas.openxmlformats.org/officeDocument/2006/relationships/hyperlink" Target="https://www.sec.gov/Archives/edgar/data/1808805/000180880524000072/suzukicicagmnt20240916.htm" TargetMode="External"/><Relationship Id="rId77" Type="http://schemas.openxmlformats.org/officeDocument/2006/relationships/hyperlink" Target="https://www.sec.gov/Archives/edgar/data/1808805/000162828021007512/exhibit1024-sx4a2.htm" TargetMode="External"/><Relationship Id="rId78" Type="http://schemas.openxmlformats.org/officeDocument/2006/relationships/hyperlink" Target="https://www.sec.gov/Archives/edgar/data/1808805/000162828021007512/exhibit1025-sx4a2.htm" TargetMode="External"/><Relationship Id="rId79" Type="http://schemas.openxmlformats.org/officeDocument/2006/relationships/hyperlink" Target="https://www.sec.gov/Archives/edgar/data/1808805/000162828024007395/exhibit11-8xk.htm" TargetMode="External"/><Relationship Id="rId80" Type="http://schemas.openxmlformats.org/officeDocument/2006/relationships/hyperlink" Target="https://www.sec.gov/Archives/edgar/data/1808805/000162828024007395/exhibit11-8xk.htm" TargetMode="External"/><Relationship Id="rId81" Type="http://schemas.openxmlformats.org/officeDocument/2006/relationships/hyperlink" Target="https://www.sec.gov/Archives/edgar/data/1808805/000162828024007395/exhibit11-8xk.htm" TargetMode="External"/><Relationship Id="rId82" Type="http://schemas.openxmlformats.org/officeDocument/2006/relationships/hyperlink" Target="https://www.sec.gov/Archives/edgar/data/1808805/000162828024007395/exhibit11-8xk.htm" TargetMode="External"/><Relationship Id="rId83" Type="http://schemas.openxmlformats.org/officeDocument/2006/relationships/hyperlink" Target="https://www.sec.gov/Archives/edgar/data/1808805/000162828024007395/exhibit11-8xk.htm" TargetMode="External"/><Relationship Id="rId84" Type="http://schemas.openxmlformats.org/officeDocument/2006/relationships/hyperlink" Target="https://www.sec.gov/Archives/edgar/data/1808805/000162828024007395/exhibit11-8xk.htm" TargetMode="External"/><Relationship Id="rId85" Type="http://schemas.openxmlformats.org/officeDocument/2006/relationships/hyperlink" Target="https://www.sec.gov/Archives/edgar/data/1808805/000162828024007395/exhibit11-8xk.htm" TargetMode="External"/><Relationship Id="rId86" Type="http://schemas.openxmlformats.org/officeDocument/2006/relationships/hyperlink" Target="https://www.sec.gov/Archives/edgar/data/1808805/000180880522000010/exhibit211-listofsubsidiar.htm" TargetMode="External"/><Relationship Id="rId87" Type="http://schemas.openxmlformats.org/officeDocument/2006/relationships/hyperlink" Target="https://www.sec.gov/Archives/edgar/data/1808805/000180880524000005/exhibit971nautilusbiotechn.htm" TargetMode="External"/><Relationship Id="rId88" Type="http://schemas.openxmlformats.org/officeDocument/2006/relationships/fontTable" Target="fontTable.xml"/><Relationship Id="rId8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26</Pages>
  <Words>81019</Words>
  <Characters>458898</Characters>
  <CharactersWithSpaces>537872</CharactersWithSpaces>
  <Paragraphs>2939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